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6B1997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F09">
        <w:rPr>
          <w:b/>
          <w:noProof/>
          <w:sz w:val="24"/>
        </w:rPr>
        <w:t>92</w:t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2C07BE" w:rsidRPr="002C07BE">
        <w:rPr>
          <w:b/>
          <w:i/>
          <w:noProof/>
          <w:sz w:val="28"/>
        </w:rPr>
        <w:t>R4-1910123</w:t>
      </w:r>
      <w:bookmarkEnd w:id="0"/>
    </w:p>
    <w:p w14:paraId="0B3C1747" w14:textId="4B2C47DA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9A665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A665A">
        <w:rPr>
          <w:b/>
          <w:noProof/>
          <w:sz w:val="24"/>
        </w:rPr>
        <w:t>Slovenia,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2C4A699B" w:rsidR="001E41F3" w:rsidRPr="00410371" w:rsidRDefault="00D02F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794A3B4A" w:rsidR="001E41F3" w:rsidRPr="00410371" w:rsidRDefault="00AD48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6609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15699643" w:rsidR="001E41F3" w:rsidRPr="00410371" w:rsidRDefault="002D7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44CA2C68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2D7">
              <w:rPr>
                <w:b/>
                <w:noProof/>
                <w:sz w:val="28"/>
              </w:rPr>
              <w:t>1</w:t>
            </w:r>
            <w:r w:rsidR="007E02F9" w:rsidRPr="007742D7">
              <w:rPr>
                <w:b/>
                <w:noProof/>
                <w:sz w:val="28"/>
              </w:rPr>
              <w:t>5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7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77777777" w:rsidR="001E41F3" w:rsidRDefault="00BE646D" w:rsidP="001D1114">
            <w:pPr>
              <w:pStyle w:val="CRCoverPage"/>
            </w:pPr>
            <w:r>
              <w:rPr>
                <w:noProof/>
              </w:rPr>
              <w:t xml:space="preserve">Clarification of </w:t>
            </w:r>
            <w:r w:rsidR="00CA0450">
              <w:rPr>
                <w:noProof/>
              </w:rPr>
              <w:t xml:space="preserve">cat.M </w:t>
            </w:r>
            <w:r>
              <w:rPr>
                <w:noProof/>
              </w:rPr>
              <w:t xml:space="preserve">UE requiremnets </w:t>
            </w:r>
            <w:r w:rsidR="001D1114">
              <w:rPr>
                <w:noProof/>
              </w:rPr>
              <w:t>under mismatch between configured CE mode and Es/Iot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77777777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0A8970B2" w:rsidR="001E41F3" w:rsidRDefault="000C6266">
            <w:pPr>
              <w:pStyle w:val="CRCoverPage"/>
              <w:spacing w:after="0"/>
              <w:ind w:left="100"/>
              <w:rPr>
                <w:noProof/>
              </w:rPr>
            </w:pPr>
            <w:r w:rsidRPr="000C6266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77777777" w:rsidR="001E41F3" w:rsidRDefault="002A4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77777777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9E40D" w14:textId="77777777" w:rsidR="001E41F3" w:rsidRDefault="00B66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applicability of RRM requirements under certain combinations of CE Mode</w:t>
            </w:r>
            <w:r w:rsidR="006A2323">
              <w:rPr>
                <w:rFonts w:cs="Arial"/>
                <w:noProof/>
              </w:rPr>
              <w:t xml:space="preserve"> A/B</w:t>
            </w:r>
            <w:r>
              <w:rPr>
                <w:rFonts w:cs="Arial"/>
                <w:noProof/>
              </w:rPr>
              <w:t xml:space="preserve"> and the CRS/SCH Ês/Iot is not defined. This may lead to unspecified UE behaviour.</w:t>
            </w: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DEE21" w14:textId="77777777" w:rsidR="006A2323" w:rsidRDefault="006A2323" w:rsidP="006A232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following applicability rules are specified:</w:t>
            </w:r>
          </w:p>
          <w:p w14:paraId="1B25250F" w14:textId="77777777" w:rsidR="006A2323" w:rsidRDefault="006A2323" w:rsidP="006A232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DBFDC8E" w14:textId="77777777" w:rsidR="000C5DB7" w:rsidRPr="001D04DD" w:rsidRDefault="000C5DB7" w:rsidP="000C5DB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noProof/>
              </w:rPr>
            </w:pPr>
            <w:r w:rsidRPr="001D04DD">
              <w:rPr>
                <w:rFonts w:ascii="Arial" w:hAnsi="Arial" w:cs="Arial"/>
                <w:noProof/>
              </w:rPr>
              <w:t>-</w:t>
            </w:r>
            <w:r w:rsidRPr="001D04DD">
              <w:rPr>
                <w:rFonts w:ascii="Arial" w:hAnsi="Arial" w:cs="Arial"/>
                <w:noProof/>
              </w:rPr>
              <w:tab/>
              <w:t xml:space="preserve">The requirements for CEMode A shall apply provided the UE category M1 is configured with CEMode B, SCH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-6 dB and CRS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-6 dB.  </w:t>
            </w:r>
          </w:p>
          <w:p w14:paraId="347D0628" w14:textId="77777777" w:rsidR="000C5DB7" w:rsidRPr="001D04DD" w:rsidRDefault="000C5DB7" w:rsidP="000C5DB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noProof/>
              </w:rPr>
            </w:pPr>
            <w:r w:rsidRPr="001D04DD">
              <w:rPr>
                <w:rFonts w:ascii="Arial" w:hAnsi="Arial" w:cs="Arial"/>
                <w:noProof/>
              </w:rPr>
              <w:t>-</w:t>
            </w:r>
            <w:r w:rsidRPr="001D04DD">
              <w:rPr>
                <w:rFonts w:ascii="Arial" w:hAnsi="Arial" w:cs="Arial"/>
                <w:noProof/>
              </w:rPr>
              <w:tab/>
              <w:t xml:space="preserve">The requirements for CEMode B shall apply provided the UE category M1 is configured with CEMode A and capable of ce-ModeB [2], SCH 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-15 dB and CRS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-15 dB. </w:t>
            </w:r>
          </w:p>
          <w:p w14:paraId="7F3BEA4F" w14:textId="2818E4C3" w:rsidR="000C5DB7" w:rsidRPr="000D1408" w:rsidRDefault="000C5DB7" w:rsidP="000C5D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77777777" w:rsidR="001E41F3" w:rsidRDefault="000D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which RRM requirements the UE shall meet in case the configured CE Mode does not match with the corresponding CRS or SCH Es/Iot level.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7E5D8D2B" w14:textId="77777777" w:rsidR="000E7477" w:rsidRPr="00B910B8" w:rsidRDefault="000E7477" w:rsidP="000E7477">
      <w:pPr>
        <w:pStyle w:val="Heading3"/>
      </w:pPr>
      <w:r w:rsidRPr="00B910B8">
        <w:t>3.6.1</w:t>
      </w:r>
      <w:r w:rsidRPr="00B910B8">
        <w:tab/>
        <w:t>Applicability of requirements in this specification version</w:t>
      </w:r>
    </w:p>
    <w:p w14:paraId="65FDB4F0" w14:textId="77777777" w:rsidR="000E7477" w:rsidRPr="00B910B8" w:rsidRDefault="000E7477" w:rsidP="000E7477">
      <w:pPr>
        <w:pStyle w:val="B1"/>
      </w:pPr>
      <w:r w:rsidRPr="00B910B8">
        <w:t>In this specification,</w:t>
      </w:r>
    </w:p>
    <w:p w14:paraId="5113410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‘cell’, ‘</w:t>
      </w:r>
      <w:proofErr w:type="spellStart"/>
      <w:r w:rsidRPr="00B910B8">
        <w:t>PCell</w:t>
      </w:r>
      <w:proofErr w:type="spellEnd"/>
      <w:r w:rsidRPr="00B910B8">
        <w:t>’, ‘</w:t>
      </w:r>
      <w:proofErr w:type="spellStart"/>
      <w:r w:rsidRPr="00B910B8">
        <w:t>PSCell</w:t>
      </w:r>
      <w:proofErr w:type="spellEnd"/>
      <w:r w:rsidRPr="00B910B8">
        <w:t>’ and ‘</w:t>
      </w:r>
      <w:proofErr w:type="spellStart"/>
      <w:r w:rsidRPr="00B910B8">
        <w:t>SCell</w:t>
      </w:r>
      <w:proofErr w:type="spellEnd"/>
      <w:r w:rsidRPr="00B910B8">
        <w:t xml:space="preserve">’ refer to E-UTRA cell, E-UTRA </w:t>
      </w:r>
      <w:proofErr w:type="spellStart"/>
      <w:r w:rsidRPr="00B910B8">
        <w:t>PCell</w:t>
      </w:r>
      <w:proofErr w:type="spellEnd"/>
      <w:r w:rsidRPr="00B910B8">
        <w:t xml:space="preserve">, E-UTRA </w:t>
      </w:r>
      <w:proofErr w:type="spellStart"/>
      <w:r w:rsidRPr="00B910B8">
        <w:t>PSCell</w:t>
      </w:r>
      <w:proofErr w:type="spellEnd"/>
      <w:r w:rsidRPr="00B910B8">
        <w:t xml:space="preserve"> and E-UTRA </w:t>
      </w:r>
      <w:proofErr w:type="spellStart"/>
      <w:r w:rsidRPr="00B910B8">
        <w:t>SCell</w:t>
      </w:r>
      <w:proofErr w:type="spellEnd"/>
      <w:r w:rsidRPr="00B910B8">
        <w:t>, respectively,</w:t>
      </w:r>
    </w:p>
    <w:p w14:paraId="6AB20A8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NR cells are referred to as ‘NR cell’, ‘NR </w:t>
      </w:r>
      <w:proofErr w:type="spellStart"/>
      <w:r w:rsidRPr="00B910B8">
        <w:t>PCell</w:t>
      </w:r>
      <w:proofErr w:type="spellEnd"/>
      <w:r w:rsidRPr="00B910B8">
        <w:t xml:space="preserve">’, ‘NR </w:t>
      </w:r>
      <w:proofErr w:type="spellStart"/>
      <w:r w:rsidRPr="00B910B8">
        <w:t>PSCell</w:t>
      </w:r>
      <w:proofErr w:type="spellEnd"/>
      <w:r w:rsidRPr="00B910B8">
        <w:t xml:space="preserve">’ and ‘NR </w:t>
      </w:r>
      <w:proofErr w:type="spellStart"/>
      <w:r w:rsidRPr="00B910B8">
        <w:t>SCell</w:t>
      </w:r>
      <w:proofErr w:type="spellEnd"/>
      <w:r w:rsidRPr="00B910B8">
        <w:t>’,</w:t>
      </w:r>
    </w:p>
    <w:p w14:paraId="4B4A88E0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‘dual connectivity’ refers to Intra-E-UTRA dual connectivity,</w:t>
      </w:r>
    </w:p>
    <w:p w14:paraId="0571DD2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E-UTRA-NR dual connectivity or EN-DC refer to when E-UTRA is the master,</w:t>
      </w:r>
    </w:p>
    <w:p w14:paraId="7C3F057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NR-E-UTRA dual connectivity or NE-DC refer to when NR is the master.</w:t>
      </w:r>
    </w:p>
    <w:p w14:paraId="18C10185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B910B8">
        <w:t>PCell</w:t>
      </w:r>
      <w:proofErr w:type="spellEnd"/>
      <w:r w:rsidRPr="00B910B8">
        <w:t xml:space="preserve"> belongs to TDD or FDD.</w:t>
      </w:r>
    </w:p>
    <w:p w14:paraId="3F63FECB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>.</w:t>
      </w:r>
    </w:p>
    <w:p w14:paraId="7A32836A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the requirements for inter-band CA apply for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. Different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 are supported for inter-band CA for UEs which:</w:t>
      </w:r>
    </w:p>
    <w:p w14:paraId="7EE87942" w14:textId="77777777" w:rsidR="000E7477" w:rsidRPr="00B910B8" w:rsidRDefault="000E7477" w:rsidP="000E7477">
      <w:pPr>
        <w:pStyle w:val="B2"/>
      </w:pPr>
      <w:r w:rsidRPr="00B910B8">
        <w:t>- do not support simultaneous reception and transmission for inter-band TDD CA specified in TS 36.331 [2], and</w:t>
      </w:r>
    </w:p>
    <w:p w14:paraId="3780CDA4" w14:textId="77777777" w:rsidR="000E7477" w:rsidRPr="00B910B8" w:rsidRDefault="000E7477" w:rsidP="000E7477">
      <w:pPr>
        <w:pStyle w:val="B2"/>
      </w:pPr>
      <w:r w:rsidRPr="00B910B8">
        <w:t>- are compliant to the requirements specified in TS 36.101 for inter-band CA with uplink in one E-UTRA band and without simultaneous Rx/Tx.</w:t>
      </w:r>
    </w:p>
    <w:p w14:paraId="635DDF5F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. Different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 are supported for inter-frequency for UEs which:</w:t>
      </w:r>
    </w:p>
    <w:p w14:paraId="234F34B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do not support simultaneous reception and transmission for inter-band TDD CA specified in TS 36.331 [2</w:t>
      </w:r>
      <w:proofErr w:type="gramStart"/>
      <w:r w:rsidRPr="00B910B8">
        <w:t>], and</w:t>
      </w:r>
      <w:proofErr w:type="gramEnd"/>
      <w:r w:rsidRPr="00B910B8">
        <w:t xml:space="preserve"> are compliant to the requirements specified in TS 36.101 for inter-band CA with uplink in one E-UTRA band and without simultaneous Rx/Tx.</w:t>
      </w:r>
    </w:p>
    <w:p w14:paraId="30A5942A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 are applicable for the CA capable UE which has been configured with at least one downlink </w:t>
      </w:r>
      <w:proofErr w:type="spellStart"/>
      <w:r w:rsidRPr="00B910B8">
        <w:t>SCell</w:t>
      </w:r>
      <w:proofErr w:type="spellEnd"/>
      <w:r w:rsidRPr="00B910B8">
        <w:t>, but:</w:t>
      </w:r>
    </w:p>
    <w:p w14:paraId="5B31E0A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2383645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02AE48D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732DEA2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437D9A6A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one uplink CCs for inter-band carrier aggregation, or</w:t>
      </w:r>
    </w:p>
    <w:p w14:paraId="4499ABC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5660A26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5443157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2C9B8472" w14:textId="77777777" w:rsidR="000E7477" w:rsidRPr="00B910B8" w:rsidRDefault="000E7477" w:rsidP="000E7477">
      <w:pPr>
        <w:pStyle w:val="B2"/>
      </w:pPr>
      <w:r w:rsidRPr="00B910B8">
        <w:lastRenderedPageBreak/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6534D9C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3794D69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</w:t>
      </w:r>
      <w:proofErr w:type="gramStart"/>
      <w:r w:rsidRPr="00B910B8">
        <w:t>block</w:t>
      </w:r>
      <w:r w:rsidRPr="00B910B8">
        <w:rPr>
          <w:rFonts w:hint="eastAsia"/>
        </w:rPr>
        <w:t xml:space="preserve"> </w:t>
      </w:r>
      <w:r w:rsidRPr="00B910B8">
        <w:t xml:space="preserve"> and</w:t>
      </w:r>
      <w:proofErr w:type="gramEnd"/>
      <w:r w:rsidRPr="00B910B8">
        <w:t xml:space="preserve"> up to two uplink CCs intra-band contiguous for carrier aggregation, or</w:t>
      </w:r>
    </w:p>
    <w:p w14:paraId="63F8D9A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5CC3FA5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6566FD4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up to two uplink CCs for intra-band non-contiguous carrier aggregation, or</w:t>
      </w:r>
    </w:p>
    <w:p w14:paraId="3B0F25F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4F30762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1130C46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16EC6DC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073C3F84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B910B8">
        <w:t>SCell</w:t>
      </w:r>
      <w:proofErr w:type="spellEnd"/>
      <w:r w:rsidRPr="00B910B8">
        <w:t>, but:</w:t>
      </w:r>
    </w:p>
    <w:p w14:paraId="2D5D64B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72EDE8C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2C07A60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3C7A54D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3C16335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and up to one uplink CCs for inter-band carrier aggregation, or</w:t>
      </w:r>
    </w:p>
    <w:p w14:paraId="3ABD86D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13EBFE2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5F82735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2A8FA18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6334987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73CA5164" w14:textId="77777777" w:rsidR="000E7477" w:rsidRPr="00B910B8" w:rsidRDefault="000E7477" w:rsidP="000E7477">
      <w:pPr>
        <w:pStyle w:val="B2"/>
      </w:pPr>
      <w:r w:rsidRPr="00B910B8">
        <w:rPr>
          <w:rFonts w:hint="eastAsia"/>
        </w:rPr>
        <w:t>-</w:t>
      </w:r>
      <w:r w:rsidRPr="00B910B8">
        <w:rPr>
          <w:rFonts w:hint="eastAsia"/>
        </w:rPr>
        <w:tab/>
      </w:r>
      <w:r w:rsidRPr="00B910B8"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</w:t>
      </w:r>
      <w:proofErr w:type="gramStart"/>
      <w:r w:rsidRPr="00B910B8">
        <w:t>block</w:t>
      </w:r>
      <w:r w:rsidRPr="00B910B8">
        <w:rPr>
          <w:rFonts w:hint="eastAsia"/>
        </w:rPr>
        <w:t xml:space="preserve"> </w:t>
      </w:r>
      <w:r w:rsidRPr="00B910B8">
        <w:t xml:space="preserve"> and</w:t>
      </w:r>
      <w:proofErr w:type="gramEnd"/>
      <w:r w:rsidRPr="00B910B8">
        <w:t xml:space="preserve"> up to two uplink CCs intra-band contiguous for carrier aggregation, or</w:t>
      </w:r>
    </w:p>
    <w:p w14:paraId="33A157B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4FAE36E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697E3E8C" w14:textId="77777777" w:rsidR="000E7477" w:rsidRPr="00B910B8" w:rsidRDefault="000E7477" w:rsidP="000E7477">
      <w:pPr>
        <w:pStyle w:val="B2"/>
      </w:pPr>
      <w:r w:rsidRPr="00B910B8">
        <w:lastRenderedPageBreak/>
        <w:t>-</w:t>
      </w:r>
      <w:r w:rsidRPr="00B910B8">
        <w:tab/>
        <w:t>up to two downlink CCs and up to two uplink CCs for intra-band non-contiguous carrier aggregation, or</w:t>
      </w:r>
    </w:p>
    <w:p w14:paraId="2B3264E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4755451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2D492B8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6B1874A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2440CA05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aggregation, where the </w:t>
      </w:r>
      <w:proofErr w:type="spellStart"/>
      <w:r w:rsidRPr="00B910B8">
        <w:t>PCell</w:t>
      </w:r>
      <w:proofErr w:type="spellEnd"/>
      <w:r w:rsidRPr="00B910B8">
        <w:t xml:space="preserve"> is FDD </w:t>
      </w:r>
      <w:proofErr w:type="spellStart"/>
      <w:r w:rsidRPr="00B910B8">
        <w:t>PCell</w:t>
      </w:r>
      <w:proofErr w:type="spellEnd"/>
      <w:r w:rsidRPr="00B910B8">
        <w:t xml:space="preserve"> or TDD </w:t>
      </w:r>
      <w:proofErr w:type="spellStart"/>
      <w:r w:rsidRPr="00B910B8">
        <w:t>PCell</w:t>
      </w:r>
      <w:proofErr w:type="spellEnd"/>
      <w:r w:rsidRPr="00B910B8">
        <w:t xml:space="preserve"> and at least one downlink </w:t>
      </w:r>
      <w:proofErr w:type="spellStart"/>
      <w:r w:rsidRPr="00B910B8">
        <w:t>SCell</w:t>
      </w:r>
      <w:proofErr w:type="spellEnd"/>
      <w:r w:rsidRPr="00B910B8">
        <w:t xml:space="preserve"> follows the frame structure 3 and no UL </w:t>
      </w:r>
      <w:proofErr w:type="spellStart"/>
      <w:r w:rsidRPr="00B910B8">
        <w:t>SCell</w:t>
      </w:r>
      <w:proofErr w:type="spellEnd"/>
      <w:r w:rsidRPr="00B910B8">
        <w:t xml:space="preserve"> following the frame structure type 3 [16], are applicable for the CA capable UE, which has been configured with at least one downlink </w:t>
      </w:r>
      <w:proofErr w:type="spellStart"/>
      <w:r w:rsidRPr="00B910B8">
        <w:t>SCell</w:t>
      </w:r>
      <w:proofErr w:type="spellEnd"/>
      <w:r w:rsidRPr="00B910B8">
        <w:t xml:space="preserve"> but:</w:t>
      </w:r>
    </w:p>
    <w:p w14:paraId="6492EC1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7377489A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4229228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up to two uplink CCs for inter-band carrier aggregation.</w:t>
      </w:r>
    </w:p>
    <w:p w14:paraId="3F1E3BC8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carrier aggregation, where the </w:t>
      </w:r>
      <w:proofErr w:type="spellStart"/>
      <w:r w:rsidRPr="00B910B8">
        <w:t>PCell</w:t>
      </w:r>
      <w:proofErr w:type="spellEnd"/>
      <w:r w:rsidRPr="00B910B8">
        <w:t xml:space="preserve"> is FDD </w:t>
      </w:r>
      <w:proofErr w:type="spellStart"/>
      <w:r w:rsidRPr="00B910B8">
        <w:t>PCell</w:t>
      </w:r>
      <w:proofErr w:type="spellEnd"/>
      <w:r w:rsidRPr="00B910B8">
        <w:t xml:space="preserve"> or TDD </w:t>
      </w:r>
      <w:proofErr w:type="spellStart"/>
      <w:r w:rsidRPr="00B910B8">
        <w:t>PCell</w:t>
      </w:r>
      <w:proofErr w:type="spellEnd"/>
      <w:r w:rsidRPr="00B910B8">
        <w:t xml:space="preserve">, and at least one downlink </w:t>
      </w:r>
      <w:proofErr w:type="spellStart"/>
      <w:r w:rsidRPr="00B910B8">
        <w:t>SCell</w:t>
      </w:r>
      <w:proofErr w:type="spellEnd"/>
      <w:r w:rsidRPr="00B910B8">
        <w:t xml:space="preserve"> and one uplink </w:t>
      </w:r>
      <w:proofErr w:type="spellStart"/>
      <w:r w:rsidRPr="00B910B8">
        <w:t>SCell</w:t>
      </w:r>
      <w:proofErr w:type="spellEnd"/>
      <w:r w:rsidRPr="00B910B8">
        <w:t xml:space="preserve"> follow the frame structure type 3 [16], are applicable for the CA capable UE, which has been configured with at least one downlink </w:t>
      </w:r>
      <w:proofErr w:type="spellStart"/>
      <w:r w:rsidRPr="00B910B8">
        <w:t>SCell</w:t>
      </w:r>
      <w:proofErr w:type="spellEnd"/>
      <w:r w:rsidRPr="00B910B8">
        <w:t xml:space="preserve"> and at least one uplink </w:t>
      </w:r>
      <w:proofErr w:type="spellStart"/>
      <w:r w:rsidRPr="00B910B8">
        <w:t>SCell</w:t>
      </w:r>
      <w:proofErr w:type="spellEnd"/>
      <w:r w:rsidRPr="00B910B8">
        <w:t xml:space="preserve"> but:</w:t>
      </w:r>
    </w:p>
    <w:p w14:paraId="05E83DFA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up to five downlink CCs and two uplink CCs for inter-band carrier aggregation.</w:t>
      </w:r>
    </w:p>
    <w:p w14:paraId="399E5CE3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UE configured with </w:t>
      </w:r>
      <w:proofErr w:type="spellStart"/>
      <w:r w:rsidRPr="00B910B8">
        <w:t>eDRX_CONN</w:t>
      </w:r>
      <w:proofErr w:type="spellEnd"/>
      <w:r w:rsidRPr="00B910B8">
        <w:t xml:space="preserve"> cycle do not apply for CA requirements and dual connectivity requirements.</w:t>
      </w:r>
    </w:p>
    <w:p w14:paraId="0B5E4BBB" w14:textId="77777777" w:rsidR="000E7477" w:rsidRPr="00B910B8" w:rsidRDefault="000E7477" w:rsidP="000E7477">
      <w:pPr>
        <w:pStyle w:val="B1"/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0 are derived assuming UE category 0 [31] and a single antenna receiver.</w:t>
      </w:r>
    </w:p>
    <w:p w14:paraId="3B8C018D" w14:textId="77777777" w:rsidR="000E7477" w:rsidRPr="00B910B8" w:rsidRDefault="000E7477" w:rsidP="000E7477">
      <w:pPr>
        <w:pStyle w:val="B1"/>
        <w:rPr>
          <w:rFonts w:eastAsia="Malgun Gothic"/>
        </w:rPr>
      </w:pPr>
      <w:r w:rsidRPr="00B910B8">
        <w:t>-</w:t>
      </w:r>
      <w:r w:rsidRPr="00B910B8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0524560B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normal coverage in idle mode shall apply provided the UE category M1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rPr>
          <w:rFonts w:cs="Arial"/>
        </w:rPr>
        <w:sym w:font="Symbol" w:char="F0B3"/>
      </w:r>
      <w:r w:rsidRPr="00B910B8">
        <w:t xml:space="preserve">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5E0592FA" w14:textId="275A2D71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enhanced coverage in idle mode shall apply provided the UE category M1 is </w:t>
      </w:r>
      <w:ins w:id="3" w:author="Santhan Thangarasa" w:date="2019-08-16T18:45:00Z">
        <w:r w:rsidR="00053BE3" w:rsidRPr="00E07069">
          <w:t xml:space="preserve">capable of </w:t>
        </w:r>
        <w:proofErr w:type="spellStart"/>
        <w:r w:rsidR="00053BE3" w:rsidRPr="00E07069">
          <w:t>ce-ModeB</w:t>
        </w:r>
        <w:proofErr w:type="spellEnd"/>
        <w:r w:rsidR="00053BE3" w:rsidRPr="00E07069">
          <w:t xml:space="preserve"> [2] and is </w:t>
        </w:r>
      </w:ins>
      <w:r w:rsidRPr="00B910B8">
        <w:t xml:space="preserve">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</w:p>
    <w:p w14:paraId="16E45664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category M1 is configured with </w:t>
      </w:r>
      <w:proofErr w:type="spellStart"/>
      <w:r w:rsidRPr="00B910B8">
        <w:t>CEMode</w:t>
      </w:r>
      <w:proofErr w:type="spellEnd"/>
      <w:r w:rsidRPr="00B910B8">
        <w:t xml:space="preserve"> A,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TS 36.213 [3].</w:t>
      </w:r>
    </w:p>
    <w:p w14:paraId="50D2FE70" w14:textId="05B3E9A9" w:rsidR="000E7477" w:rsidRDefault="000E7477" w:rsidP="000E7477">
      <w:pPr>
        <w:pStyle w:val="B1"/>
        <w:rPr>
          <w:ins w:id="4" w:author="Santhan Thangarasa" w:date="2019-07-30T09:33:00Z"/>
        </w:rPr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category M1 is configured with </w:t>
      </w:r>
      <w:proofErr w:type="spellStart"/>
      <w:r w:rsidRPr="00B910B8">
        <w:t>CEMode</w:t>
      </w:r>
      <w:proofErr w:type="spellEnd"/>
      <w:r w:rsidRPr="00B910B8">
        <w:t xml:space="preserve"> B,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TS 36.213 [3].</w:t>
      </w:r>
    </w:p>
    <w:p w14:paraId="6217BA2E" w14:textId="56AC27E1" w:rsidR="00F15534" w:rsidRPr="00B910B8" w:rsidRDefault="00F155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  <w:pPrChange w:id="5" w:author="Santhan Thangarasa" w:date="2019-07-30T09:33:00Z">
          <w:pPr>
            <w:pStyle w:val="B1"/>
          </w:pPr>
        </w:pPrChange>
      </w:pPr>
      <w:ins w:id="6" w:author="Santhan Thangarasa" w:date="2019-07-30T09:33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 shall apply provided the UE category M1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</w:t>
        </w:r>
        <w:r>
          <w:rPr>
            <w:lang w:eastAsia="ja-JP"/>
          </w:rPr>
          <w:t xml:space="preserve"> and capable of </w:t>
        </w:r>
        <w:proofErr w:type="spellStart"/>
        <w:r>
          <w:rPr>
            <w:lang w:eastAsia="ja-JP"/>
          </w:rPr>
          <w:t>ce-ModeB</w:t>
        </w:r>
        <w:proofErr w:type="spellEnd"/>
        <w:r>
          <w:rPr>
            <w:lang w:eastAsia="ja-JP"/>
          </w:rPr>
          <w:t xml:space="preserve"> [2]</w:t>
        </w:r>
        <w:r w:rsidRPr="00EF4A05">
          <w:rPr>
            <w:lang w:eastAsia="ja-JP"/>
          </w:rPr>
          <w:t xml:space="preserve">, </w:t>
        </w:r>
      </w:ins>
      <w:ins w:id="7" w:author="Santhan Thangarasa" w:date="2019-08-30T08:05:00Z">
        <w:r w:rsidR="00436AF8">
          <w:rPr>
            <w:lang w:eastAsia="ja-JP"/>
          </w:rPr>
          <w:t xml:space="preserve">-15 dB ≤ </w:t>
        </w:r>
      </w:ins>
      <w:proofErr w:type="gramStart"/>
      <w:ins w:id="8" w:author="Santhan Thangarasa" w:date="2019-07-30T09:33:00Z">
        <w:r w:rsidRPr="00EF4A05">
          <w:rPr>
            <w:lang w:eastAsia="ja-JP"/>
          </w:rPr>
          <w:t xml:space="preserve">SCH  </w:t>
        </w:r>
        <w:proofErr w:type="spellStart"/>
        <w:r w:rsidRPr="00EF4A05">
          <w:rPr>
            <w:lang w:eastAsia="ja-JP"/>
          </w:rPr>
          <w:t>Ês</w:t>
        </w:r>
        <w:proofErr w:type="spellEnd"/>
        <w:proofErr w:type="gram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</w:ins>
      <w:ins w:id="9" w:author="Santhan Thangarasa" w:date="2019-08-30T08:05:00Z">
        <w:r w:rsidR="00436AF8">
          <w:rPr>
            <w:lang w:eastAsia="ja-JP"/>
          </w:rPr>
          <w:t>≤</w:t>
        </w:r>
      </w:ins>
      <w:ins w:id="10" w:author="Santhan Thangarasa" w:date="2019-07-30T09:33:00Z">
        <w:r w:rsidRPr="00EF4A05">
          <w:rPr>
            <w:lang w:eastAsia="ja-JP"/>
          </w:rPr>
          <w:t xml:space="preserve"> -</w:t>
        </w:r>
      </w:ins>
      <w:ins w:id="11" w:author="Santhan Thangarasa" w:date="2019-08-30T08:05:00Z">
        <w:r w:rsidR="00436AF8">
          <w:rPr>
            <w:lang w:eastAsia="ja-JP"/>
          </w:rPr>
          <w:t>6</w:t>
        </w:r>
      </w:ins>
      <w:ins w:id="12" w:author="Santhan Thangarasa" w:date="2019-07-30T09:33:00Z">
        <w:r w:rsidRPr="00EF4A05">
          <w:rPr>
            <w:lang w:eastAsia="ja-JP"/>
          </w:rPr>
          <w:t xml:space="preserve"> dB and </w:t>
        </w:r>
      </w:ins>
      <w:ins w:id="13" w:author="Santhan Thangarasa" w:date="2019-08-30T08:04:00Z">
        <w:r w:rsidR="00476365">
          <w:rPr>
            <w:lang w:eastAsia="ja-JP"/>
          </w:rPr>
          <w:t>-</w:t>
        </w:r>
      </w:ins>
      <w:ins w:id="14" w:author="Santhan Thangarasa" w:date="2019-08-30T08:05:00Z">
        <w:r w:rsidR="008F429C">
          <w:rPr>
            <w:lang w:eastAsia="ja-JP"/>
          </w:rPr>
          <w:t>15</w:t>
        </w:r>
      </w:ins>
      <w:ins w:id="15" w:author="Santhan Thangarasa" w:date="2019-08-30T08:04:00Z">
        <w:r w:rsidR="00476365">
          <w:rPr>
            <w:lang w:eastAsia="ja-JP"/>
          </w:rPr>
          <w:t xml:space="preserve"> dB ≤ </w:t>
        </w:r>
      </w:ins>
      <w:ins w:id="16" w:author="Santhan Thangarasa" w:date="2019-07-30T09:33:00Z">
        <w:r w:rsidRPr="00EF4A05">
          <w:rPr>
            <w:lang w:eastAsia="ja-JP"/>
          </w:rPr>
          <w:t xml:space="preserve">CRS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</w:ins>
      <w:proofErr w:type="spellEnd"/>
      <w:ins w:id="17" w:author="Santhan Thangarasa" w:date="2019-08-30T08:04:00Z">
        <w:r w:rsidR="00476365">
          <w:rPr>
            <w:lang w:eastAsia="ja-JP"/>
          </w:rPr>
          <w:t xml:space="preserve"> ≤ </w:t>
        </w:r>
      </w:ins>
      <w:ins w:id="18" w:author="Santhan Thangarasa" w:date="2019-07-30T09:33:00Z">
        <w:r w:rsidRPr="00EF4A05">
          <w:rPr>
            <w:lang w:eastAsia="ja-JP"/>
          </w:rPr>
          <w:t>-</w:t>
        </w:r>
      </w:ins>
      <w:ins w:id="19" w:author="Santhan Thangarasa" w:date="2019-08-30T08:04:00Z">
        <w:r w:rsidR="00476365">
          <w:rPr>
            <w:lang w:eastAsia="ja-JP"/>
          </w:rPr>
          <w:t>6</w:t>
        </w:r>
      </w:ins>
      <w:ins w:id="20" w:author="Santhan Thangarasa" w:date="2019-07-30T09:33:00Z"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dB.</w:t>
        </w:r>
        <w:proofErr w:type="spellEnd"/>
        <w:r w:rsidRPr="00EF4A05">
          <w:rPr>
            <w:lang w:eastAsia="ja-JP"/>
          </w:rPr>
          <w:t xml:space="preserve"> </w:t>
        </w:r>
      </w:ins>
    </w:p>
    <w:p w14:paraId="4977ECCC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 for UE category M2 </w:t>
      </w:r>
      <w:proofErr w:type="gramStart"/>
      <w:r w:rsidRPr="00B910B8">
        <w:t>are</w:t>
      </w:r>
      <w:proofErr w:type="gramEnd"/>
      <w:r w:rsidRPr="00B910B8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18C42D59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normal coverage in idle mode shall apply provided the UE category M2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390C5DA3" w14:textId="56D5B1AB" w:rsidR="000E7477" w:rsidRPr="00B910B8" w:rsidRDefault="000E7477" w:rsidP="000E7477">
      <w:pPr>
        <w:pStyle w:val="B1"/>
      </w:pPr>
      <w:r w:rsidRPr="00B910B8">
        <w:lastRenderedPageBreak/>
        <w:t>-</w:t>
      </w:r>
      <w:r w:rsidRPr="00B910B8">
        <w:tab/>
        <w:t xml:space="preserve">The requirements for enhanced coverage in idle mode shall apply provided the UE category M2 is </w:t>
      </w:r>
      <w:ins w:id="21" w:author="Santhan Thangarasa" w:date="2019-08-16T18:45:00Z">
        <w:r w:rsidR="009279ED" w:rsidRPr="00E07069">
          <w:t xml:space="preserve">capable of </w:t>
        </w:r>
        <w:proofErr w:type="spellStart"/>
        <w:r w:rsidR="009279ED" w:rsidRPr="00E07069">
          <w:t>ce-ModeB</w:t>
        </w:r>
        <w:proofErr w:type="spellEnd"/>
        <w:r w:rsidR="009279ED" w:rsidRPr="00E07069">
          <w:t xml:space="preserve"> [2] and is </w:t>
        </w:r>
      </w:ins>
      <w:r w:rsidRPr="00B910B8">
        <w:t xml:space="preserve">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</w:p>
    <w:p w14:paraId="2A7119CC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category M2 is configured with </w:t>
      </w:r>
      <w:proofErr w:type="spellStart"/>
      <w:r w:rsidRPr="00B910B8">
        <w:t>CEMode</w:t>
      </w:r>
      <w:proofErr w:type="spellEnd"/>
      <w:r w:rsidRPr="00B910B8">
        <w:t xml:space="preserve"> A,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TS 36.213 [3].</w:t>
      </w:r>
    </w:p>
    <w:p w14:paraId="4FF769F2" w14:textId="39B831AE" w:rsidR="000E7477" w:rsidRDefault="000E7477" w:rsidP="000E7477">
      <w:pPr>
        <w:pStyle w:val="B1"/>
        <w:rPr>
          <w:ins w:id="22" w:author="Santhan Thangarasa" w:date="2019-07-30T09:34:00Z"/>
        </w:rPr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category M2 is configured with </w:t>
      </w:r>
      <w:proofErr w:type="spellStart"/>
      <w:r w:rsidRPr="00B910B8">
        <w:t>CEMode</w:t>
      </w:r>
      <w:proofErr w:type="spellEnd"/>
      <w:r w:rsidRPr="00B910B8">
        <w:t xml:space="preserve"> B,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TS 36.213 [3].</w:t>
      </w:r>
    </w:p>
    <w:p w14:paraId="6A56A212" w14:textId="218742B5" w:rsidR="00816BE0" w:rsidRPr="00B910B8" w:rsidRDefault="00816B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  <w:pPrChange w:id="23" w:author="Santhan Thangarasa" w:date="2019-07-30T09:34:00Z">
          <w:pPr>
            <w:pStyle w:val="B1"/>
          </w:pPr>
        </w:pPrChange>
      </w:pPr>
      <w:ins w:id="24" w:author="Santhan Thangarasa" w:date="2019-07-30T09:34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 shall apply provided the UE category M</w:t>
        </w:r>
        <w:r>
          <w:rPr>
            <w:lang w:eastAsia="ja-JP"/>
          </w:rPr>
          <w:t>2</w:t>
        </w:r>
        <w:r w:rsidRPr="00EF4A05">
          <w:rPr>
            <w:lang w:eastAsia="ja-JP"/>
          </w:rPr>
          <w:t xml:space="preserve">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</w:t>
        </w:r>
        <w:r>
          <w:rPr>
            <w:lang w:eastAsia="ja-JP"/>
          </w:rPr>
          <w:t xml:space="preserve"> and capable of </w:t>
        </w:r>
        <w:proofErr w:type="spellStart"/>
        <w:r>
          <w:rPr>
            <w:lang w:eastAsia="ja-JP"/>
          </w:rPr>
          <w:t>ce-ModeB</w:t>
        </w:r>
        <w:proofErr w:type="spellEnd"/>
        <w:r>
          <w:rPr>
            <w:lang w:eastAsia="ja-JP"/>
          </w:rPr>
          <w:t xml:space="preserve"> [2]</w:t>
        </w:r>
        <w:r w:rsidRPr="00EF4A05">
          <w:rPr>
            <w:lang w:eastAsia="ja-JP"/>
          </w:rPr>
          <w:t xml:space="preserve">, </w:t>
        </w:r>
      </w:ins>
      <w:ins w:id="25" w:author="Santhan Thangarasa" w:date="2019-08-30T08:06:00Z">
        <w:r w:rsidR="00426458">
          <w:rPr>
            <w:lang w:eastAsia="ja-JP"/>
          </w:rPr>
          <w:t xml:space="preserve">-15 dB ≤ </w:t>
        </w:r>
        <w:proofErr w:type="gramStart"/>
        <w:r w:rsidR="00426458" w:rsidRPr="00EF4A05">
          <w:rPr>
            <w:lang w:eastAsia="ja-JP"/>
          </w:rPr>
          <w:t xml:space="preserve">SCH  </w:t>
        </w:r>
        <w:proofErr w:type="spellStart"/>
        <w:r w:rsidR="00426458" w:rsidRPr="00EF4A05">
          <w:rPr>
            <w:lang w:eastAsia="ja-JP"/>
          </w:rPr>
          <w:t>Ês</w:t>
        </w:r>
        <w:proofErr w:type="spellEnd"/>
        <w:proofErr w:type="gramEnd"/>
        <w:r w:rsidR="00426458" w:rsidRPr="00EF4A05">
          <w:rPr>
            <w:lang w:eastAsia="ja-JP"/>
          </w:rPr>
          <w:t>/</w:t>
        </w:r>
        <w:proofErr w:type="spellStart"/>
        <w:r w:rsidR="00426458" w:rsidRPr="00EF4A05">
          <w:rPr>
            <w:lang w:eastAsia="ja-JP"/>
          </w:rPr>
          <w:t>Iot</w:t>
        </w:r>
        <w:proofErr w:type="spellEnd"/>
        <w:r w:rsidR="00426458" w:rsidRPr="00EF4A05">
          <w:rPr>
            <w:lang w:eastAsia="ja-JP"/>
          </w:rPr>
          <w:t xml:space="preserve"> </w:t>
        </w:r>
        <w:r w:rsidR="00426458">
          <w:rPr>
            <w:lang w:eastAsia="ja-JP"/>
          </w:rPr>
          <w:t>≤</w:t>
        </w:r>
        <w:r w:rsidR="00426458" w:rsidRPr="00EF4A05">
          <w:rPr>
            <w:lang w:eastAsia="ja-JP"/>
          </w:rPr>
          <w:t xml:space="preserve"> -</w:t>
        </w:r>
        <w:r w:rsidR="00426458">
          <w:rPr>
            <w:lang w:eastAsia="ja-JP"/>
          </w:rPr>
          <w:t>6</w:t>
        </w:r>
        <w:r w:rsidR="00426458" w:rsidRPr="00EF4A05">
          <w:rPr>
            <w:lang w:eastAsia="ja-JP"/>
          </w:rPr>
          <w:t xml:space="preserve"> dB and </w:t>
        </w:r>
        <w:r w:rsidR="00426458">
          <w:rPr>
            <w:lang w:eastAsia="ja-JP"/>
          </w:rPr>
          <w:t xml:space="preserve">-15 dB ≤ </w:t>
        </w:r>
        <w:r w:rsidR="00426458" w:rsidRPr="00EF4A05">
          <w:rPr>
            <w:lang w:eastAsia="ja-JP"/>
          </w:rPr>
          <w:t xml:space="preserve">CRS </w:t>
        </w:r>
        <w:proofErr w:type="spellStart"/>
        <w:r w:rsidR="00426458" w:rsidRPr="00EF4A05">
          <w:rPr>
            <w:lang w:eastAsia="ja-JP"/>
          </w:rPr>
          <w:t>Ês</w:t>
        </w:r>
        <w:proofErr w:type="spellEnd"/>
        <w:r w:rsidR="00426458" w:rsidRPr="00EF4A05">
          <w:rPr>
            <w:lang w:eastAsia="ja-JP"/>
          </w:rPr>
          <w:t>/</w:t>
        </w:r>
        <w:proofErr w:type="spellStart"/>
        <w:r w:rsidR="00426458" w:rsidRPr="00EF4A05">
          <w:rPr>
            <w:lang w:eastAsia="ja-JP"/>
          </w:rPr>
          <w:t>Iot</w:t>
        </w:r>
        <w:proofErr w:type="spellEnd"/>
        <w:r w:rsidR="00426458">
          <w:rPr>
            <w:lang w:eastAsia="ja-JP"/>
          </w:rPr>
          <w:t xml:space="preserve"> ≤ </w:t>
        </w:r>
        <w:r w:rsidR="00426458" w:rsidRPr="00EF4A05">
          <w:rPr>
            <w:lang w:eastAsia="ja-JP"/>
          </w:rPr>
          <w:t>-</w:t>
        </w:r>
        <w:r w:rsidR="00426458">
          <w:rPr>
            <w:lang w:eastAsia="ja-JP"/>
          </w:rPr>
          <w:t>6</w:t>
        </w:r>
        <w:r w:rsidR="00426458" w:rsidRPr="00EF4A05">
          <w:rPr>
            <w:lang w:eastAsia="ja-JP"/>
          </w:rPr>
          <w:t xml:space="preserve"> </w:t>
        </w:r>
        <w:proofErr w:type="spellStart"/>
        <w:r w:rsidR="00426458" w:rsidRPr="00EF4A05">
          <w:rPr>
            <w:lang w:eastAsia="ja-JP"/>
          </w:rPr>
          <w:t>dB</w:t>
        </w:r>
      </w:ins>
      <w:ins w:id="26" w:author="Santhan Thangarasa" w:date="2019-07-30T09:34:00Z">
        <w:r w:rsidRPr="00EF4A05">
          <w:rPr>
            <w:lang w:eastAsia="ja-JP"/>
          </w:rPr>
          <w:t>.</w:t>
        </w:r>
        <w:proofErr w:type="spellEnd"/>
        <w:r w:rsidRPr="00EF4A05">
          <w:rPr>
            <w:lang w:eastAsia="ja-JP"/>
          </w:rPr>
          <w:t xml:space="preserve"> </w:t>
        </w:r>
      </w:ins>
    </w:p>
    <w:p w14:paraId="61A843A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Unless explicitly defined the following additional requirements are applicable to UE category M2:</w:t>
      </w:r>
    </w:p>
    <w:p w14:paraId="0F38363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7A856A1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6B4413CD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Random access requirements in section 6.2.3</w:t>
      </w:r>
    </w:p>
    <w:p w14:paraId="2DB88DB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1C20A0A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2ABF3ED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Radio Link monitoring </w:t>
      </w:r>
      <w:proofErr w:type="spellStart"/>
      <w:r w:rsidRPr="00B910B8">
        <w:t>requreiements</w:t>
      </w:r>
      <w:proofErr w:type="spellEnd"/>
      <w:r w:rsidRPr="00B910B8">
        <w:t xml:space="preserve"> in section 7.19</w:t>
      </w:r>
    </w:p>
    <w:p w14:paraId="05D9BB36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0CEFAD9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61E2F1FC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</w:p>
    <w:p w14:paraId="5A6A4DFA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</w:p>
    <w:p w14:paraId="3B3E4C35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5FFE65A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3D8F37D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Measurement accuracy requirements in section 9.1.21.1 to 9.1.21.16.</w:t>
      </w:r>
    </w:p>
    <w:p w14:paraId="3A5E5ACC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14:paraId="50CE0B3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-6 dB, unless corresponding individual non-BL/CE requirements are specified.</w:t>
      </w:r>
    </w:p>
    <w:p w14:paraId="0B912549" w14:textId="053A8E4E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enhanced coverage in idle mode shall apply provided the UE is non-BL/CE </w:t>
      </w:r>
      <w:ins w:id="27" w:author="Santhan Thangarasa" w:date="2019-08-16T18:46:00Z">
        <w:r w:rsidR="00E66C56" w:rsidRPr="00E07069">
          <w:t xml:space="preserve">capable of </w:t>
        </w:r>
        <w:proofErr w:type="spellStart"/>
        <w:r w:rsidR="00E66C56" w:rsidRPr="00E07069">
          <w:t>ce-ModeB</w:t>
        </w:r>
        <w:proofErr w:type="spellEnd"/>
        <w:r w:rsidR="00E66C56" w:rsidRPr="00E07069">
          <w:t xml:space="preserve"> [2] </w:t>
        </w:r>
      </w:ins>
      <w:r w:rsidRPr="00B910B8">
        <w:t xml:space="preserve">and with the radio condition that the serving cell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-15dB and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-15 dB, unless corresponding individual non-BL/CE requirements are specified.</w:t>
      </w:r>
    </w:p>
    <w:p w14:paraId="5A500F00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is non-BL/CE and is configured with </w:t>
      </w:r>
      <w:proofErr w:type="spellStart"/>
      <w:r w:rsidRPr="00B910B8">
        <w:t>CEModeA</w:t>
      </w:r>
      <w:proofErr w:type="spellEnd"/>
      <w:r w:rsidRPr="00B910B8">
        <w:t xml:space="preserve">,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dB, unless corresponding individual non-BL/CE requirements are specified.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[3].</w:t>
      </w:r>
    </w:p>
    <w:p w14:paraId="4C5C56A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Cat-M2 UE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is non-BL/CE and is configured with </w:t>
      </w:r>
      <w:proofErr w:type="spellStart"/>
      <w:r w:rsidRPr="00B910B8">
        <w:t>CEMode</w:t>
      </w:r>
      <w:proofErr w:type="spellEnd"/>
      <w:r w:rsidRPr="00B910B8">
        <w:t xml:space="preserve"> B,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dB, unless corresponding individual non-BL/CE requirements are specified.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[3].</w:t>
      </w:r>
    </w:p>
    <w:p w14:paraId="0D7534D7" w14:textId="77777777" w:rsidR="000E7477" w:rsidRPr="00B910B8" w:rsidRDefault="000E7477" w:rsidP="000E7477">
      <w:pPr>
        <w:pStyle w:val="B1"/>
      </w:pPr>
      <w:r w:rsidRPr="00B910B8">
        <w:lastRenderedPageBreak/>
        <w:t>-</w:t>
      </w:r>
      <w:r w:rsidRPr="00B910B8">
        <w:tab/>
        <w:t>Unless explicitly defined the following additional requirements are applicable to non-BL/CE UE:</w:t>
      </w:r>
    </w:p>
    <w:p w14:paraId="6478CC5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0944BE5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2D47C09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Random access requirements in section 6.2.3</w:t>
      </w:r>
    </w:p>
    <w:p w14:paraId="34B338C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5A968D7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5CBE50F8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7.26</w:t>
      </w:r>
    </w:p>
    <w:p w14:paraId="0C351728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Radio Link monitoring </w:t>
      </w:r>
      <w:proofErr w:type="spellStart"/>
      <w:r w:rsidRPr="00B910B8">
        <w:t>requreiements</w:t>
      </w:r>
      <w:proofErr w:type="spellEnd"/>
      <w:r w:rsidRPr="00B910B8">
        <w:t xml:space="preserve"> in section 7.19</w:t>
      </w:r>
    </w:p>
    <w:p w14:paraId="6BC623EF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2B5D6FD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3A97CFFD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  <w:r w:rsidRPr="00B910B8">
        <w:rPr>
          <w:lang w:eastAsia="zh-CN"/>
        </w:rPr>
        <w:t>.1, 8.13.3.1.2, and 8.13.3.1.3</w:t>
      </w:r>
    </w:p>
    <w:p w14:paraId="6D12EAAF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</w:p>
    <w:p w14:paraId="09C22A3F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78DB714D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B910B8">
        <w:rPr>
          <w:lang w:eastAsia="zh-CN"/>
        </w:rPr>
        <w:t>, 8.16.2.1, 8.16.2.2, 8.16.2.2a</w:t>
      </w:r>
      <w:r w:rsidRPr="00B910B8">
        <w:rPr>
          <w:rFonts w:hint="eastAsia"/>
          <w:lang w:eastAsia="zh-CN"/>
        </w:rPr>
        <w:t xml:space="preserve"> and 8.13.3.4</w:t>
      </w:r>
    </w:p>
    <w:p w14:paraId="15967C94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</w:t>
      </w:r>
      <w:r w:rsidRPr="00B910B8">
        <w:rPr>
          <w:lang w:eastAsia="zh-CN"/>
        </w:rPr>
        <w:t>OTDOA</w:t>
      </w:r>
      <w:r w:rsidRPr="00B910B8">
        <w:rPr>
          <w:rFonts w:hint="eastAsia"/>
          <w:lang w:eastAsia="zh-CN"/>
        </w:rPr>
        <w:t xml:space="preserve"> </w:t>
      </w:r>
      <w:r w:rsidRPr="00B910B8">
        <w:rPr>
          <w:lang w:eastAsia="zh-CN"/>
        </w:rPr>
        <w:t>RSTD measurements</w:t>
      </w:r>
      <w:r w:rsidRPr="00B910B8">
        <w:rPr>
          <w:rFonts w:hint="eastAsia"/>
          <w:lang w:eastAsia="zh-CN"/>
        </w:rPr>
        <w:t xml:space="preserve"> requirements in section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,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 xml:space="preserve">4,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 xml:space="preserve">1 and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2</w:t>
      </w:r>
    </w:p>
    <w:p w14:paraId="4935F8EE" w14:textId="77777777" w:rsidR="000E7477" w:rsidRPr="00B910B8" w:rsidRDefault="000E7477" w:rsidP="000E7477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>Measurement accuracy requirements in section 9.1.25</w:t>
      </w:r>
    </w:p>
    <w:p w14:paraId="369BA105" w14:textId="77777777" w:rsidR="000E7477" w:rsidRPr="00B910B8" w:rsidRDefault="000E7477" w:rsidP="000E7477">
      <w:pPr>
        <w:pStyle w:val="B2"/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 xml:space="preserve">Measurement accuracy requirements in section 9.1.21 </w:t>
      </w:r>
      <w:r w:rsidRPr="00B910B8">
        <w:rPr>
          <w:lang w:eastAsia="zh-CN"/>
        </w:rPr>
        <w:t xml:space="preserve">if the UE is of </w:t>
      </w:r>
      <w:r w:rsidRPr="00B910B8">
        <w:t>category 1bis</w:t>
      </w:r>
      <w:r w:rsidRPr="00B910B8">
        <w:rPr>
          <w:lang w:eastAsia="zh-CN"/>
        </w:rPr>
        <w:t>.</w:t>
      </w:r>
    </w:p>
    <w:p w14:paraId="0B7D1F80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Requirements for E-UTRA </w:t>
      </w:r>
      <w:proofErr w:type="spellStart"/>
      <w:r w:rsidRPr="00B910B8">
        <w:t>ProSe</w:t>
      </w:r>
      <w:proofErr w:type="spellEnd"/>
      <w:r w:rsidRPr="00B910B8">
        <w:t xml:space="preserve"> Direct Discovery and E-UTRA </w:t>
      </w:r>
      <w:proofErr w:type="spellStart"/>
      <w:r w:rsidRPr="00B910B8">
        <w:t>ProSe</w:t>
      </w:r>
      <w:proofErr w:type="spellEnd"/>
      <w:r w:rsidRPr="00B910B8">
        <w:t xml:space="preserve"> Direct Communication are applicable for </w:t>
      </w:r>
      <w:proofErr w:type="spellStart"/>
      <w:r w:rsidRPr="00B910B8">
        <w:t>ProSe</w:t>
      </w:r>
      <w:proofErr w:type="spellEnd"/>
      <w:r w:rsidRPr="00B910B8">
        <w:t xml:space="preserve"> operation on either the uplink frequency of PCC, or SCC, or a non-serving carrier, but:</w:t>
      </w:r>
    </w:p>
    <w:p w14:paraId="5A2E2D7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with </w:t>
      </w:r>
      <w:proofErr w:type="spellStart"/>
      <w:r w:rsidRPr="00B910B8">
        <w:t>ProSe</w:t>
      </w:r>
      <w:proofErr w:type="spellEnd"/>
      <w:r w:rsidRPr="00B910B8">
        <w:t xml:space="preserve"> operation limited to one carrier on a given subframe.</w:t>
      </w:r>
    </w:p>
    <w:p w14:paraId="38922DE1" w14:textId="77777777" w:rsidR="000E7477" w:rsidRPr="00B910B8" w:rsidRDefault="000E7477" w:rsidP="000E7477">
      <w:pPr>
        <w:pStyle w:val="B1"/>
        <w:rPr>
          <w:lang w:val="en-US"/>
        </w:rPr>
      </w:pPr>
      <w:r w:rsidRPr="00B910B8">
        <w:t>-</w:t>
      </w:r>
      <w:r w:rsidRPr="00B910B8">
        <w:tab/>
        <w:t xml:space="preserve">Requirements for </w:t>
      </w:r>
      <w:r w:rsidRPr="00B910B8">
        <w:rPr>
          <w:lang w:val="en-US"/>
        </w:rPr>
        <w:t xml:space="preserve">interruptions due to </w:t>
      </w:r>
      <w:proofErr w:type="spellStart"/>
      <w:r w:rsidRPr="00B910B8">
        <w:rPr>
          <w:lang w:val="en-US"/>
        </w:rPr>
        <w:t>ProSe</w:t>
      </w:r>
      <w:proofErr w:type="spellEnd"/>
      <w:r w:rsidRPr="00B910B8">
        <w:rPr>
          <w:lang w:val="en-US"/>
        </w:rPr>
        <w:t xml:space="preserve"> Direct Discovery and/or </w:t>
      </w:r>
      <w:proofErr w:type="spellStart"/>
      <w:r w:rsidRPr="00B910B8">
        <w:rPr>
          <w:lang w:val="en-US"/>
        </w:rPr>
        <w:t>ProSe</w:t>
      </w:r>
      <w:proofErr w:type="spellEnd"/>
      <w:r w:rsidRPr="00B910B8">
        <w:rPr>
          <w:lang w:val="en-US"/>
        </w:rPr>
        <w:t xml:space="preserve"> Direct Communications specified in clause 7.16.3 apply, but:</w:t>
      </w:r>
    </w:p>
    <w:p w14:paraId="5AF6E4C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 xml:space="preserve">two downlink CCs, unless the UE is configured with reception gap for </w:t>
      </w:r>
      <w:proofErr w:type="spellStart"/>
      <w:r w:rsidRPr="00B910B8">
        <w:t>ProSe</w:t>
      </w:r>
      <w:proofErr w:type="spellEnd"/>
      <w:r w:rsidRPr="00B910B8">
        <w:t xml:space="preserve"> operation, and</w:t>
      </w:r>
    </w:p>
    <w:p w14:paraId="4CB4AB65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 xml:space="preserve">two uplink CCs, unless the UE is configured with transmission gap for </w:t>
      </w:r>
      <w:proofErr w:type="spellStart"/>
      <w:r w:rsidRPr="00B910B8">
        <w:t>ProSe</w:t>
      </w:r>
      <w:proofErr w:type="spellEnd"/>
      <w:r w:rsidRPr="00B910B8">
        <w:t xml:space="preserve"> operation.</w:t>
      </w:r>
    </w:p>
    <w:p w14:paraId="4A20257F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</w:t>
      </w:r>
      <w:r w:rsidRPr="00B910B8">
        <w:rPr>
          <w:rFonts w:hint="eastAsia"/>
        </w:rPr>
        <w:t xml:space="preserve">UE category NB1 </w:t>
      </w:r>
      <w:r w:rsidRPr="00B910B8">
        <w:t xml:space="preserve">are derived assuming </w:t>
      </w:r>
      <w:r w:rsidRPr="00B910B8">
        <w:rPr>
          <w:rFonts w:hint="eastAsia"/>
        </w:rPr>
        <w:t>UE category NB1</w:t>
      </w:r>
      <w:r w:rsidRPr="00B910B8">
        <w:t xml:space="preserve">and a single antenna receiver. </w:t>
      </w:r>
      <w:r w:rsidRPr="00B910B8">
        <w:rPr>
          <w:rFonts w:hint="eastAsia"/>
        </w:rPr>
        <w:t xml:space="preserve">UE category NB1 is </w:t>
      </w:r>
      <w:r w:rsidRPr="00B910B8">
        <w:t>defined in TS 36.306 [31].</w:t>
      </w:r>
    </w:p>
    <w:p w14:paraId="4E4B50E1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normal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</w:t>
      </w:r>
      <w:proofErr w:type="gramStart"/>
      <w:r w:rsidRPr="00B910B8">
        <w:t>are</w:t>
      </w:r>
      <w:proofErr w:type="gramEnd"/>
      <w:r w:rsidRPr="00B910B8">
        <w:t xml:space="preserve">: </w:t>
      </w:r>
      <w:r w:rsidRPr="00B910B8">
        <w:rPr>
          <w:rFonts w:hint="eastAsia"/>
        </w:rPr>
        <w:t>N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rPr>
          <w:rFonts w:hint="eastAsia"/>
        </w:rPr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 xml:space="preserve">-6 dB and </w:t>
      </w:r>
      <w:r w:rsidRPr="00B910B8">
        <w:rPr>
          <w:rFonts w:hint="eastAsia"/>
        </w:rPr>
        <w:t xml:space="preserve">NRS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3A6A961D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enhanced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</w:t>
      </w:r>
      <w:proofErr w:type="gramStart"/>
      <w:r w:rsidRPr="00B910B8">
        <w:t>are</w:t>
      </w:r>
      <w:proofErr w:type="gramEnd"/>
      <w:r w:rsidRPr="00B910B8">
        <w:t xml:space="preserve">: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>N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t>&lt; -6</w:t>
      </w:r>
      <w:r w:rsidRPr="00B910B8">
        <w:t xml:space="preserve"> dB and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 xml:space="preserve">NRS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t>&lt;</w:t>
      </w:r>
      <w:r w:rsidRPr="00B910B8">
        <w:t xml:space="preserve"> -6 </w:t>
      </w:r>
      <w:proofErr w:type="spellStart"/>
      <w:r w:rsidRPr="00B910B8">
        <w:t>dB.</w:t>
      </w:r>
      <w:proofErr w:type="spellEnd"/>
    </w:p>
    <w:p w14:paraId="260DB03A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The measurement accuracy requirements in section 9.1.22 for intra-frequency and inter-frequency absolute NRSRQ accuracy for UE Category NB1 apply only in idle mode.</w:t>
      </w:r>
    </w:p>
    <w:p w14:paraId="762E64CD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The measurement accuracy requirements in section 9.1.22 for intra-frequency absolute NRSRP accuracy for UE Category NB1 apply in idle and connected mode.</w:t>
      </w:r>
    </w:p>
    <w:p w14:paraId="6CDE1477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>The measurement accuracy requirements in section 9.1.22 for inter-frequency absolute NRSRP accuracy for UE Category NB1 apply only in idle mode.</w:t>
      </w:r>
    </w:p>
    <w:p w14:paraId="1EC40D26" w14:textId="77777777" w:rsidR="000E7477" w:rsidRPr="00B910B8" w:rsidRDefault="000E7477" w:rsidP="000E7477">
      <w:pPr>
        <w:pStyle w:val="B1"/>
        <w:rPr>
          <w:rFonts w:eastAsia="Malgun Gothic"/>
        </w:rPr>
      </w:pPr>
      <w:r w:rsidRPr="00B910B8">
        <w:lastRenderedPageBreak/>
        <w:t>-</w:t>
      </w:r>
      <w:r w:rsidRPr="00B910B8">
        <w:tab/>
        <w:t xml:space="preserve">The requirements for SRS </w:t>
      </w:r>
      <w:proofErr w:type="gramStart"/>
      <w:r w:rsidRPr="00B910B8">
        <w:t>carrier based</w:t>
      </w:r>
      <w:proofErr w:type="gramEnd"/>
      <w:r w:rsidRPr="00B910B8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62391E47" w14:textId="77777777" w:rsidR="000E7477" w:rsidRPr="00B910B8" w:rsidRDefault="000E7477" w:rsidP="000E7477">
      <w:pPr>
        <w:pStyle w:val="B1"/>
        <w:rPr>
          <w:rFonts w:eastAsia="Malgun Gothic"/>
        </w:rPr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1bis are derived assuming UE category 1bis [31] and a single antenna receiver. Following requirements are applicable to UE category 1bis.</w:t>
      </w:r>
    </w:p>
    <w:p w14:paraId="444B81D4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Cell re-selection requirements in section 4.2.2.1 to 4.2.2.10</w:t>
      </w:r>
    </w:p>
    <w:p w14:paraId="1FC07B68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Handover requirements in section 5.1, 5.2, 5.3 and 5.4</w:t>
      </w:r>
    </w:p>
    <w:p w14:paraId="364B1302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re-establishment requirements in section 6.1</w:t>
      </w:r>
    </w:p>
    <w:p w14:paraId="7924FF7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Random access requirements in section 6.2</w:t>
      </w:r>
    </w:p>
    <w:p w14:paraId="1B69DDA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connection release with redirection requirements in section 6.3</w:t>
      </w:r>
    </w:p>
    <w:p w14:paraId="47697D6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7.1</w:t>
      </w:r>
    </w:p>
    <w:p w14:paraId="34FDA10E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timer accuracy requirements in section 7.2</w:t>
      </w:r>
    </w:p>
    <w:p w14:paraId="0118637E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Timing advance requirements in section 7.3</w:t>
      </w:r>
    </w:p>
    <w:p w14:paraId="1FAD7E3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Radio link monitoring requirements in section 7.11</w:t>
      </w:r>
    </w:p>
    <w:p w14:paraId="5DD0BD1B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UE measurement capability in section </w:t>
      </w:r>
      <w:r w:rsidRPr="00B910B8">
        <w:t>8.1.2.1</w:t>
      </w:r>
    </w:p>
    <w:p w14:paraId="2BF39D13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E-UTRAN intra frequency measurement requirements in section </w:t>
      </w:r>
      <w:r w:rsidRPr="00B910B8">
        <w:t>8.5.2.1.1</w:t>
      </w:r>
      <w:r w:rsidRPr="00B910B8">
        <w:rPr>
          <w:rFonts w:eastAsia="Malgun Gothic"/>
        </w:rPr>
        <w:t xml:space="preserve"> and </w:t>
      </w:r>
      <w:r w:rsidRPr="00B910B8">
        <w:t>8.5.2.1.3</w:t>
      </w:r>
    </w:p>
    <w:p w14:paraId="3BDD9F0B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inter frequency measurement requirements in section 8.1.2.3.1, 8.1.2.3.2, 8.1.2.3.3 and 8.1.2.3.4</w:t>
      </w:r>
    </w:p>
    <w:p w14:paraId="402B4B3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Inter RAT measurement requirements in section 8.1.2.4</w:t>
      </w:r>
    </w:p>
    <w:p w14:paraId="57F1CEEE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Intra-Frequency measurement requirements in section 8.1.2.5.3, 8.1.2.5.4</w:t>
      </w:r>
    </w:p>
    <w:p w14:paraId="729C58A6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Inter-Frequency measurement requirements in section 8.1.2.6.5, 8.1.2.6.6, 8.1.2.6.7 and 8.1.2.6.8</w:t>
      </w:r>
    </w:p>
    <w:p w14:paraId="7301D07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E-CID measurement requirements in section 8.1.2.7</w:t>
      </w:r>
    </w:p>
    <w:p w14:paraId="27A832BD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CGI reading requirements for UE category 0 in section 8.5.2.1.4 and 8.5.2.1.6</w:t>
      </w:r>
    </w:p>
    <w:p w14:paraId="7AAF42B7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RSRP Accuracy Requirements in section 9.1.2.7 and 9.1.2.8</w:t>
      </w:r>
    </w:p>
    <w:p w14:paraId="309F6051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RSRP Accuracy Requirements in section 9.1.3.3 and 9.1.3.4</w:t>
      </w:r>
    </w:p>
    <w:p w14:paraId="6D3EC463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RSRQ Accuracy Requirements in section 9.1.5.5</w:t>
      </w:r>
    </w:p>
    <w:p w14:paraId="1C00F650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RSRQ Accuracy Requirements in section 9.1.6.5 and 9.1.6.6</w:t>
      </w:r>
    </w:p>
    <w:p w14:paraId="6BF627B6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Intra-Frequency Accuracy Requirement in section 9.1.10.5</w:t>
      </w:r>
    </w:p>
    <w:p w14:paraId="5D5E6A5A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Inter-Frequency Accuracy Requirement in section 9.1.10.6</w:t>
      </w:r>
    </w:p>
    <w:p w14:paraId="0A22D4A4" w14:textId="77777777" w:rsidR="000E7477" w:rsidRPr="00B910B8" w:rsidRDefault="000E7477" w:rsidP="000E7477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Rx – Tx time difference measurement accuracy requirements in section 9.1.9.1 and 9.1.9.2</w:t>
      </w:r>
    </w:p>
    <w:p w14:paraId="7544582A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The requirements for UE category NB2 are derived assuming UE category NB2 and a single antenna receiver. UE category NB2 is defined in </w:t>
      </w:r>
      <w:r w:rsidRPr="00B910B8">
        <w:rPr>
          <w:lang w:eastAsia="zh-CN"/>
        </w:rPr>
        <w:t>TS 36.306</w:t>
      </w:r>
      <w:r w:rsidRPr="00B910B8">
        <w:t xml:space="preserve"> [31]. Following requirements are applicable to UE category NB2.</w:t>
      </w:r>
    </w:p>
    <w:p w14:paraId="59F73320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Cell selection and re-selection requirements in section 4.6.1 and 4.6.2</w:t>
      </w:r>
    </w:p>
    <w:p w14:paraId="7B7133C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Positioning measurement in idle state in section 4.8</w:t>
      </w:r>
    </w:p>
    <w:p w14:paraId="40DD563B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Re-establishment requirements in section 6.5</w:t>
      </w:r>
    </w:p>
    <w:p w14:paraId="0641DA99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Random access requirements in section 6.6</w:t>
      </w:r>
    </w:p>
    <w:p w14:paraId="276BC5CC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RRC connection redirection to non-anchor carrier requirements in section 6.9</w:t>
      </w:r>
    </w:p>
    <w:p w14:paraId="6C8FEF02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transmit timing requirements in section 7.20</w:t>
      </w:r>
    </w:p>
    <w:p w14:paraId="68D12000" w14:textId="77777777" w:rsidR="000E7477" w:rsidRPr="00B910B8" w:rsidRDefault="000E7477" w:rsidP="000E7477">
      <w:pPr>
        <w:pStyle w:val="B2"/>
      </w:pPr>
      <w:r w:rsidRPr="00B910B8">
        <w:lastRenderedPageBreak/>
        <w:t>-</w:t>
      </w:r>
      <w:r w:rsidRPr="00B910B8">
        <w:tab/>
        <w:t>UE timer accuracy requirements in section 7.21</w:t>
      </w:r>
    </w:p>
    <w:p w14:paraId="39C59F0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Timing advance requirements in section 7.22</w:t>
      </w:r>
    </w:p>
    <w:p w14:paraId="6D71BEA1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Radio link monitoring requirements in section 7.23</w:t>
      </w:r>
    </w:p>
    <w:p w14:paraId="3FAB1B74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RRC_CONNECTED state measurement requirement in section 8.14</w:t>
      </w:r>
    </w:p>
    <w:p w14:paraId="2248F973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UE measurement accuracy requirements in section 9.1.22</w:t>
      </w:r>
    </w:p>
    <w:p w14:paraId="64966F1E" w14:textId="77777777" w:rsidR="000E7477" w:rsidRPr="00B910B8" w:rsidRDefault="000E7477" w:rsidP="000E7477">
      <w:pPr>
        <w:pStyle w:val="B2"/>
      </w:pPr>
      <w:r w:rsidRPr="00B910B8">
        <w:t>-</w:t>
      </w:r>
      <w:r w:rsidRPr="00B910B8">
        <w:tab/>
        <w:t>Power headroom requirements in section 9.1.23</w:t>
      </w:r>
    </w:p>
    <w:p w14:paraId="7A31B088" w14:textId="77777777" w:rsidR="000E7477" w:rsidRPr="00B910B8" w:rsidRDefault="000E7477" w:rsidP="000E7477">
      <w:pPr>
        <w:pStyle w:val="B1"/>
      </w:pPr>
      <w:r w:rsidRPr="00B910B8">
        <w:t>-</w:t>
      </w:r>
      <w:r w:rsidRPr="00B910B8">
        <w:tab/>
        <w:t xml:space="preserve">All requirements in this specification for UE receiving PMCH in </w:t>
      </w:r>
      <w:proofErr w:type="spellStart"/>
      <w:r w:rsidRPr="00B910B8">
        <w:t>FeMBMS</w:t>
      </w:r>
      <w:proofErr w:type="spellEnd"/>
      <w:r w:rsidRPr="00B910B8">
        <w:t xml:space="preserve">/Unicast-mixed cells apply only for </w:t>
      </w:r>
      <w:proofErr w:type="spellStart"/>
      <w:r w:rsidRPr="00B910B8">
        <w:t>FeMBMS</w:t>
      </w:r>
      <w:proofErr w:type="spellEnd"/>
      <w:r w:rsidRPr="00B910B8">
        <w:t>/Unicast-mixed cells configured based on frame structure 1.</w:t>
      </w:r>
    </w:p>
    <w:p w14:paraId="7E239419" w14:textId="70BE4A3B" w:rsidR="000E7477" w:rsidRDefault="000E7477" w:rsidP="0080790F">
      <w:pPr>
        <w:pStyle w:val="B1"/>
      </w:pPr>
      <w:r w:rsidRPr="00B910B8">
        <w:t>-</w:t>
      </w:r>
      <w:r w:rsidRPr="00B910B8">
        <w:tab/>
        <w:t xml:space="preserve">Requirements for E-UTRA carrier aggregation with one or more </w:t>
      </w:r>
      <w:proofErr w:type="spellStart"/>
      <w:r w:rsidRPr="00B910B8">
        <w:t>FeMBMS</w:t>
      </w:r>
      <w:proofErr w:type="spellEnd"/>
      <w:r w:rsidRPr="00B910B8">
        <w:t xml:space="preserve">/Unicast-mixed </w:t>
      </w:r>
      <w:proofErr w:type="spellStart"/>
      <w:r w:rsidRPr="00B910B8">
        <w:t>SCells</w:t>
      </w:r>
      <w:proofErr w:type="spellEnd"/>
      <w:r w:rsidRPr="00B910B8">
        <w:t xml:space="preserve"> shall apply, provided the total number of SCCs, including SCCs with </w:t>
      </w:r>
      <w:proofErr w:type="spellStart"/>
      <w:r w:rsidRPr="00B910B8">
        <w:t>FeMBMS</w:t>
      </w:r>
      <w:proofErr w:type="spellEnd"/>
      <w:r w:rsidRPr="00B910B8">
        <w:t xml:space="preserve">/Unicast-mixed </w:t>
      </w:r>
      <w:proofErr w:type="spellStart"/>
      <w:r w:rsidRPr="00B910B8">
        <w:t>SCells</w:t>
      </w:r>
      <w:proofErr w:type="spellEnd"/>
      <w:r w:rsidRPr="00B910B8">
        <w:t xml:space="preserve">, does not exceed the </w:t>
      </w:r>
      <w:proofErr w:type="spellStart"/>
      <w:r w:rsidRPr="00B910B8">
        <w:t>the</w:t>
      </w:r>
      <w:proofErr w:type="spellEnd"/>
      <w:r w:rsidRPr="00B910B8">
        <w:t xml:space="preserve"> maximum number of SCCs the UE is capable of.</w:t>
      </w: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302DF7" w:rsidRDefault="00302DF7">
      <w:r>
        <w:separator/>
      </w:r>
    </w:p>
  </w:endnote>
  <w:endnote w:type="continuationSeparator" w:id="0">
    <w:p w14:paraId="0F185167" w14:textId="77777777" w:rsidR="00302DF7" w:rsidRDefault="0030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302DF7" w:rsidRDefault="00302DF7">
      <w:r>
        <w:separator/>
      </w:r>
    </w:p>
  </w:footnote>
  <w:footnote w:type="continuationSeparator" w:id="0">
    <w:p w14:paraId="0C4D06CB" w14:textId="77777777" w:rsidR="00302DF7" w:rsidRDefault="0030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53BE3"/>
    <w:rsid w:val="00081580"/>
    <w:rsid w:val="00092C87"/>
    <w:rsid w:val="000A48F2"/>
    <w:rsid w:val="000A6394"/>
    <w:rsid w:val="000B7FED"/>
    <w:rsid w:val="000C038A"/>
    <w:rsid w:val="000C5DB7"/>
    <w:rsid w:val="000C6266"/>
    <w:rsid w:val="000C6598"/>
    <w:rsid w:val="000D1408"/>
    <w:rsid w:val="000E031D"/>
    <w:rsid w:val="000E7477"/>
    <w:rsid w:val="00107BF1"/>
    <w:rsid w:val="00145D43"/>
    <w:rsid w:val="00192C46"/>
    <w:rsid w:val="0019538C"/>
    <w:rsid w:val="001A08B3"/>
    <w:rsid w:val="001A7B60"/>
    <w:rsid w:val="001B0506"/>
    <w:rsid w:val="001B52F0"/>
    <w:rsid w:val="001B62B2"/>
    <w:rsid w:val="001B7A65"/>
    <w:rsid w:val="001D04DD"/>
    <w:rsid w:val="001D1114"/>
    <w:rsid w:val="001D6FBA"/>
    <w:rsid w:val="001E41F3"/>
    <w:rsid w:val="001E50A3"/>
    <w:rsid w:val="00215E15"/>
    <w:rsid w:val="002246DF"/>
    <w:rsid w:val="0026004D"/>
    <w:rsid w:val="002640DD"/>
    <w:rsid w:val="00275D12"/>
    <w:rsid w:val="00284FEB"/>
    <w:rsid w:val="002860C4"/>
    <w:rsid w:val="002A43E9"/>
    <w:rsid w:val="002B5741"/>
    <w:rsid w:val="002C07BE"/>
    <w:rsid w:val="002D70A4"/>
    <w:rsid w:val="00302DF7"/>
    <w:rsid w:val="00305409"/>
    <w:rsid w:val="0035119A"/>
    <w:rsid w:val="003609EF"/>
    <w:rsid w:val="0036231A"/>
    <w:rsid w:val="00374DD4"/>
    <w:rsid w:val="00391B02"/>
    <w:rsid w:val="00396D99"/>
    <w:rsid w:val="003E1A36"/>
    <w:rsid w:val="003F40C2"/>
    <w:rsid w:val="00404AA1"/>
    <w:rsid w:val="00410371"/>
    <w:rsid w:val="00422F73"/>
    <w:rsid w:val="004242F1"/>
    <w:rsid w:val="00426458"/>
    <w:rsid w:val="00436AF8"/>
    <w:rsid w:val="00476365"/>
    <w:rsid w:val="00476F09"/>
    <w:rsid w:val="004B75B7"/>
    <w:rsid w:val="004E75EA"/>
    <w:rsid w:val="0051580D"/>
    <w:rsid w:val="00533D6A"/>
    <w:rsid w:val="00547111"/>
    <w:rsid w:val="005556C0"/>
    <w:rsid w:val="00592D74"/>
    <w:rsid w:val="005C0B1A"/>
    <w:rsid w:val="005E2C44"/>
    <w:rsid w:val="00621188"/>
    <w:rsid w:val="006257ED"/>
    <w:rsid w:val="006711A8"/>
    <w:rsid w:val="00695808"/>
    <w:rsid w:val="006A2323"/>
    <w:rsid w:val="006B46FB"/>
    <w:rsid w:val="006D52B6"/>
    <w:rsid w:val="006D5BDA"/>
    <w:rsid w:val="006E21FB"/>
    <w:rsid w:val="006E41C6"/>
    <w:rsid w:val="00742EBD"/>
    <w:rsid w:val="007438FF"/>
    <w:rsid w:val="007742D7"/>
    <w:rsid w:val="00775901"/>
    <w:rsid w:val="00792342"/>
    <w:rsid w:val="007977A8"/>
    <w:rsid w:val="007B512A"/>
    <w:rsid w:val="007C2097"/>
    <w:rsid w:val="007D46C3"/>
    <w:rsid w:val="007D6A07"/>
    <w:rsid w:val="007E02F9"/>
    <w:rsid w:val="007F7259"/>
    <w:rsid w:val="008040A8"/>
    <w:rsid w:val="0080790F"/>
    <w:rsid w:val="00816BE0"/>
    <w:rsid w:val="00817B81"/>
    <w:rsid w:val="008279FA"/>
    <w:rsid w:val="008429AD"/>
    <w:rsid w:val="008626E7"/>
    <w:rsid w:val="00870EE7"/>
    <w:rsid w:val="008A45A6"/>
    <w:rsid w:val="008F429C"/>
    <w:rsid w:val="008F686C"/>
    <w:rsid w:val="00903D11"/>
    <w:rsid w:val="00903FD0"/>
    <w:rsid w:val="009148DE"/>
    <w:rsid w:val="009279ED"/>
    <w:rsid w:val="00951768"/>
    <w:rsid w:val="009564E7"/>
    <w:rsid w:val="0097246E"/>
    <w:rsid w:val="009777D9"/>
    <w:rsid w:val="00991B88"/>
    <w:rsid w:val="00993CE0"/>
    <w:rsid w:val="009A5753"/>
    <w:rsid w:val="009A579D"/>
    <w:rsid w:val="009A665A"/>
    <w:rsid w:val="009E3297"/>
    <w:rsid w:val="009F6225"/>
    <w:rsid w:val="009F734F"/>
    <w:rsid w:val="00A246B6"/>
    <w:rsid w:val="00A310D5"/>
    <w:rsid w:val="00A3350E"/>
    <w:rsid w:val="00A47E70"/>
    <w:rsid w:val="00A50CF0"/>
    <w:rsid w:val="00A567F6"/>
    <w:rsid w:val="00A665C3"/>
    <w:rsid w:val="00A7671C"/>
    <w:rsid w:val="00AA2CBC"/>
    <w:rsid w:val="00AC5820"/>
    <w:rsid w:val="00AD1CD8"/>
    <w:rsid w:val="00AD4897"/>
    <w:rsid w:val="00B02622"/>
    <w:rsid w:val="00B2210F"/>
    <w:rsid w:val="00B258BB"/>
    <w:rsid w:val="00B30AC1"/>
    <w:rsid w:val="00B46459"/>
    <w:rsid w:val="00B66532"/>
    <w:rsid w:val="00B67B97"/>
    <w:rsid w:val="00B968C8"/>
    <w:rsid w:val="00BA3EC5"/>
    <w:rsid w:val="00BA51D9"/>
    <w:rsid w:val="00BB5DFC"/>
    <w:rsid w:val="00BB7E93"/>
    <w:rsid w:val="00BD279D"/>
    <w:rsid w:val="00BD6BB8"/>
    <w:rsid w:val="00BE2650"/>
    <w:rsid w:val="00BE646D"/>
    <w:rsid w:val="00C02854"/>
    <w:rsid w:val="00C3589A"/>
    <w:rsid w:val="00C61D20"/>
    <w:rsid w:val="00C62C85"/>
    <w:rsid w:val="00C66BA2"/>
    <w:rsid w:val="00C95985"/>
    <w:rsid w:val="00CA0450"/>
    <w:rsid w:val="00CC5026"/>
    <w:rsid w:val="00CC5191"/>
    <w:rsid w:val="00CC68D0"/>
    <w:rsid w:val="00CD68A1"/>
    <w:rsid w:val="00CE4CE9"/>
    <w:rsid w:val="00D02FE0"/>
    <w:rsid w:val="00D03F9A"/>
    <w:rsid w:val="00D06D51"/>
    <w:rsid w:val="00D24991"/>
    <w:rsid w:val="00D50255"/>
    <w:rsid w:val="00D531AB"/>
    <w:rsid w:val="00D83554"/>
    <w:rsid w:val="00D90DE3"/>
    <w:rsid w:val="00DD0188"/>
    <w:rsid w:val="00DE34CF"/>
    <w:rsid w:val="00DF32A2"/>
    <w:rsid w:val="00E000B1"/>
    <w:rsid w:val="00E13F3D"/>
    <w:rsid w:val="00E14458"/>
    <w:rsid w:val="00E34898"/>
    <w:rsid w:val="00E34F8E"/>
    <w:rsid w:val="00E53EA4"/>
    <w:rsid w:val="00E66C56"/>
    <w:rsid w:val="00E826F6"/>
    <w:rsid w:val="00EA2488"/>
    <w:rsid w:val="00EB09B7"/>
    <w:rsid w:val="00EE7D7C"/>
    <w:rsid w:val="00EF0C46"/>
    <w:rsid w:val="00F154F6"/>
    <w:rsid w:val="00F15534"/>
    <w:rsid w:val="00F25D98"/>
    <w:rsid w:val="00F300FB"/>
    <w:rsid w:val="00F32F2D"/>
    <w:rsid w:val="00F37F0A"/>
    <w:rsid w:val="00F51505"/>
    <w:rsid w:val="00F641A8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F5DEE-43CA-4A2D-AB6C-FBB2213A0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7C9E5-F891-4AF6-871A-2FCBBA815B80}">
  <ds:schemaRefs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6f846979-0e6f-42ff-8b87-e1893efeda99"/>
    <ds:schemaRef ds:uri="db33437f-65a5-48c5-b537-19efd290f96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DC204E-376B-477B-B10F-619C40ED6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9074C-BDB5-4AD1-B9B8-38862409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3601</Words>
  <Characters>19087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2019-08-30T06:08:00Z</dcterms:created>
  <dcterms:modified xsi:type="dcterms:W3CDTF">2019-08-30T06:08:00Z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