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56842" w14:textId="7C1EB6D6" w:rsidR="0056796B" w:rsidRPr="00DE4417" w:rsidRDefault="0056796B" w:rsidP="0056796B">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Pr>
          <w:rFonts w:eastAsia="Malgun Gothic"/>
          <w:b/>
          <w:bCs/>
          <w:sz w:val="28"/>
          <w:lang w:val="en-GB"/>
        </w:rPr>
        <w:t xml:space="preserve"> </w:t>
      </w:r>
      <w:r w:rsidRPr="00DE4417">
        <w:rPr>
          <w:rFonts w:eastAsia="Malgun Gothic"/>
          <w:b/>
          <w:bCs/>
          <w:sz w:val="28"/>
          <w:lang w:val="en-GB"/>
        </w:rPr>
        <w:t>4 Meeting #</w:t>
      </w:r>
      <w:r>
        <w:rPr>
          <w:rFonts w:eastAsia="Malgun Gothic"/>
          <w:b/>
          <w:bCs/>
          <w:sz w:val="28"/>
          <w:lang w:val="en-GB"/>
        </w:rPr>
        <w:t>88bis</w:t>
      </w:r>
      <w:r w:rsidRPr="00DE4417">
        <w:rPr>
          <w:rFonts w:eastAsia="Malgun Gothic"/>
          <w:b/>
          <w:bCs/>
          <w:sz w:val="28"/>
          <w:lang w:val="en-GB" w:eastAsia="ko-KR"/>
        </w:rPr>
        <w:tab/>
      </w:r>
      <w:r w:rsidRPr="00DE4417">
        <w:rPr>
          <w:rFonts w:eastAsia="Malgun Gothic"/>
          <w:b/>
          <w:bCs/>
          <w:sz w:val="28"/>
          <w:lang w:val="en-GB"/>
        </w:rPr>
        <w:t>R4-</w:t>
      </w:r>
      <w:r w:rsidR="001F4CDF" w:rsidRPr="00DE4417">
        <w:rPr>
          <w:rFonts w:eastAsia="Malgun Gothic"/>
          <w:b/>
          <w:bCs/>
          <w:sz w:val="28"/>
          <w:lang w:val="en-GB"/>
        </w:rPr>
        <w:t>18</w:t>
      </w:r>
      <w:r w:rsidR="001F4CDF">
        <w:rPr>
          <w:rFonts w:eastAsia="Malgun Gothic"/>
          <w:b/>
          <w:bCs/>
          <w:sz w:val="28"/>
          <w:lang w:val="en-GB"/>
        </w:rPr>
        <w:t>13270</w:t>
      </w:r>
    </w:p>
    <w:p w14:paraId="7B1D5675" w14:textId="77777777" w:rsidR="0056796B" w:rsidRPr="00DE4417" w:rsidRDefault="0056796B" w:rsidP="0056796B">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Chengdu</w:t>
      </w:r>
      <w:r w:rsidRPr="00DE4417">
        <w:rPr>
          <w:rFonts w:eastAsia="Malgun Gothic"/>
          <w:b/>
          <w:bCs/>
          <w:sz w:val="28"/>
          <w:lang w:val="en-GB" w:eastAsia="ko-KR"/>
        </w:rPr>
        <w:t xml:space="preserve">, </w:t>
      </w:r>
      <w:r>
        <w:rPr>
          <w:rFonts w:eastAsia="Malgun Gothic"/>
          <w:b/>
          <w:bCs/>
          <w:sz w:val="28"/>
          <w:lang w:val="en-GB" w:eastAsia="ko-KR"/>
        </w:rPr>
        <w:t>China</w:t>
      </w:r>
      <w:r w:rsidRPr="00DE4417">
        <w:rPr>
          <w:rFonts w:eastAsia="Malgun Gothic"/>
          <w:b/>
          <w:bCs/>
          <w:sz w:val="28"/>
          <w:lang w:val="en-GB" w:eastAsia="ko-KR"/>
        </w:rPr>
        <w:t xml:space="preserve">, </w:t>
      </w:r>
      <w:r>
        <w:rPr>
          <w:rFonts w:eastAsia="Malgun Gothic"/>
          <w:b/>
          <w:bCs/>
          <w:sz w:val="28"/>
          <w:lang w:val="en-GB" w:eastAsia="ko-KR"/>
        </w:rPr>
        <w:t>08 – 12 October</w:t>
      </w:r>
      <w:r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08B6F20F" w:rsidR="00B81FC7" w:rsidRPr="00DE4417" w:rsidRDefault="00B81FC7" w:rsidP="008159B1">
      <w:pPr>
        <w:ind w:left="2160" w:hanging="2160"/>
        <w:rPr>
          <w:b/>
          <w:lang w:val="en-GB"/>
        </w:rPr>
      </w:pPr>
      <w:r w:rsidRPr="00DE4417">
        <w:rPr>
          <w:b/>
          <w:lang w:val="en-GB"/>
        </w:rPr>
        <w:t>Title:</w:t>
      </w:r>
      <w:r w:rsidRPr="00DE4417">
        <w:rPr>
          <w:b/>
          <w:lang w:val="en-GB"/>
        </w:rPr>
        <w:tab/>
      </w:r>
      <w:r w:rsidR="006F178B">
        <w:rPr>
          <w:lang w:val="en-GB"/>
        </w:rPr>
        <w:t xml:space="preserve">Discussion on </w:t>
      </w:r>
      <w:r w:rsidR="00766074">
        <w:rPr>
          <w:lang w:val="en-GB"/>
        </w:rPr>
        <w:t xml:space="preserve">UE EIS CDF </w:t>
      </w:r>
      <w:r w:rsidR="00966059">
        <w:rPr>
          <w:lang w:val="en-GB"/>
        </w:rPr>
        <w:t>testing methodology</w:t>
      </w:r>
    </w:p>
    <w:p w14:paraId="75E65FB7" w14:textId="0BABB22C"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6D3C7F">
        <w:rPr>
          <w:lang w:val="en-GB"/>
        </w:rPr>
        <w:t>10.1.2</w:t>
      </w:r>
    </w:p>
    <w:p w14:paraId="21F2DA1B" w14:textId="18458720" w:rsidR="00B81FC7" w:rsidRPr="00DE4417" w:rsidRDefault="00B81FC7" w:rsidP="00B81FC7">
      <w:pPr>
        <w:rPr>
          <w:sz w:val="18"/>
          <w:szCs w:val="18"/>
          <w:lang w:val="en-GB"/>
        </w:rPr>
      </w:pPr>
      <w:r w:rsidRPr="00DE4417">
        <w:rPr>
          <w:b/>
          <w:lang w:val="en-GB"/>
        </w:rPr>
        <w:t>Document for:</w:t>
      </w:r>
      <w:r w:rsidRPr="00DE4417">
        <w:rPr>
          <w:lang w:val="en-GB"/>
        </w:rPr>
        <w:tab/>
      </w:r>
      <w:r w:rsidR="00966059">
        <w:rPr>
          <w:lang w:val="en-GB"/>
        </w:rPr>
        <w:t>Discussion</w:t>
      </w:r>
    </w:p>
    <w:p w14:paraId="7CA60390" w14:textId="5F5ED80C" w:rsidR="00B81FC7" w:rsidRDefault="00B81FC7" w:rsidP="00B81FC7">
      <w:pPr>
        <w:pStyle w:val="berschrift1"/>
        <w:rPr>
          <w:rFonts w:cs="Arial"/>
        </w:rPr>
      </w:pPr>
      <w:r w:rsidRPr="00DE4417">
        <w:rPr>
          <w:rFonts w:cs="Arial"/>
        </w:rPr>
        <w:t>Introduction</w:t>
      </w:r>
    </w:p>
    <w:p w14:paraId="6E155D85" w14:textId="3035B3E1" w:rsidR="009111C0" w:rsidRPr="00196262" w:rsidRDefault="00766074" w:rsidP="00766074">
      <w:pPr>
        <w:rPr>
          <w:lang w:val="en-GB" w:eastAsia="en-US"/>
        </w:rPr>
      </w:pPr>
      <w:bookmarkStart w:id="0" w:name="OLE_LINK10"/>
      <w:bookmarkStart w:id="1" w:name="OLE_LINK11"/>
      <w:r>
        <w:rPr>
          <w:lang w:val="en-GB" w:eastAsia="en-US"/>
        </w:rPr>
        <w:t xml:space="preserve">In the last RAN plenary the testing methodology for the EIS CDF requirement was identified as one of the open items in the testability study item [1]. </w:t>
      </w:r>
      <w:r w:rsidR="00966059">
        <w:rPr>
          <w:lang w:val="en-GB" w:eastAsia="en-US"/>
        </w:rPr>
        <w:t xml:space="preserve">The most critical thing is the extensive measurement time that will be needed when using the throughput </w:t>
      </w:r>
      <w:r w:rsidR="00523DED">
        <w:rPr>
          <w:lang w:val="en-GB" w:eastAsia="en-US"/>
        </w:rPr>
        <w:t>metric</w:t>
      </w:r>
      <w:r w:rsidR="00966059">
        <w:rPr>
          <w:lang w:val="en-GB" w:eastAsia="en-US"/>
        </w:rPr>
        <w:t xml:space="preserve">. This paper </w:t>
      </w:r>
      <w:r w:rsidR="003D7D8F">
        <w:rPr>
          <w:lang w:val="en-GB" w:eastAsia="en-US"/>
        </w:rPr>
        <w:t>proposes</w:t>
      </w:r>
      <w:r w:rsidR="00966059">
        <w:rPr>
          <w:lang w:val="en-GB" w:eastAsia="en-US"/>
        </w:rPr>
        <w:t xml:space="preserve"> a measurement procedure using the </w:t>
      </w:r>
      <w:r w:rsidR="0051527C">
        <w:rPr>
          <w:lang w:val="en-GB" w:eastAsia="en-US"/>
        </w:rPr>
        <w:t>SS</w:t>
      </w:r>
      <w:r w:rsidR="00647313">
        <w:rPr>
          <w:lang w:val="en-GB" w:eastAsia="en-US"/>
        </w:rPr>
        <w:t>-</w:t>
      </w:r>
      <w:r w:rsidR="00966059">
        <w:rPr>
          <w:lang w:val="en-GB" w:eastAsia="en-US"/>
        </w:rPr>
        <w:t xml:space="preserve">RSRQ metric, instead, based on a throughput vs. </w:t>
      </w:r>
      <w:r w:rsidR="0051527C">
        <w:rPr>
          <w:lang w:val="en-GB" w:eastAsia="en-US"/>
        </w:rPr>
        <w:t>SS</w:t>
      </w:r>
      <w:r w:rsidR="00647313">
        <w:rPr>
          <w:lang w:val="en-GB" w:eastAsia="en-US"/>
        </w:rPr>
        <w:t>-</w:t>
      </w:r>
      <w:r w:rsidR="00966059">
        <w:rPr>
          <w:lang w:val="en-GB" w:eastAsia="en-US"/>
        </w:rPr>
        <w:t xml:space="preserve">RSRQ calibration at </w:t>
      </w:r>
      <w:r w:rsidR="00144DD4">
        <w:rPr>
          <w:lang w:val="en-GB" w:eastAsia="en-US"/>
        </w:rPr>
        <w:t xml:space="preserve">an </w:t>
      </w:r>
      <w:r w:rsidR="00966059">
        <w:rPr>
          <w:lang w:val="en-GB" w:eastAsia="en-US"/>
        </w:rPr>
        <w:t xml:space="preserve">initial </w:t>
      </w:r>
      <w:r w:rsidR="0051527C">
        <w:rPr>
          <w:lang w:val="en-GB" w:eastAsia="en-US"/>
        </w:rPr>
        <w:t xml:space="preserve">measurement </w:t>
      </w:r>
      <w:r w:rsidR="00966059">
        <w:rPr>
          <w:lang w:val="en-GB" w:eastAsia="en-US"/>
        </w:rPr>
        <w:t>direction. Using this metric would reduce the measurement time dramatically.</w:t>
      </w:r>
    </w:p>
    <w:p w14:paraId="59D92B3E" w14:textId="64196180" w:rsidR="00FC45FA" w:rsidRDefault="002A659B" w:rsidP="00FC45FA">
      <w:pPr>
        <w:pStyle w:val="berschrift1"/>
        <w:rPr>
          <w:rFonts w:cs="Arial"/>
        </w:rPr>
      </w:pPr>
      <w:r w:rsidRPr="00DE4417">
        <w:rPr>
          <w:rFonts w:cs="Arial"/>
        </w:rPr>
        <w:t>Discussion</w:t>
      </w:r>
    </w:p>
    <w:p w14:paraId="3F2EDDA1" w14:textId="0565C9B9" w:rsidR="00F12E52" w:rsidRDefault="00F12E52" w:rsidP="00F71FBC">
      <w:pPr>
        <w:rPr>
          <w:lang w:eastAsia="en-US"/>
        </w:rPr>
      </w:pPr>
      <w:r>
        <w:rPr>
          <w:lang w:eastAsia="en-US"/>
        </w:rPr>
        <w:t xml:space="preserve">EIS measurement at a given spherical grid means seeking the reference sensitivity </w:t>
      </w:r>
      <w:r w:rsidR="00113DED">
        <w:rPr>
          <w:lang w:eastAsia="en-US"/>
        </w:rPr>
        <w:t xml:space="preserve">receive power </w:t>
      </w:r>
      <w:r>
        <w:rPr>
          <w:lang w:eastAsia="en-US"/>
        </w:rPr>
        <w:t xml:space="preserve">value for each individual grid point. This is basically done by lowering the UE receive power while measuring the data throughput until the reference throughput (e.g. </w:t>
      </w:r>
      <w:r w:rsidR="00144DD4">
        <w:rPr>
          <w:lang w:eastAsia="en-US"/>
        </w:rPr>
        <w:t xml:space="preserve">95 </w:t>
      </w:r>
      <w:r>
        <w:rPr>
          <w:lang w:eastAsia="en-US"/>
        </w:rPr>
        <w:t xml:space="preserve">% of the maximum theoretical throughput) is reached. The receive power level at this point corresponds to the actual REFSENS </w:t>
      </w:r>
      <w:r w:rsidR="00113DED">
        <w:rPr>
          <w:lang w:eastAsia="en-US"/>
        </w:rPr>
        <w:t xml:space="preserve">power </w:t>
      </w:r>
      <w:r>
        <w:rPr>
          <w:lang w:eastAsia="en-US"/>
        </w:rPr>
        <w:t xml:space="preserve">level at this grid point. It is obvious that this measurement with potentially </w:t>
      </w:r>
      <w:r w:rsidR="00E76FAB">
        <w:rPr>
          <w:lang w:eastAsia="en-US"/>
        </w:rPr>
        <w:t xml:space="preserve">hundreds or thousands </w:t>
      </w:r>
      <w:r>
        <w:rPr>
          <w:lang w:eastAsia="en-US"/>
        </w:rPr>
        <w:t>of grid points will take extensive</w:t>
      </w:r>
      <w:r w:rsidR="00E76FAB">
        <w:rPr>
          <w:lang w:eastAsia="en-US"/>
        </w:rPr>
        <w:t>ly</w:t>
      </w:r>
      <w:r>
        <w:rPr>
          <w:lang w:eastAsia="en-US"/>
        </w:rPr>
        <w:t xml:space="preserve"> long measurement times.</w:t>
      </w:r>
    </w:p>
    <w:p w14:paraId="3FB8B0C1" w14:textId="20C574F5" w:rsidR="00F12E52" w:rsidRDefault="00113DED" w:rsidP="00F71FBC">
      <w:pPr>
        <w:rPr>
          <w:lang w:eastAsia="en-US"/>
        </w:rPr>
      </w:pPr>
      <w:r>
        <w:rPr>
          <w:lang w:eastAsia="en-US"/>
        </w:rPr>
        <w:t>T</w:t>
      </w:r>
      <w:r w:rsidR="00F12E52">
        <w:rPr>
          <w:lang w:eastAsia="en-US"/>
        </w:rPr>
        <w:t xml:space="preserve">he proposal of this paper </w:t>
      </w:r>
      <w:r w:rsidR="003D7D8F">
        <w:rPr>
          <w:lang w:eastAsia="en-US"/>
        </w:rPr>
        <w:t>utilizes</w:t>
      </w:r>
      <w:r w:rsidR="00F12E52">
        <w:rPr>
          <w:lang w:eastAsia="en-US"/>
        </w:rPr>
        <w:t xml:space="preserve"> the relation between the throughput and the SNR experienced by the UE receiver. SNR in case of </w:t>
      </w:r>
      <w:r w:rsidR="00135EA4">
        <w:rPr>
          <w:lang w:eastAsia="en-US"/>
        </w:rPr>
        <w:t xml:space="preserve">time-invariant </w:t>
      </w:r>
      <w:r w:rsidR="00F12E52">
        <w:rPr>
          <w:lang w:eastAsia="en-US"/>
        </w:rPr>
        <w:t>interference and noise free test environments is basically the ratio between the UE receive power an</w:t>
      </w:r>
      <w:r>
        <w:rPr>
          <w:lang w:eastAsia="en-US"/>
        </w:rPr>
        <w:t>d</w:t>
      </w:r>
      <w:r w:rsidR="00F12E52">
        <w:rPr>
          <w:lang w:eastAsia="en-US"/>
        </w:rPr>
        <w:t xml:space="preserve"> its own </w:t>
      </w:r>
      <w:r>
        <w:rPr>
          <w:lang w:eastAsia="en-US"/>
        </w:rPr>
        <w:t>receiver</w:t>
      </w:r>
      <w:r w:rsidR="007A411C">
        <w:rPr>
          <w:lang w:eastAsia="en-US"/>
        </w:rPr>
        <w:t>’</w:t>
      </w:r>
      <w:r>
        <w:rPr>
          <w:lang w:eastAsia="en-US"/>
        </w:rPr>
        <w:t xml:space="preserve">s </w:t>
      </w:r>
      <w:r w:rsidR="00F12E52">
        <w:rPr>
          <w:lang w:eastAsia="en-US"/>
        </w:rPr>
        <w:t xml:space="preserve">noise floor. The latter one is responsible for the UEs </w:t>
      </w:r>
      <w:r>
        <w:rPr>
          <w:lang w:eastAsia="en-US"/>
        </w:rPr>
        <w:t>reference sensitivity, in which we are interested in</w:t>
      </w:r>
      <w:r w:rsidR="00135EA4">
        <w:rPr>
          <w:lang w:eastAsia="en-US"/>
        </w:rPr>
        <w:t xml:space="preserve"> when evaluating EIS</w:t>
      </w:r>
      <w:r>
        <w:rPr>
          <w:lang w:eastAsia="en-US"/>
        </w:rPr>
        <w:t xml:space="preserve">. </w:t>
      </w:r>
      <w:r w:rsidR="00F12E52">
        <w:rPr>
          <w:lang w:eastAsia="en-US"/>
        </w:rPr>
        <w:t>Furthermore, in such a</w:t>
      </w:r>
      <w:r w:rsidR="00135EA4">
        <w:rPr>
          <w:lang w:eastAsia="en-US"/>
        </w:rPr>
        <w:t xml:space="preserve"> time-invariant</w:t>
      </w:r>
      <w:r w:rsidR="00F12E52">
        <w:rPr>
          <w:lang w:eastAsia="en-US"/>
        </w:rPr>
        <w:t xml:space="preserve"> interference and noise free environment, there is a relation between the UE receiver SNR and the reported</w:t>
      </w:r>
      <w:r w:rsidR="00135EA4">
        <w:rPr>
          <w:lang w:eastAsia="en-US"/>
        </w:rPr>
        <w:t xml:space="preserve"> </w:t>
      </w:r>
      <w:r w:rsidR="00270D26">
        <w:rPr>
          <w:lang w:eastAsia="en-US"/>
        </w:rPr>
        <w:t xml:space="preserve">SS </w:t>
      </w:r>
      <w:r w:rsidR="00135EA4">
        <w:rPr>
          <w:lang w:eastAsia="en-US"/>
        </w:rPr>
        <w:t>reference signal received quality</w:t>
      </w:r>
      <w:r w:rsidR="00F12E52">
        <w:rPr>
          <w:lang w:eastAsia="en-US"/>
        </w:rPr>
        <w:t xml:space="preserve"> </w:t>
      </w:r>
      <w:r w:rsidR="007A411C">
        <w:rPr>
          <w:lang w:eastAsia="en-US"/>
        </w:rPr>
        <w:t>SS</w:t>
      </w:r>
      <w:r w:rsidR="00647313">
        <w:rPr>
          <w:lang w:eastAsia="en-US"/>
        </w:rPr>
        <w:t>-</w:t>
      </w:r>
      <w:r w:rsidR="00F12E52">
        <w:rPr>
          <w:lang w:eastAsia="en-US"/>
        </w:rPr>
        <w:t>RSRQ</w:t>
      </w:r>
      <w:r w:rsidR="00135EA4">
        <w:rPr>
          <w:lang w:eastAsia="en-US"/>
        </w:rPr>
        <w:t>, as this contribution explains below</w:t>
      </w:r>
      <w:r w:rsidR="00270D26">
        <w:rPr>
          <w:lang w:eastAsia="en-US"/>
        </w:rPr>
        <w:t>.</w:t>
      </w:r>
    </w:p>
    <w:p w14:paraId="03E223EE" w14:textId="18845005" w:rsidR="00C16386" w:rsidRDefault="00135EA4" w:rsidP="00F71FBC">
      <w:pPr>
        <w:rPr>
          <w:lang w:eastAsia="en-US"/>
        </w:rPr>
      </w:pPr>
      <w:r>
        <w:rPr>
          <w:lang w:eastAsia="en-US"/>
        </w:rPr>
        <w:t xml:space="preserve">According to [1] </w:t>
      </w:r>
      <w:r w:rsidR="007A411C">
        <w:rPr>
          <w:lang w:eastAsia="en-US"/>
        </w:rPr>
        <w:t>SS</w:t>
      </w:r>
      <w:r w:rsidR="00A52D95">
        <w:rPr>
          <w:lang w:eastAsia="en-US"/>
        </w:rPr>
        <w:t>-</w:t>
      </w:r>
      <w:r w:rsidR="00F12E52">
        <w:rPr>
          <w:lang w:eastAsia="en-US"/>
        </w:rPr>
        <w:t xml:space="preserve">RSRQ is the ratio of </w:t>
      </w:r>
      <w:r w:rsidR="007A411C">
        <w:rPr>
          <w:lang w:eastAsia="en-US"/>
        </w:rPr>
        <w:t>SS</w:t>
      </w:r>
      <w:r w:rsidR="00647313">
        <w:rPr>
          <w:lang w:eastAsia="en-US"/>
        </w:rPr>
        <w:t>-</w:t>
      </w:r>
      <w:r w:rsidR="00F12E52">
        <w:rPr>
          <w:lang w:eastAsia="en-US"/>
        </w:rPr>
        <w:t xml:space="preserve">RSRP and </w:t>
      </w:r>
      <w:r w:rsidR="007A411C">
        <w:rPr>
          <w:lang w:eastAsia="en-US"/>
        </w:rPr>
        <w:t xml:space="preserve">NR carrier </w:t>
      </w:r>
      <w:r w:rsidR="00F12E52">
        <w:rPr>
          <w:lang w:eastAsia="en-US"/>
        </w:rPr>
        <w:t>RSSI</w:t>
      </w:r>
      <w:r w:rsidR="001A7C4F">
        <w:rPr>
          <w:lang w:eastAsia="en-US"/>
        </w:rPr>
        <w:t xml:space="preserve"> scaled by </w:t>
      </w:r>
      <w:r w:rsidR="007A411C">
        <w:rPr>
          <w:lang w:eastAsia="en-US"/>
        </w:rPr>
        <w:t xml:space="preserve">N, i.e. </w:t>
      </w:r>
      <w:r w:rsidR="001A7C4F">
        <w:rPr>
          <w:lang w:eastAsia="en-US"/>
        </w:rPr>
        <w:t xml:space="preserve">the number of resource blocks </w:t>
      </w:r>
      <w:r>
        <w:rPr>
          <w:lang w:eastAsia="en-US"/>
        </w:rPr>
        <w:t>in the NR carrier RSSI measurement bandwidth</w:t>
      </w:r>
      <w:r w:rsidR="001A7C4F">
        <w:rPr>
          <w:lang w:eastAsia="en-US"/>
        </w:rPr>
        <w:t xml:space="preserve">. Without interference and artificial noise, </w:t>
      </w:r>
      <w:r w:rsidR="00270D26">
        <w:rPr>
          <w:lang w:eastAsia="en-US"/>
        </w:rPr>
        <w:t xml:space="preserve">NR carrier </w:t>
      </w:r>
      <w:r w:rsidR="001A7C4F">
        <w:rPr>
          <w:lang w:eastAsia="en-US"/>
        </w:rPr>
        <w:t>RSSI is given as 12∙N∙(</w:t>
      </w:r>
      <w:r w:rsidR="00270D26">
        <w:rPr>
          <w:lang w:eastAsia="en-US"/>
        </w:rPr>
        <w:t>SS</w:t>
      </w:r>
      <w:r w:rsidR="00647313">
        <w:rPr>
          <w:lang w:eastAsia="en-US"/>
        </w:rPr>
        <w:t>-</w:t>
      </w:r>
      <w:r w:rsidR="001A7C4F">
        <w:rPr>
          <w:lang w:eastAsia="en-US"/>
        </w:rPr>
        <w:t>RSRP</w:t>
      </w:r>
      <w:r w:rsidR="00E76FAB">
        <w:rPr>
          <w:lang w:eastAsia="en-US"/>
        </w:rPr>
        <w:t xml:space="preserve"> </w:t>
      </w:r>
      <w:r w:rsidR="001A7C4F">
        <w:rPr>
          <w:lang w:eastAsia="en-US"/>
        </w:rPr>
        <w:t>+</w:t>
      </w:r>
      <w:r w:rsidR="00E76FAB">
        <w:rPr>
          <w:lang w:eastAsia="en-US"/>
        </w:rPr>
        <w:t xml:space="preserve"> </w:t>
      </w:r>
      <w:r w:rsidR="009111C0" w:rsidRPr="009111C0">
        <w:rPr>
          <w:lang w:eastAsia="en-US"/>
        </w:rPr>
        <w:t xml:space="preserve"> </w:t>
      </w:r>
      <w:r w:rsidR="009111C0">
        <w:rPr>
          <w:lang w:eastAsia="en-US"/>
        </w:rPr>
        <w:t>P</w:t>
      </w:r>
      <w:r w:rsidR="009111C0">
        <w:rPr>
          <w:vertAlign w:val="subscript"/>
          <w:lang w:eastAsia="en-US"/>
        </w:rPr>
        <w:t>rx_n</w:t>
      </w:r>
      <w:r w:rsidR="009111C0" w:rsidRPr="00552DCB">
        <w:rPr>
          <w:vertAlign w:val="subscript"/>
          <w:lang w:eastAsia="en-US"/>
        </w:rPr>
        <w:t>oise</w:t>
      </w:r>
      <w:r w:rsidR="009111C0" w:rsidDel="009111C0">
        <w:rPr>
          <w:lang w:eastAsia="en-US"/>
        </w:rPr>
        <w:t xml:space="preserve"> </w:t>
      </w:r>
      <w:r w:rsidR="001A7C4F">
        <w:rPr>
          <w:lang w:eastAsia="en-US"/>
        </w:rPr>
        <w:t xml:space="preserve">), i.e. the total average power at the receiver across the entire bandwidth of interest including the UEs </w:t>
      </w:r>
      <w:r w:rsidR="001727B2">
        <w:rPr>
          <w:lang w:eastAsia="en-US"/>
        </w:rPr>
        <w:t xml:space="preserve">own </w:t>
      </w:r>
      <w:r w:rsidR="001A7C4F">
        <w:rPr>
          <w:lang w:eastAsia="en-US"/>
        </w:rPr>
        <w:t xml:space="preserve">thermal noise power </w:t>
      </w:r>
      <w:r w:rsidR="009111C0">
        <w:rPr>
          <w:lang w:eastAsia="en-US"/>
        </w:rPr>
        <w:t>P</w:t>
      </w:r>
      <w:r w:rsidR="009111C0">
        <w:rPr>
          <w:vertAlign w:val="subscript"/>
          <w:lang w:eastAsia="en-US"/>
        </w:rPr>
        <w:t>rx_n</w:t>
      </w:r>
      <w:r w:rsidR="009111C0" w:rsidRPr="00552DCB">
        <w:rPr>
          <w:vertAlign w:val="subscript"/>
          <w:lang w:eastAsia="en-US"/>
        </w:rPr>
        <w:t>oise</w:t>
      </w:r>
      <w:r w:rsidR="001A7C4F">
        <w:rPr>
          <w:lang w:eastAsia="en-US"/>
        </w:rPr>
        <w:t xml:space="preserve">. </w:t>
      </w:r>
    </w:p>
    <w:p w14:paraId="50D84CE0" w14:textId="77777777" w:rsidR="00C16386" w:rsidRDefault="00C16386">
      <w:pPr>
        <w:spacing w:after="0" w:line="240" w:lineRule="auto"/>
        <w:rPr>
          <w:lang w:eastAsia="en-US"/>
        </w:rPr>
      </w:pPr>
      <w:r>
        <w:rPr>
          <w:lang w:eastAsia="en-US"/>
        </w:rPr>
        <w:br w:type="page"/>
      </w:r>
    </w:p>
    <w:p w14:paraId="76805708" w14:textId="267BE927" w:rsidR="00F12E52" w:rsidRDefault="001A7C4F" w:rsidP="00F71FBC">
      <w:pPr>
        <w:rPr>
          <w:lang w:eastAsia="en-US"/>
        </w:rPr>
      </w:pPr>
      <w:r>
        <w:rPr>
          <w:lang w:eastAsia="en-US"/>
        </w:rPr>
        <w:lastRenderedPageBreak/>
        <w:t xml:space="preserve">Consequently, </w:t>
      </w:r>
      <w:r w:rsidR="00270D26">
        <w:rPr>
          <w:lang w:eastAsia="en-US"/>
        </w:rPr>
        <w:t>SS</w:t>
      </w:r>
      <w:r w:rsidR="002C5928">
        <w:rPr>
          <w:lang w:eastAsia="en-US"/>
        </w:rPr>
        <w:t>-</w:t>
      </w:r>
      <w:r>
        <w:rPr>
          <w:lang w:eastAsia="en-US"/>
        </w:rPr>
        <w:t xml:space="preserve">RSRQ becomes </w:t>
      </w:r>
      <w:r w:rsidR="007C63E0">
        <w:rPr>
          <w:lang w:eastAsia="en-US"/>
        </w:rPr>
        <w:t>a function of the receivers SNR</w:t>
      </w:r>
      <w:r w:rsidR="00270D26">
        <w:rPr>
          <w:lang w:eastAsia="en-US"/>
        </w:rPr>
        <w:t>,</w:t>
      </w:r>
      <w:r w:rsidR="009111C0">
        <w:rPr>
          <w:lang w:eastAsia="en-US"/>
        </w:rPr>
        <w:t xml:space="preserve"> </w:t>
      </w:r>
      <w:r w:rsidR="00270D26">
        <w:rPr>
          <w:lang w:eastAsia="en-US"/>
        </w:rPr>
        <w:t>i.e. ratio of SS</w:t>
      </w:r>
      <w:r w:rsidR="00647313">
        <w:rPr>
          <w:lang w:eastAsia="en-US"/>
        </w:rPr>
        <w:t>-</w:t>
      </w:r>
      <w:r w:rsidR="00270D26">
        <w:rPr>
          <w:lang w:eastAsia="en-US"/>
        </w:rPr>
        <w:t>RSRP and the receivers noise floor</w:t>
      </w:r>
      <w:r w:rsidR="009111C0">
        <w:rPr>
          <w:lang w:eastAsia="en-US"/>
        </w:rPr>
        <w:t xml:space="preserve"> P</w:t>
      </w:r>
      <w:r w:rsidR="009111C0">
        <w:rPr>
          <w:vertAlign w:val="subscript"/>
          <w:lang w:eastAsia="en-US"/>
        </w:rPr>
        <w:t>rx_n</w:t>
      </w:r>
      <w:r w:rsidR="009111C0" w:rsidRPr="00552DCB">
        <w:rPr>
          <w:vertAlign w:val="subscript"/>
          <w:lang w:eastAsia="en-US"/>
        </w:rPr>
        <w:t>oise</w:t>
      </w:r>
      <w:r w:rsidR="001727B2">
        <w:rPr>
          <w:lang w:eastAsia="en-US"/>
        </w:rPr>
        <w:t>:</w:t>
      </w:r>
    </w:p>
    <w:p w14:paraId="73512DB7" w14:textId="5EA7C4D9" w:rsidR="001A7C4F" w:rsidRPr="009111C0" w:rsidRDefault="009111C0" w:rsidP="001F4CDF">
      <w:pPr>
        <w:pBdr>
          <w:top w:val="single" w:sz="4" w:space="1" w:color="auto"/>
          <w:left w:val="single" w:sz="4" w:space="4" w:color="auto"/>
          <w:bottom w:val="single" w:sz="4" w:space="1" w:color="auto"/>
          <w:right w:val="single" w:sz="4" w:space="4" w:color="auto"/>
        </w:pBdr>
        <w:rPr>
          <w:lang w:eastAsia="en-US"/>
        </w:rPr>
      </w:pPr>
      <m:oMathPara>
        <m:oMathParaPr>
          <m:jc m:val="left"/>
        </m:oMathParaPr>
        <m:oMath>
          <m:r>
            <m:rPr>
              <m:sty m:val="bi"/>
            </m:rPr>
            <w:rPr>
              <w:rFonts w:ascii="Cambria Math" w:hAnsi="Cambria Math"/>
              <w:sz w:val="20"/>
              <w:lang w:eastAsia="en-US"/>
            </w:rPr>
            <m:t>SS</m:t>
          </m:r>
          <m:r>
            <m:rPr>
              <m:sty m:val="bi"/>
            </m:rPr>
            <w:rPr>
              <w:rFonts w:ascii="Cambria Math" w:hAnsi="Cambria Math"/>
              <w:sz w:val="20"/>
              <w:lang w:eastAsia="en-US"/>
            </w:rPr>
            <m:t>RSRQ</m:t>
          </m:r>
          <m:r>
            <w:rPr>
              <w:rFonts w:ascii="Cambria Math" w:hAnsi="Cambria Math"/>
              <w:sz w:val="20"/>
              <w:lang w:eastAsia="en-US"/>
            </w:rPr>
            <m:t>=N</m:t>
          </m:r>
          <m:r>
            <w:rPr>
              <w:rFonts w:ascii="Cambria Math" w:hAnsi="Cambria Math"/>
              <w:sz w:val="20"/>
              <w:lang w:eastAsia="en-US"/>
            </w:rPr>
            <m:t>∙</m:t>
          </m:r>
          <m:f>
            <m:fPr>
              <m:ctrlPr>
                <w:rPr>
                  <w:rFonts w:ascii="Cambria Math" w:hAnsi="Cambria Math"/>
                  <w:i/>
                  <w:sz w:val="20"/>
                  <w:lang w:eastAsia="en-US"/>
                </w:rPr>
              </m:ctrlPr>
            </m:fPr>
            <m:num>
              <m:r>
                <w:rPr>
                  <w:rFonts w:ascii="Cambria Math" w:hAnsi="Cambria Math"/>
                  <w:sz w:val="20"/>
                  <w:lang w:eastAsia="en-US"/>
                </w:rPr>
                <m:t>SS</m:t>
              </m:r>
              <m:r>
                <w:rPr>
                  <w:rFonts w:ascii="Cambria Math" w:hAnsi="Cambria Math"/>
                  <w:sz w:val="20"/>
                  <w:lang w:eastAsia="en-US"/>
                </w:rPr>
                <m:t>RSRP</m:t>
              </m:r>
            </m:num>
            <m:den>
              <m:r>
                <w:rPr>
                  <w:rFonts w:ascii="Cambria Math" w:hAnsi="Cambria Math"/>
                  <w:sz w:val="20"/>
                  <w:lang w:eastAsia="en-US"/>
                </w:rPr>
                <m:t xml:space="preserve">NR carrier </m:t>
              </m:r>
              <m:r>
                <w:rPr>
                  <w:rFonts w:ascii="Cambria Math" w:hAnsi="Cambria Math"/>
                  <w:sz w:val="20"/>
                  <w:lang w:eastAsia="en-US"/>
                </w:rPr>
                <m:t>RSSI</m:t>
              </m:r>
            </m:den>
          </m:f>
          <m:r>
            <w:rPr>
              <w:rFonts w:ascii="Cambria Math" w:hAnsi="Cambria Math"/>
              <w:sz w:val="20"/>
              <w:lang w:eastAsia="en-US"/>
            </w:rPr>
            <m:t>=</m:t>
          </m:r>
          <m:f>
            <m:fPr>
              <m:ctrlPr>
                <w:rPr>
                  <w:rFonts w:ascii="Cambria Math" w:hAnsi="Cambria Math"/>
                  <w:i/>
                  <w:sz w:val="20"/>
                  <w:lang w:eastAsia="en-US"/>
                </w:rPr>
              </m:ctrlPr>
            </m:fPr>
            <m:num>
              <m:r>
                <w:rPr>
                  <w:rFonts w:ascii="Cambria Math" w:hAnsi="Cambria Math"/>
                  <w:sz w:val="20"/>
                  <w:lang w:eastAsia="en-US"/>
                </w:rPr>
                <m:t>N∙SS</m:t>
              </m:r>
              <m:r>
                <w:rPr>
                  <w:rFonts w:ascii="Cambria Math" w:hAnsi="Cambria Math"/>
                  <w:sz w:val="20"/>
                  <w:lang w:eastAsia="en-US"/>
                </w:rPr>
                <m:t>RSRP</m:t>
              </m:r>
            </m:num>
            <m:den>
              <m:r>
                <w:rPr>
                  <w:rFonts w:ascii="Cambria Math" w:hAnsi="Cambria Math"/>
                  <w:sz w:val="20"/>
                  <w:lang w:eastAsia="en-US"/>
                </w:rPr>
                <m:t>12∙N∙</m:t>
              </m:r>
              <m:d>
                <m:dPr>
                  <m:ctrlPr>
                    <w:rPr>
                      <w:rFonts w:ascii="Cambria Math" w:hAnsi="Cambria Math"/>
                      <w:i/>
                      <w:sz w:val="20"/>
                      <w:lang w:eastAsia="en-US"/>
                    </w:rPr>
                  </m:ctrlPr>
                </m:dPr>
                <m:e>
                  <m:r>
                    <w:rPr>
                      <w:rFonts w:ascii="Cambria Math" w:hAnsi="Cambria Math"/>
                      <w:sz w:val="20"/>
                      <w:lang w:eastAsia="en-US"/>
                    </w:rPr>
                    <m:t>SS</m:t>
                  </m:r>
                  <m:r>
                    <w:rPr>
                      <w:rFonts w:ascii="Cambria Math" w:hAnsi="Cambria Math"/>
                      <w:sz w:val="20"/>
                      <w:lang w:eastAsia="en-US"/>
                    </w:rPr>
                    <m:t>RSRP+</m:t>
                  </m:r>
                  <m:r>
                    <m:rPr>
                      <m:sty m:val="p"/>
                    </m:rPr>
                    <w:rPr>
                      <w:rFonts w:ascii="Cambria Math" w:hAnsi="Cambria Math"/>
                      <w:sz w:val="20"/>
                      <w:lang w:eastAsia="en-US"/>
                    </w:rPr>
                    <m:t>P</m:t>
                  </m:r>
                  <m:r>
                    <m:rPr>
                      <m:sty m:val="p"/>
                    </m:rPr>
                    <w:rPr>
                      <w:rFonts w:ascii="Cambria Math" w:hAnsi="Cambria Math"/>
                      <w:sz w:val="20"/>
                      <w:vertAlign w:val="subscript"/>
                      <w:lang w:eastAsia="en-US"/>
                    </w:rPr>
                    <m:t>rx_noise</m:t>
                  </m:r>
                  <m:r>
                    <m:rPr>
                      <m:sty m:val="p"/>
                    </m:rPr>
                    <w:rPr>
                      <w:rFonts w:ascii="Cambria Math" w:hAnsi="Cambria Math"/>
                      <w:sz w:val="20"/>
                      <w:lang w:eastAsia="en-US"/>
                    </w:rPr>
                    <m:t xml:space="preserve"> </m:t>
                  </m:r>
                </m:e>
              </m:d>
            </m:den>
          </m:f>
          <m:r>
            <w:rPr>
              <w:rFonts w:ascii="Cambria Math" w:hAnsi="Cambria Math"/>
              <w:sz w:val="20"/>
              <w:lang w:eastAsia="en-US"/>
            </w:rPr>
            <m:t>=</m:t>
          </m:r>
          <m:f>
            <m:fPr>
              <m:ctrlPr>
                <w:rPr>
                  <w:rFonts w:ascii="Cambria Math" w:hAnsi="Cambria Math"/>
                  <w:i/>
                  <w:sz w:val="20"/>
                  <w:lang w:eastAsia="en-US"/>
                </w:rPr>
              </m:ctrlPr>
            </m:fPr>
            <m:num>
              <m:r>
                <w:rPr>
                  <w:rFonts w:ascii="Cambria Math" w:hAnsi="Cambria Math"/>
                  <w:sz w:val="20"/>
                  <w:lang w:eastAsia="en-US"/>
                </w:rPr>
                <m:t>1</m:t>
              </m:r>
            </m:num>
            <m:den>
              <m:r>
                <w:rPr>
                  <w:rFonts w:ascii="Cambria Math" w:hAnsi="Cambria Math"/>
                  <w:sz w:val="20"/>
                  <w:lang w:eastAsia="en-US"/>
                </w:rPr>
                <m:t>12</m:t>
              </m:r>
            </m:den>
          </m:f>
          <m:r>
            <w:rPr>
              <w:rFonts w:ascii="Cambria Math" w:hAnsi="Cambria Math"/>
              <w:sz w:val="20"/>
              <w:lang w:eastAsia="en-US"/>
            </w:rPr>
            <m:t>∙</m:t>
          </m:r>
          <m:f>
            <m:fPr>
              <m:ctrlPr>
                <w:rPr>
                  <w:rFonts w:ascii="Cambria Math" w:hAnsi="Cambria Math"/>
                  <w:i/>
                  <w:sz w:val="20"/>
                  <w:lang w:eastAsia="en-US"/>
                </w:rPr>
              </m:ctrlPr>
            </m:fPr>
            <m:num>
              <m:r>
                <w:rPr>
                  <w:rFonts w:ascii="Cambria Math" w:hAnsi="Cambria Math"/>
                  <w:sz w:val="20"/>
                  <w:lang w:eastAsia="en-US"/>
                </w:rPr>
                <m:t>1</m:t>
              </m:r>
            </m:num>
            <m:den>
              <m:r>
                <w:rPr>
                  <w:rFonts w:ascii="Cambria Math" w:hAnsi="Cambria Math"/>
                  <w:sz w:val="20"/>
                  <w:lang w:eastAsia="en-US"/>
                </w:rPr>
                <m:t>1+</m:t>
              </m:r>
              <m:f>
                <m:fPr>
                  <m:ctrlPr>
                    <w:rPr>
                      <w:rFonts w:ascii="Cambria Math" w:hAnsi="Cambria Math"/>
                      <w:i/>
                      <w:sz w:val="20"/>
                      <w:lang w:eastAsia="en-US"/>
                    </w:rPr>
                  </m:ctrlPr>
                </m:fPr>
                <m:num>
                  <m:r>
                    <m:rPr>
                      <m:sty m:val="p"/>
                    </m:rPr>
                    <w:rPr>
                      <w:rFonts w:ascii="Cambria Math" w:hAnsi="Cambria Math"/>
                      <w:sz w:val="20"/>
                      <w:lang w:eastAsia="en-US"/>
                    </w:rPr>
                    <m:t>P</m:t>
                  </m:r>
                  <m:r>
                    <m:rPr>
                      <m:sty m:val="p"/>
                    </m:rPr>
                    <w:rPr>
                      <w:rFonts w:ascii="Cambria Math" w:hAnsi="Cambria Math"/>
                      <w:sz w:val="20"/>
                      <w:vertAlign w:val="subscript"/>
                      <w:lang w:eastAsia="en-US"/>
                    </w:rPr>
                    <m:t>rx_noise</m:t>
                  </m:r>
                  <m:r>
                    <m:rPr>
                      <m:sty m:val="p"/>
                    </m:rPr>
                    <w:rPr>
                      <w:rFonts w:ascii="Cambria Math" w:hAnsi="Cambria Math"/>
                      <w:sz w:val="20"/>
                      <w:lang w:eastAsia="en-US"/>
                    </w:rPr>
                    <m:t xml:space="preserve"> </m:t>
                  </m:r>
                </m:num>
                <m:den>
                  <m:r>
                    <w:rPr>
                      <w:rFonts w:ascii="Cambria Math" w:hAnsi="Cambria Math"/>
                      <w:sz w:val="20"/>
                      <w:lang w:eastAsia="en-US"/>
                    </w:rPr>
                    <m:t>SS</m:t>
                  </m:r>
                  <m:r>
                    <w:rPr>
                      <w:rFonts w:ascii="Cambria Math" w:hAnsi="Cambria Math"/>
                      <w:sz w:val="20"/>
                      <w:lang w:eastAsia="en-US"/>
                    </w:rPr>
                    <m:t>RSRP</m:t>
                  </m:r>
                </m:den>
              </m:f>
            </m:den>
          </m:f>
          <m:r>
            <w:rPr>
              <w:rFonts w:ascii="Cambria Math" w:hAnsi="Cambria Math"/>
              <w:sz w:val="20"/>
              <w:lang w:eastAsia="en-US"/>
            </w:rPr>
            <m:t>=</m:t>
          </m:r>
          <m:f>
            <m:fPr>
              <m:ctrlPr>
                <w:rPr>
                  <w:rFonts w:ascii="Cambria Math" w:hAnsi="Cambria Math"/>
                  <w:i/>
                  <w:sz w:val="20"/>
                  <w:lang w:eastAsia="en-US"/>
                </w:rPr>
              </m:ctrlPr>
            </m:fPr>
            <m:num>
              <m:r>
                <w:rPr>
                  <w:rFonts w:ascii="Cambria Math" w:hAnsi="Cambria Math"/>
                  <w:sz w:val="20"/>
                  <w:lang w:eastAsia="en-US"/>
                </w:rPr>
                <m:t>1</m:t>
              </m:r>
            </m:num>
            <m:den>
              <m:r>
                <w:rPr>
                  <w:rFonts w:ascii="Cambria Math" w:hAnsi="Cambria Math"/>
                  <w:sz w:val="20"/>
                  <w:lang w:eastAsia="en-US"/>
                </w:rPr>
                <m:t>12</m:t>
              </m:r>
            </m:den>
          </m:f>
          <m:r>
            <w:rPr>
              <w:rFonts w:ascii="Cambria Math" w:hAnsi="Cambria Math"/>
              <w:sz w:val="20"/>
              <w:lang w:eastAsia="en-US"/>
            </w:rPr>
            <m:t>∙</m:t>
          </m:r>
          <m:f>
            <m:fPr>
              <m:ctrlPr>
                <w:rPr>
                  <w:rFonts w:ascii="Cambria Math" w:hAnsi="Cambria Math"/>
                  <w:i/>
                  <w:sz w:val="20"/>
                  <w:lang w:eastAsia="en-US"/>
                </w:rPr>
              </m:ctrlPr>
            </m:fPr>
            <m:num>
              <m:r>
                <w:rPr>
                  <w:rFonts w:ascii="Cambria Math" w:hAnsi="Cambria Math"/>
                  <w:sz w:val="20"/>
                  <w:lang w:eastAsia="en-US"/>
                </w:rPr>
                <m:t>1</m:t>
              </m:r>
            </m:num>
            <m:den>
              <m:r>
                <w:rPr>
                  <w:rFonts w:ascii="Cambria Math" w:hAnsi="Cambria Math"/>
                  <w:sz w:val="20"/>
                  <w:lang w:eastAsia="en-US"/>
                </w:rPr>
                <m:t>1+</m:t>
              </m:r>
              <m:f>
                <m:fPr>
                  <m:ctrlPr>
                    <w:rPr>
                      <w:rFonts w:ascii="Cambria Math" w:hAnsi="Cambria Math"/>
                      <w:i/>
                      <w:sz w:val="20"/>
                      <w:lang w:eastAsia="en-US"/>
                    </w:rPr>
                  </m:ctrlPr>
                </m:fPr>
                <m:num>
                  <m:r>
                    <w:rPr>
                      <w:rFonts w:ascii="Cambria Math" w:hAnsi="Cambria Math"/>
                      <w:sz w:val="20"/>
                      <w:lang w:eastAsia="en-US"/>
                    </w:rPr>
                    <m:t>1</m:t>
                  </m:r>
                </m:num>
                <m:den>
                  <m:r>
                    <m:rPr>
                      <m:sty m:val="bi"/>
                    </m:rPr>
                    <w:rPr>
                      <w:rFonts w:ascii="Cambria Math" w:hAnsi="Cambria Math"/>
                      <w:sz w:val="20"/>
                      <w:lang w:eastAsia="en-US"/>
                    </w:rPr>
                    <m:t>SNR</m:t>
                  </m:r>
                </m:den>
              </m:f>
            </m:den>
          </m:f>
        </m:oMath>
      </m:oMathPara>
    </w:p>
    <w:p w14:paraId="70860C83" w14:textId="5F7D9D87" w:rsidR="001A7C4F" w:rsidRDefault="001727B2" w:rsidP="00F71FBC">
      <w:pPr>
        <w:rPr>
          <w:lang w:eastAsia="en-US"/>
        </w:rPr>
      </w:pPr>
      <w:r>
        <w:rPr>
          <w:lang w:eastAsia="en-US"/>
        </w:rPr>
        <w:t>Thus</w:t>
      </w:r>
      <w:r w:rsidR="007C63E0">
        <w:rPr>
          <w:lang w:eastAsia="en-US"/>
        </w:rPr>
        <w:t xml:space="preserve">, there is a </w:t>
      </w:r>
      <w:r w:rsidR="00E76FAB">
        <w:rPr>
          <w:lang w:eastAsia="en-US"/>
        </w:rPr>
        <w:t xml:space="preserve">consistent </w:t>
      </w:r>
      <w:r w:rsidR="007C63E0">
        <w:rPr>
          <w:lang w:eastAsia="en-US"/>
        </w:rPr>
        <w:t xml:space="preserve">relation between the </w:t>
      </w:r>
      <w:r>
        <w:rPr>
          <w:lang w:eastAsia="en-US"/>
        </w:rPr>
        <w:t xml:space="preserve">UEs </w:t>
      </w:r>
      <w:r w:rsidR="009111C0">
        <w:rPr>
          <w:lang w:eastAsia="en-US"/>
        </w:rPr>
        <w:t>SS</w:t>
      </w:r>
      <w:r w:rsidR="00647313">
        <w:rPr>
          <w:lang w:eastAsia="en-US"/>
        </w:rPr>
        <w:t>-</w:t>
      </w:r>
      <w:r w:rsidR="007C63E0">
        <w:rPr>
          <w:lang w:eastAsia="en-US"/>
        </w:rPr>
        <w:t xml:space="preserve">RSRQ </w:t>
      </w:r>
      <w:r>
        <w:rPr>
          <w:lang w:eastAsia="en-US"/>
        </w:rPr>
        <w:t>report</w:t>
      </w:r>
      <w:r w:rsidR="007C63E0">
        <w:rPr>
          <w:lang w:eastAsia="en-US"/>
        </w:rPr>
        <w:t xml:space="preserve"> and the </w:t>
      </w:r>
      <w:r>
        <w:rPr>
          <w:lang w:eastAsia="en-US"/>
        </w:rPr>
        <w:t xml:space="preserve">actual </w:t>
      </w:r>
      <w:r w:rsidR="007C63E0">
        <w:rPr>
          <w:lang w:eastAsia="en-US"/>
        </w:rPr>
        <w:t xml:space="preserve">throughput. This relation can be determined by a calibration measurement at </w:t>
      </w:r>
      <w:r>
        <w:rPr>
          <w:lang w:eastAsia="en-US"/>
        </w:rPr>
        <w:t xml:space="preserve">the </w:t>
      </w:r>
      <w:r w:rsidR="007C63E0">
        <w:rPr>
          <w:lang w:eastAsia="en-US"/>
        </w:rPr>
        <w:t xml:space="preserve">initial measurement grid point, to find the </w:t>
      </w:r>
      <w:r w:rsidR="00E76FAB">
        <w:rPr>
          <w:lang w:eastAsia="en-US"/>
        </w:rPr>
        <w:t>SS</w:t>
      </w:r>
      <w:r w:rsidR="00647313">
        <w:rPr>
          <w:lang w:eastAsia="en-US"/>
        </w:rPr>
        <w:t>-</w:t>
      </w:r>
      <w:r w:rsidR="00E76FAB">
        <w:rPr>
          <w:lang w:eastAsia="en-US"/>
        </w:rPr>
        <w:t>RSRQ</w:t>
      </w:r>
      <w:r w:rsidR="00E76FAB">
        <w:rPr>
          <w:vertAlign w:val="subscript"/>
          <w:lang w:eastAsia="en-US"/>
        </w:rPr>
        <w:t>EIS</w:t>
      </w:r>
      <w:r w:rsidR="00E76FAB">
        <w:rPr>
          <w:lang w:eastAsia="en-US"/>
        </w:rPr>
        <w:t xml:space="preserve"> </w:t>
      </w:r>
      <w:r w:rsidR="007C63E0">
        <w:rPr>
          <w:lang w:eastAsia="en-US"/>
        </w:rPr>
        <w:t xml:space="preserve">value that corresponds to the </w:t>
      </w:r>
      <w:r w:rsidR="00E76FAB">
        <w:rPr>
          <w:lang w:eastAsia="en-US"/>
        </w:rPr>
        <w:t xml:space="preserve">EIS </w:t>
      </w:r>
      <w:r w:rsidR="007C63E0">
        <w:rPr>
          <w:lang w:eastAsia="en-US"/>
        </w:rPr>
        <w:t>throughput value.</w:t>
      </w:r>
    </w:p>
    <w:p w14:paraId="28B2090C" w14:textId="6137A20F" w:rsidR="00616003" w:rsidRDefault="007C63E0" w:rsidP="00616003">
      <w:pPr>
        <w:rPr>
          <w:lang w:eastAsia="en-US"/>
        </w:rPr>
      </w:pPr>
      <w:r>
        <w:rPr>
          <w:lang w:eastAsia="en-US"/>
        </w:rPr>
        <w:t xml:space="preserve">Knowing this relations, the remaining EIS value can be found based on </w:t>
      </w:r>
      <w:r w:rsidR="009111C0">
        <w:rPr>
          <w:lang w:eastAsia="en-US"/>
        </w:rPr>
        <w:t>SS</w:t>
      </w:r>
      <w:r w:rsidR="00647313">
        <w:rPr>
          <w:lang w:eastAsia="en-US"/>
        </w:rPr>
        <w:t>-</w:t>
      </w:r>
      <w:r>
        <w:rPr>
          <w:lang w:eastAsia="en-US"/>
        </w:rPr>
        <w:t>RSRQ measurements.</w:t>
      </w:r>
    </w:p>
    <w:p w14:paraId="6E3C8E41" w14:textId="6CB4FF4F" w:rsidR="009111C0" w:rsidRPr="001F4CDF" w:rsidRDefault="003D7D8F" w:rsidP="00616003">
      <w:pPr>
        <w:rPr>
          <w:b/>
          <w:lang w:eastAsia="en-US"/>
        </w:rPr>
      </w:pPr>
      <w:r w:rsidRPr="001F4CDF">
        <w:rPr>
          <w:b/>
          <w:lang w:eastAsia="en-US"/>
        </w:rPr>
        <w:t>Proposal:</w:t>
      </w:r>
    </w:p>
    <w:p w14:paraId="37C0ADA5" w14:textId="05E370FB" w:rsidR="003D7D8F" w:rsidRDefault="009111C0" w:rsidP="00616003">
      <w:pPr>
        <w:rPr>
          <w:lang w:eastAsia="en-US"/>
        </w:rPr>
      </w:pPr>
      <w:r>
        <w:rPr>
          <w:lang w:eastAsia="en-US"/>
        </w:rPr>
        <w:t>Consider SSRSRQ metric for EIS measurements according to the following procedure:</w:t>
      </w:r>
    </w:p>
    <w:p w14:paraId="5F0FC774" w14:textId="7E855963" w:rsidR="009111C0" w:rsidRPr="001F4CDF" w:rsidRDefault="009111C0" w:rsidP="001F4CDF">
      <w:pPr>
        <w:pStyle w:val="Listenabsatz"/>
        <w:numPr>
          <w:ilvl w:val="0"/>
          <w:numId w:val="48"/>
        </w:numPr>
        <w:rPr>
          <w:lang w:val="en-US"/>
        </w:rPr>
      </w:pPr>
      <w:r w:rsidRPr="001F4CDF">
        <w:rPr>
          <w:lang w:val="en-US"/>
        </w:rPr>
        <w:t xml:space="preserve">Measure initial grid point EIS value according to </w:t>
      </w:r>
      <w:r>
        <w:rPr>
          <w:lang w:val="en-US"/>
        </w:rPr>
        <w:t>t</w:t>
      </w:r>
      <w:r w:rsidRPr="001F4CDF">
        <w:rPr>
          <w:lang w:val="en-US"/>
        </w:rPr>
        <w:t>hroughput metric</w:t>
      </w:r>
      <w:r>
        <w:rPr>
          <w:lang w:val="en-US"/>
        </w:rPr>
        <w:t xml:space="preserve"> and record the corresponding SSRSRQ</w:t>
      </w:r>
      <w:r w:rsidR="00C25FFD" w:rsidRPr="001F4CDF">
        <w:rPr>
          <w:vertAlign w:val="subscript"/>
          <w:lang w:val="en-US"/>
        </w:rPr>
        <w:t>E</w:t>
      </w:r>
      <w:r w:rsidR="00C25FFD">
        <w:rPr>
          <w:vertAlign w:val="subscript"/>
          <w:lang w:val="en-US"/>
        </w:rPr>
        <w:t>I</w:t>
      </w:r>
      <w:r w:rsidRPr="001F4CDF">
        <w:rPr>
          <w:vertAlign w:val="subscript"/>
          <w:lang w:val="en-US"/>
        </w:rPr>
        <w:t>S</w:t>
      </w:r>
      <w:r>
        <w:rPr>
          <w:lang w:val="en-US"/>
        </w:rPr>
        <w:t xml:space="preserve"> value.</w:t>
      </w:r>
    </w:p>
    <w:p w14:paraId="2FD69474" w14:textId="30E37DCC" w:rsidR="009111C0" w:rsidRPr="001F4CDF" w:rsidRDefault="009111C0" w:rsidP="001F4CDF">
      <w:pPr>
        <w:pStyle w:val="Listenabsatz"/>
        <w:numPr>
          <w:ilvl w:val="0"/>
          <w:numId w:val="48"/>
        </w:numPr>
        <w:rPr>
          <w:lang w:val="en-US"/>
        </w:rPr>
      </w:pPr>
      <w:r>
        <w:rPr>
          <w:lang w:val="en-US"/>
        </w:rPr>
        <w:t>Measure remaining grid points EIS values with SSRSRQ metric</w:t>
      </w:r>
      <w:r w:rsidR="00C25FFD">
        <w:rPr>
          <w:lang w:val="en-US"/>
        </w:rPr>
        <w:t>.</w:t>
      </w:r>
    </w:p>
    <w:p w14:paraId="12A65742" w14:textId="77777777" w:rsidR="00C16386" w:rsidRDefault="00C16386" w:rsidP="001F4CDF"/>
    <w:p w14:paraId="2156EE12" w14:textId="14842F84" w:rsidR="00C16386" w:rsidRPr="001F4CDF" w:rsidRDefault="00C16386">
      <w:pPr>
        <w:rPr>
          <w:lang w:val="en-GB"/>
        </w:rPr>
      </w:pPr>
      <w:r w:rsidRPr="00523DED">
        <w:rPr>
          <w:lang w:val="en-GB"/>
        </w:rPr>
        <w:t xml:space="preserve">Open issues are still which measurement grid is the optimum one for that kind of measurement and </w:t>
      </w:r>
      <w:r>
        <w:rPr>
          <w:lang w:val="en-GB"/>
        </w:rPr>
        <w:t xml:space="preserve">the evaluation of final </w:t>
      </w:r>
      <w:r w:rsidRPr="00523DED">
        <w:rPr>
          <w:lang w:val="en-GB"/>
        </w:rPr>
        <w:t>MU values related to this method.</w:t>
      </w:r>
      <w:bookmarkStart w:id="2" w:name="_GoBack"/>
      <w:bookmarkEnd w:id="2"/>
    </w:p>
    <w:bookmarkEnd w:id="0"/>
    <w:bookmarkEnd w:id="1"/>
    <w:p w14:paraId="6A30F3C3" w14:textId="13E25932" w:rsidR="00EE0AC3" w:rsidRPr="00DE4417" w:rsidRDefault="00F71811" w:rsidP="00EE0AC3">
      <w:pPr>
        <w:pStyle w:val="berschrift1"/>
        <w:rPr>
          <w:rFonts w:cs="Arial"/>
        </w:rPr>
      </w:pPr>
      <w:r w:rsidRPr="00DE4417">
        <w:rPr>
          <w:rFonts w:cs="Arial"/>
        </w:rPr>
        <w:t>Proposal</w:t>
      </w:r>
    </w:p>
    <w:p w14:paraId="3873E421" w14:textId="77777777" w:rsidR="00C16386" w:rsidRPr="00552DCB" w:rsidRDefault="00C16386" w:rsidP="00C16386">
      <w:pPr>
        <w:rPr>
          <w:b/>
          <w:lang w:eastAsia="en-US"/>
        </w:rPr>
      </w:pPr>
      <w:bookmarkStart w:id="3" w:name="_Ref473660868"/>
      <w:bookmarkStart w:id="4" w:name="_Ref473660708"/>
      <w:bookmarkStart w:id="5" w:name="OLE_LINK6"/>
      <w:bookmarkStart w:id="6" w:name="OLE_LINK7"/>
      <w:r w:rsidRPr="00552DCB">
        <w:rPr>
          <w:b/>
          <w:lang w:eastAsia="en-US"/>
        </w:rPr>
        <w:t>Proposal:</w:t>
      </w:r>
    </w:p>
    <w:p w14:paraId="0D8FE3B1" w14:textId="348C126B" w:rsidR="00C25FFD" w:rsidRDefault="00C25FFD" w:rsidP="00C25FFD">
      <w:pPr>
        <w:rPr>
          <w:lang w:eastAsia="en-US"/>
        </w:rPr>
      </w:pPr>
      <w:r>
        <w:rPr>
          <w:lang w:eastAsia="en-US"/>
        </w:rPr>
        <w:t>Consider SS</w:t>
      </w:r>
      <w:r w:rsidR="00A52D95">
        <w:rPr>
          <w:lang w:eastAsia="en-US"/>
        </w:rPr>
        <w:t>-</w:t>
      </w:r>
      <w:r>
        <w:rPr>
          <w:lang w:eastAsia="en-US"/>
        </w:rPr>
        <w:t>RSRQ metric for EIS measurements according to the following procedure:</w:t>
      </w:r>
    </w:p>
    <w:p w14:paraId="641EB14D" w14:textId="77777777" w:rsidR="00C25FFD" w:rsidRPr="00902FA5" w:rsidRDefault="00C25FFD" w:rsidP="00C25FFD">
      <w:pPr>
        <w:pStyle w:val="Listenabsatz"/>
        <w:numPr>
          <w:ilvl w:val="0"/>
          <w:numId w:val="50"/>
        </w:numPr>
        <w:rPr>
          <w:lang w:val="en-US"/>
        </w:rPr>
      </w:pPr>
      <w:r w:rsidRPr="00902FA5">
        <w:rPr>
          <w:lang w:val="en-US"/>
        </w:rPr>
        <w:t xml:space="preserve">Measure initial grid point EIS value according to </w:t>
      </w:r>
      <w:r>
        <w:rPr>
          <w:lang w:val="en-US"/>
        </w:rPr>
        <w:t>t</w:t>
      </w:r>
      <w:r w:rsidRPr="00902FA5">
        <w:rPr>
          <w:lang w:val="en-US"/>
        </w:rPr>
        <w:t>hroughput metric</w:t>
      </w:r>
      <w:r>
        <w:rPr>
          <w:lang w:val="en-US"/>
        </w:rPr>
        <w:t xml:space="preserve"> and record the corresponding SSRSRQ</w:t>
      </w:r>
      <w:r w:rsidRPr="00902FA5">
        <w:rPr>
          <w:vertAlign w:val="subscript"/>
          <w:lang w:val="en-US"/>
        </w:rPr>
        <w:t>E</w:t>
      </w:r>
      <w:r>
        <w:rPr>
          <w:vertAlign w:val="subscript"/>
          <w:lang w:val="en-US"/>
        </w:rPr>
        <w:t>I</w:t>
      </w:r>
      <w:r w:rsidRPr="00902FA5">
        <w:rPr>
          <w:vertAlign w:val="subscript"/>
          <w:lang w:val="en-US"/>
        </w:rPr>
        <w:t>S</w:t>
      </w:r>
      <w:r>
        <w:rPr>
          <w:lang w:val="en-US"/>
        </w:rPr>
        <w:t xml:space="preserve"> value.</w:t>
      </w:r>
    </w:p>
    <w:p w14:paraId="0884B310" w14:textId="5337439C" w:rsidR="00C25FFD" w:rsidRPr="00902FA5" w:rsidRDefault="00C25FFD" w:rsidP="00C25FFD">
      <w:pPr>
        <w:pStyle w:val="Listenabsatz"/>
        <w:numPr>
          <w:ilvl w:val="0"/>
          <w:numId w:val="50"/>
        </w:numPr>
        <w:rPr>
          <w:lang w:val="en-US"/>
        </w:rPr>
      </w:pPr>
      <w:r>
        <w:rPr>
          <w:lang w:val="en-US"/>
        </w:rPr>
        <w:t>Measure remaining grid points EIS values with SS</w:t>
      </w:r>
      <w:r w:rsidR="00A52D95">
        <w:rPr>
          <w:lang w:val="en-US"/>
        </w:rPr>
        <w:t>-</w:t>
      </w:r>
      <w:r>
        <w:rPr>
          <w:lang w:val="en-US"/>
        </w:rPr>
        <w:t>RSRQ metric.</w:t>
      </w:r>
    </w:p>
    <w:p w14:paraId="14952D28" w14:textId="71D839E7" w:rsidR="007C63E0" w:rsidRDefault="007C63E0" w:rsidP="00824BF1">
      <w:pPr>
        <w:rPr>
          <w:lang w:val="en-GB" w:eastAsia="en-US"/>
        </w:rPr>
      </w:pPr>
      <w:r>
        <w:rPr>
          <w:lang w:val="en-GB" w:eastAsia="en-US"/>
        </w:rPr>
        <w:t>Open issues are still which measurement grid is the optimum one for that kind of measurement and measurement MU values related to this method.</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3"/>
    <w:bookmarkEnd w:id="4"/>
    <w:bookmarkEnd w:id="5"/>
    <w:bookmarkEnd w:id="6"/>
    <w:p w14:paraId="0FAA4151" w14:textId="0F5EF6A8" w:rsidR="00196262" w:rsidRPr="00257FD8" w:rsidRDefault="007A411C" w:rsidP="00196262">
      <w:pPr>
        <w:pStyle w:val="Listenabsatz"/>
        <w:numPr>
          <w:ilvl w:val="0"/>
          <w:numId w:val="46"/>
        </w:numPr>
        <w:spacing w:after="0" w:line="240" w:lineRule="auto"/>
        <w:rPr>
          <w:lang w:val="en-GB"/>
        </w:rPr>
      </w:pPr>
      <w:r>
        <w:rPr>
          <w:lang w:val="en-GB"/>
        </w:rPr>
        <w:t>3GPP TS 38.215 V15.3.0 (2018-09)</w:t>
      </w:r>
    </w:p>
    <w:sectPr w:rsidR="00196262" w:rsidRPr="00257FD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A1D50" w14:textId="77777777" w:rsidR="00D011FC" w:rsidRDefault="00D011FC" w:rsidP="00371D7D">
      <w:r>
        <w:separator/>
      </w:r>
    </w:p>
  </w:endnote>
  <w:endnote w:type="continuationSeparator" w:id="0">
    <w:p w14:paraId="3BB27C5D" w14:textId="77777777" w:rsidR="00D011FC" w:rsidRDefault="00D011F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78D84FB" w:rsidR="00D011FC" w:rsidRPr="000E7B1E" w:rsidRDefault="00D011F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F4CDF">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D542A" w14:textId="77777777" w:rsidR="00D011FC" w:rsidRDefault="00D011FC" w:rsidP="00371D7D">
      <w:r>
        <w:separator/>
      </w:r>
    </w:p>
  </w:footnote>
  <w:footnote w:type="continuationSeparator" w:id="0">
    <w:p w14:paraId="6883AF58" w14:textId="77777777" w:rsidR="00D011FC" w:rsidRDefault="00D011F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75C6"/>
    <w:multiLevelType w:val="hybridMultilevel"/>
    <w:tmpl w:val="4E904D9A"/>
    <w:lvl w:ilvl="0" w:tplc="CD9A4102">
      <w:numFmt w:val="bullet"/>
      <w:lvlText w:val="-"/>
      <w:lvlJc w:val="left"/>
      <w:pPr>
        <w:ind w:left="720" w:hanging="360"/>
      </w:pPr>
      <w:rPr>
        <w:rFonts w:ascii="Arial" w:eastAsia="SimSu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4840A5"/>
    <w:multiLevelType w:val="hybridMultilevel"/>
    <w:tmpl w:val="1EC837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7"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8"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87614"/>
    <w:multiLevelType w:val="hybridMultilevel"/>
    <w:tmpl w:val="1EC837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2"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EF0E77"/>
    <w:multiLevelType w:val="hybridMultilevel"/>
    <w:tmpl w:val="1EC837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7"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16"/>
  </w:num>
  <w:num w:numId="3">
    <w:abstractNumId w:val="21"/>
  </w:num>
  <w:num w:numId="4">
    <w:abstractNumId w:val="34"/>
  </w:num>
  <w:num w:numId="5">
    <w:abstractNumId w:val="21"/>
  </w:num>
  <w:num w:numId="6">
    <w:abstractNumId w:val="21"/>
  </w:num>
  <w:num w:numId="7">
    <w:abstractNumId w:val="21"/>
  </w:num>
  <w:num w:numId="8">
    <w:abstractNumId w:val="21"/>
  </w:num>
  <w:num w:numId="9">
    <w:abstractNumId w:val="20"/>
  </w:num>
  <w:num w:numId="10">
    <w:abstractNumId w:val="22"/>
  </w:num>
  <w:num w:numId="11">
    <w:abstractNumId w:val="19"/>
  </w:num>
  <w:num w:numId="12">
    <w:abstractNumId w:val="18"/>
  </w:num>
  <w:num w:numId="13">
    <w:abstractNumId w:val="37"/>
  </w:num>
  <w:num w:numId="14">
    <w:abstractNumId w:val="21"/>
  </w:num>
  <w:num w:numId="15">
    <w:abstractNumId w:val="30"/>
  </w:num>
  <w:num w:numId="16">
    <w:abstractNumId w:val="15"/>
  </w:num>
  <w:num w:numId="17">
    <w:abstractNumId w:val="1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5"/>
  </w:num>
  <w:num w:numId="23">
    <w:abstractNumId w:val="21"/>
  </w:num>
  <w:num w:numId="24">
    <w:abstractNumId w:val="13"/>
  </w:num>
  <w:num w:numId="25">
    <w:abstractNumId w:val="14"/>
  </w:num>
  <w:num w:numId="26">
    <w:abstractNumId w:val="21"/>
  </w:num>
  <w:num w:numId="27">
    <w:abstractNumId w:val="23"/>
  </w:num>
  <w:num w:numId="28">
    <w:abstractNumId w:val="5"/>
  </w:num>
  <w:num w:numId="29">
    <w:abstractNumId w:val="28"/>
  </w:num>
  <w:num w:numId="30">
    <w:abstractNumId w:val="33"/>
  </w:num>
  <w:num w:numId="31">
    <w:abstractNumId w:val="32"/>
  </w:num>
  <w:num w:numId="32">
    <w:abstractNumId w:val="9"/>
  </w:num>
  <w:num w:numId="33">
    <w:abstractNumId w:val="39"/>
  </w:num>
  <w:num w:numId="34">
    <w:abstractNumId w:val="4"/>
  </w:num>
  <w:num w:numId="35">
    <w:abstractNumId w:val="17"/>
  </w:num>
  <w:num w:numId="36">
    <w:abstractNumId w:val="31"/>
  </w:num>
  <w:num w:numId="37">
    <w:abstractNumId w:val="26"/>
  </w:num>
  <w:num w:numId="38">
    <w:abstractNumId w:val="38"/>
  </w:num>
  <w:num w:numId="39">
    <w:abstractNumId w:val="29"/>
  </w:num>
  <w:num w:numId="40">
    <w:abstractNumId w:val="36"/>
  </w:num>
  <w:num w:numId="41">
    <w:abstractNumId w:val="27"/>
  </w:num>
  <w:num w:numId="42">
    <w:abstractNumId w:val="21"/>
  </w:num>
  <w:num w:numId="43">
    <w:abstractNumId w:val="21"/>
  </w:num>
  <w:num w:numId="44">
    <w:abstractNumId w:val="3"/>
  </w:num>
  <w:num w:numId="45">
    <w:abstractNumId w:val="8"/>
  </w:num>
  <w:num w:numId="46">
    <w:abstractNumId w:val="10"/>
  </w:num>
  <w:num w:numId="47">
    <w:abstractNumId w:val="0"/>
  </w:num>
  <w:num w:numId="48">
    <w:abstractNumId w:val="24"/>
  </w:num>
  <w:num w:numId="49">
    <w:abstractNumId w:val="12"/>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7BB6"/>
    <w:rsid w:val="00100D39"/>
    <w:rsid w:val="0010446A"/>
    <w:rsid w:val="00105C45"/>
    <w:rsid w:val="0010792C"/>
    <w:rsid w:val="00110B13"/>
    <w:rsid w:val="001114C1"/>
    <w:rsid w:val="00112164"/>
    <w:rsid w:val="001137DA"/>
    <w:rsid w:val="00113DED"/>
    <w:rsid w:val="0011436A"/>
    <w:rsid w:val="001147B0"/>
    <w:rsid w:val="00114995"/>
    <w:rsid w:val="00116DFF"/>
    <w:rsid w:val="001178F0"/>
    <w:rsid w:val="001179E4"/>
    <w:rsid w:val="00117F9C"/>
    <w:rsid w:val="00123745"/>
    <w:rsid w:val="00126CE6"/>
    <w:rsid w:val="00131C14"/>
    <w:rsid w:val="00132BDD"/>
    <w:rsid w:val="001339FF"/>
    <w:rsid w:val="00135EA4"/>
    <w:rsid w:val="001378A7"/>
    <w:rsid w:val="00144DD4"/>
    <w:rsid w:val="0015068F"/>
    <w:rsid w:val="001530C0"/>
    <w:rsid w:val="00153604"/>
    <w:rsid w:val="001553DE"/>
    <w:rsid w:val="0015692F"/>
    <w:rsid w:val="0016379A"/>
    <w:rsid w:val="00164040"/>
    <w:rsid w:val="00166A43"/>
    <w:rsid w:val="00167CAD"/>
    <w:rsid w:val="00167FB4"/>
    <w:rsid w:val="0017275D"/>
    <w:rsid w:val="001727B2"/>
    <w:rsid w:val="00172D17"/>
    <w:rsid w:val="001747B0"/>
    <w:rsid w:val="00174ED5"/>
    <w:rsid w:val="00176658"/>
    <w:rsid w:val="00176791"/>
    <w:rsid w:val="00180494"/>
    <w:rsid w:val="001810A2"/>
    <w:rsid w:val="00184003"/>
    <w:rsid w:val="00193A32"/>
    <w:rsid w:val="00196262"/>
    <w:rsid w:val="001A042A"/>
    <w:rsid w:val="001A2E0D"/>
    <w:rsid w:val="001A7C4F"/>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D26"/>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5928"/>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233"/>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A60"/>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D7D8F"/>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27C"/>
    <w:rsid w:val="00516D9C"/>
    <w:rsid w:val="00517DEB"/>
    <w:rsid w:val="005208AB"/>
    <w:rsid w:val="00521C12"/>
    <w:rsid w:val="0052278C"/>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6796B"/>
    <w:rsid w:val="00570805"/>
    <w:rsid w:val="005718E4"/>
    <w:rsid w:val="00571AAB"/>
    <w:rsid w:val="00571E93"/>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313"/>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66074"/>
    <w:rsid w:val="007706D0"/>
    <w:rsid w:val="00773BDA"/>
    <w:rsid w:val="00773C96"/>
    <w:rsid w:val="00773DCA"/>
    <w:rsid w:val="007742E7"/>
    <w:rsid w:val="00776D6B"/>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059"/>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2D95"/>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132"/>
    <w:rsid w:val="00B57FE5"/>
    <w:rsid w:val="00B60110"/>
    <w:rsid w:val="00B61206"/>
    <w:rsid w:val="00B618F7"/>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4153"/>
    <w:rsid w:val="00C25111"/>
    <w:rsid w:val="00C253B8"/>
    <w:rsid w:val="00C25FFD"/>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2F0A"/>
    <w:rsid w:val="00E735F1"/>
    <w:rsid w:val="00E736DC"/>
    <w:rsid w:val="00E740C8"/>
    <w:rsid w:val="00E74332"/>
    <w:rsid w:val="00E74BB0"/>
    <w:rsid w:val="00E74BBE"/>
    <w:rsid w:val="00E76211"/>
    <w:rsid w:val="00E762B1"/>
    <w:rsid w:val="00E76FAB"/>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1FBC"/>
    <w:rsid w:val="00F747A8"/>
    <w:rsid w:val="00F7720E"/>
    <w:rsid w:val="00F81859"/>
    <w:rsid w:val="00F85F78"/>
    <w:rsid w:val="00F86B37"/>
    <w:rsid w:val="00F90336"/>
    <w:rsid w:val="00F90C1E"/>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6D15"/>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72677-8620-4E2F-8E84-E25349995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3327</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6</cp:revision>
  <cp:lastPrinted>2018-08-10T06:24:00Z</cp:lastPrinted>
  <dcterms:created xsi:type="dcterms:W3CDTF">2018-09-28T10:31:00Z</dcterms:created>
  <dcterms:modified xsi:type="dcterms:W3CDTF">2018-09-28T15:13:00Z</dcterms:modified>
  <cp:category/>
</cp:coreProperties>
</file>