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42EE6">
      <w:pPr>
        <w:tabs>
          <w:tab w:val="right" w:pos="10440"/>
          <w:tab w:val="right" w:pos="13323"/>
        </w:tabs>
        <w:spacing w:after="0"/>
        <w:rPr>
          <w:rFonts w:hint="default" w:ascii="Arial" w:hAnsi="Arial" w:eastAsia="宋体" w:cs="Arial"/>
          <w:b/>
          <w:color w:val="auto"/>
          <w:sz w:val="24"/>
          <w:szCs w:val="24"/>
          <w:lang w:val="en-US" w:eastAsia="zh-CN"/>
        </w:rPr>
      </w:pPr>
      <w:r>
        <w:rPr>
          <w:rFonts w:ascii="Arial" w:hAnsi="Arial" w:eastAsia="MS Mincho" w:cs="Arial"/>
          <w:b/>
          <w:color w:val="auto"/>
          <w:sz w:val="24"/>
          <w:szCs w:val="24"/>
        </w:rPr>
        <w:t>3GPP</w:t>
      </w:r>
      <w:r>
        <w:rPr>
          <w:rFonts w:hint="eastAsia" w:ascii="Arial" w:hAnsi="Arial" w:eastAsia="宋体" w:cs="Arial"/>
          <w:b/>
          <w:color w:val="auto"/>
          <w:sz w:val="24"/>
          <w:szCs w:val="24"/>
          <w:lang w:val="en-US" w:eastAsia="zh-CN"/>
        </w:rPr>
        <w:t xml:space="preserve"> </w:t>
      </w:r>
      <w:r>
        <w:rPr>
          <w:rFonts w:ascii="Arial" w:hAnsi="Arial" w:eastAsia="MS Mincho" w:cs="Arial"/>
          <w:b/>
          <w:color w:val="auto"/>
          <w:sz w:val="24"/>
          <w:szCs w:val="24"/>
        </w:rPr>
        <w:t>TSG-RAN WG4 Meeting #</w:t>
      </w:r>
      <w:r>
        <w:rPr>
          <w:rFonts w:hint="eastAsia" w:ascii="Arial" w:hAnsi="Arial" w:eastAsia="宋体" w:cs="Arial"/>
          <w:b/>
          <w:color w:val="auto"/>
          <w:sz w:val="24"/>
          <w:szCs w:val="24"/>
          <w:lang w:val="en-US" w:eastAsia="zh-CN"/>
        </w:rPr>
        <w:t>117</w:t>
      </w:r>
      <w:r>
        <w:rPr>
          <w:rFonts w:ascii="Arial" w:hAnsi="Arial" w:eastAsia="MS Mincho" w:cs="Arial"/>
          <w:b/>
          <w:color w:val="auto"/>
          <w:sz w:val="24"/>
          <w:szCs w:val="24"/>
        </w:rPr>
        <w:tab/>
      </w:r>
      <w:r>
        <w:rPr>
          <w:rFonts w:ascii="Arial" w:hAnsi="Arial" w:eastAsia="MS Mincho" w:cs="Arial"/>
          <w:b/>
          <w:color w:val="auto"/>
          <w:sz w:val="24"/>
          <w:szCs w:val="24"/>
        </w:rPr>
        <w:t>R4-2</w:t>
      </w:r>
      <w:r>
        <w:rPr>
          <w:rFonts w:hint="eastAsia" w:ascii="Arial" w:hAnsi="Arial" w:eastAsia="宋体" w:cs="Arial"/>
          <w:b/>
          <w:color w:val="auto"/>
          <w:sz w:val="24"/>
          <w:szCs w:val="24"/>
          <w:lang w:val="en-US" w:eastAsia="zh-CN"/>
        </w:rPr>
        <w:t>522632</w:t>
      </w:r>
    </w:p>
    <w:p w14:paraId="673CA509">
      <w:pPr>
        <w:pStyle w:val="36"/>
        <w:tabs>
          <w:tab w:val="right" w:pos="9781"/>
          <w:tab w:val="right" w:pos="13323"/>
        </w:tabs>
        <w:spacing w:before="60" w:after="60"/>
        <w:outlineLvl w:val="0"/>
        <w:rPr>
          <w:rFonts w:eastAsia="宋体" w:cs="Arial"/>
          <w:color w:val="auto"/>
          <w:sz w:val="24"/>
          <w:szCs w:val="24"/>
          <w:highlight w:val="green"/>
          <w:lang w:eastAsia="zh-CN"/>
        </w:rPr>
      </w:pPr>
      <w:r>
        <w:rPr>
          <w:rFonts w:cs="Arial"/>
          <w:b/>
          <w:sz w:val="24"/>
          <w:szCs w:val="24"/>
          <w:lang w:val="en-US" w:eastAsia="zh-CN"/>
        </w:rPr>
        <w:t xml:space="preserve">Dallas, USA, </w:t>
      </w:r>
      <w:r>
        <w:rPr>
          <w:rFonts w:eastAsia="PMingLiU" w:cs="Arial"/>
          <w:b/>
          <w:sz w:val="24"/>
          <w:szCs w:val="24"/>
          <w:lang w:val="en-US" w:eastAsia="zh-TW"/>
        </w:rPr>
        <w:t>17</w:t>
      </w:r>
      <w:r>
        <w:rPr>
          <w:rFonts w:cs="Arial"/>
          <w:b/>
          <w:sz w:val="24"/>
          <w:szCs w:val="24"/>
          <w:vertAlign w:val="superscript"/>
          <w:lang w:val="en-US" w:eastAsia="zh-CN"/>
        </w:rPr>
        <w:t>th</w:t>
      </w:r>
      <w:r>
        <w:rPr>
          <w:rFonts w:cs="Arial"/>
          <w:b/>
          <w:sz w:val="24"/>
          <w:szCs w:val="24"/>
          <w:lang w:val="en-US" w:eastAsia="zh-CN"/>
        </w:rPr>
        <w:t xml:space="preserve"> – 21</w:t>
      </w:r>
      <w:r>
        <w:rPr>
          <w:rFonts w:cs="Arial"/>
          <w:b/>
          <w:sz w:val="24"/>
          <w:szCs w:val="24"/>
          <w:vertAlign w:val="superscript"/>
          <w:lang w:val="en-US" w:eastAsia="zh-CN"/>
        </w:rPr>
        <w:t>st</w:t>
      </w:r>
      <w:r>
        <w:rPr>
          <w:rFonts w:cs="Arial"/>
          <w:b/>
          <w:sz w:val="24"/>
          <w:szCs w:val="24"/>
          <w:lang w:val="en-US" w:eastAsia="zh-CN"/>
        </w:rPr>
        <w:t xml:space="preserve"> of November 2025</w:t>
      </w:r>
    </w:p>
    <w:p w14:paraId="6DE4AA74">
      <w:pPr>
        <w:tabs>
          <w:tab w:val="right" w:pos="10440"/>
          <w:tab w:val="right" w:pos="13323"/>
        </w:tabs>
        <w:spacing w:after="240" w:afterLines="100"/>
        <w:rPr>
          <w:rFonts w:ascii="Arial" w:hAnsi="Arial" w:cs="Arial"/>
          <w:b/>
          <w:color w:val="auto"/>
          <w:sz w:val="24"/>
          <w:szCs w:val="24"/>
          <w:lang w:val="en-US" w:eastAsia="zh-CN"/>
        </w:rPr>
      </w:pPr>
    </w:p>
    <w:p w14:paraId="67CC15E5">
      <w:pPr>
        <w:tabs>
          <w:tab w:val="left" w:pos="1985"/>
        </w:tabs>
        <w:jc w:val="both"/>
        <w:rPr>
          <w:rFonts w:hint="eastAsia" w:ascii="Arial" w:hAnsi="Arial" w:cs="Arial"/>
          <w:b/>
          <w:color w:val="auto"/>
          <w:sz w:val="22"/>
        </w:rPr>
      </w:pPr>
      <w:r>
        <w:rPr>
          <w:rFonts w:ascii="Arial" w:hAnsi="Arial" w:cs="Arial"/>
          <w:b/>
          <w:color w:val="auto"/>
          <w:sz w:val="22"/>
        </w:rPr>
        <w:t xml:space="preserve">Title: </w:t>
      </w:r>
      <w:r>
        <w:rPr>
          <w:rFonts w:ascii="Arial" w:hAnsi="Arial" w:cs="Arial"/>
          <w:b/>
          <w:color w:val="auto"/>
          <w:sz w:val="22"/>
        </w:rPr>
        <w:tab/>
      </w:r>
      <w:r>
        <w:rPr>
          <w:rFonts w:hint="eastAsia" w:ascii="Arial" w:hAnsi="Arial" w:cs="Arial"/>
          <w:b w:val="0"/>
          <w:bCs/>
          <w:color w:val="auto"/>
          <w:sz w:val="22"/>
        </w:rPr>
        <w:t>WF on NR_ATG_enh_RRM</w:t>
      </w:r>
    </w:p>
    <w:p w14:paraId="21F6F9CE">
      <w:pPr>
        <w:tabs>
          <w:tab w:val="left" w:pos="1985"/>
        </w:tabs>
        <w:jc w:val="both"/>
        <w:rPr>
          <w:rFonts w:hint="default" w:ascii="Arial" w:hAnsi="Arial" w:cs="Arial"/>
          <w:color w:val="auto"/>
          <w:sz w:val="22"/>
          <w:lang w:val="en-US" w:eastAsia="zh-CN"/>
        </w:rPr>
      </w:pPr>
      <w:r>
        <w:rPr>
          <w:rFonts w:ascii="Arial" w:hAnsi="Arial" w:cs="Arial"/>
          <w:b/>
          <w:color w:val="auto"/>
          <w:sz w:val="22"/>
        </w:rPr>
        <w:t>Agenda Item:</w:t>
      </w:r>
      <w:r>
        <w:rPr>
          <w:rFonts w:ascii="Arial" w:hAnsi="Arial" w:cs="Arial"/>
          <w:b/>
          <w:color w:val="auto"/>
          <w:sz w:val="22"/>
        </w:rPr>
        <w:tab/>
      </w:r>
      <w:r>
        <w:rPr>
          <w:rFonts w:hint="eastAsia" w:ascii="Arial" w:hAnsi="Arial" w:cs="Arial"/>
          <w:color w:val="auto"/>
          <w:sz w:val="22"/>
          <w:lang w:val="en-US" w:eastAsia="zh-CN"/>
        </w:rPr>
        <w:t>6.7.1</w:t>
      </w:r>
    </w:p>
    <w:p w14:paraId="625E059D">
      <w:pPr>
        <w:tabs>
          <w:tab w:val="left" w:pos="1985"/>
        </w:tabs>
        <w:jc w:val="both"/>
        <w:rPr>
          <w:rFonts w:ascii="Arial" w:hAnsi="Arial" w:eastAsia="宋体" w:cs="Arial"/>
          <w:color w:val="auto"/>
          <w:sz w:val="22"/>
          <w:lang w:val="en-US" w:eastAsia="zh-CN"/>
        </w:rPr>
      </w:pPr>
      <w:r>
        <w:rPr>
          <w:rFonts w:ascii="Arial" w:hAnsi="Arial" w:cs="Arial"/>
          <w:b/>
          <w:color w:val="auto"/>
          <w:sz w:val="22"/>
        </w:rPr>
        <w:t xml:space="preserve">Source: </w:t>
      </w:r>
      <w:r>
        <w:rPr>
          <w:rFonts w:ascii="Arial" w:hAnsi="Arial" w:cs="Arial"/>
          <w:b/>
          <w:color w:val="auto"/>
          <w:sz w:val="22"/>
        </w:rPr>
        <w:tab/>
      </w:r>
      <w:r>
        <w:rPr>
          <w:rFonts w:hint="eastAsia" w:ascii="Arial" w:hAnsi="Arial" w:cs="Arial" w:eastAsiaTheme="minorEastAsia"/>
          <w:color w:val="auto"/>
          <w:sz w:val="22"/>
          <w:lang w:val="en-US" w:eastAsia="zh-CN"/>
        </w:rPr>
        <w:t>CMCC</w:t>
      </w:r>
    </w:p>
    <w:p w14:paraId="07E610BB">
      <w:pPr>
        <w:tabs>
          <w:tab w:val="left" w:pos="1985"/>
        </w:tabs>
        <w:jc w:val="both"/>
        <w:rPr>
          <w:rFonts w:ascii="Arial" w:hAnsi="Arial" w:cs="Arial"/>
          <w:b/>
          <w:color w:val="auto"/>
          <w:sz w:val="22"/>
          <w:lang w:eastAsia="zh-CN"/>
        </w:rPr>
      </w:pPr>
      <w:r>
        <w:rPr>
          <w:rFonts w:ascii="Arial" w:hAnsi="Arial" w:cs="Arial"/>
          <w:b/>
          <w:color w:val="auto"/>
          <w:sz w:val="22"/>
        </w:rPr>
        <w:t>Document for:</w:t>
      </w:r>
      <w:r>
        <w:rPr>
          <w:rFonts w:ascii="Arial" w:hAnsi="Arial" w:cs="Arial"/>
          <w:b/>
          <w:color w:val="auto"/>
          <w:sz w:val="22"/>
        </w:rPr>
        <w:tab/>
      </w:r>
      <w:r>
        <w:rPr>
          <w:rFonts w:ascii="Arial" w:hAnsi="Arial" w:cs="Arial"/>
          <w:color w:val="auto"/>
          <w:sz w:val="22"/>
          <w:lang w:eastAsia="zh-CN"/>
        </w:rPr>
        <w:t>Approval</w:t>
      </w:r>
    </w:p>
    <w:p w14:paraId="346DD53C">
      <w:pPr>
        <w:pStyle w:val="2"/>
        <w:rPr>
          <w:rFonts w:eastAsia="宋体"/>
          <w:color w:val="auto"/>
          <w:lang w:val="en-US" w:eastAsia="zh-CN"/>
        </w:rPr>
      </w:pPr>
      <w:r>
        <w:rPr>
          <w:color w:val="auto"/>
        </w:rPr>
        <w:t xml:space="preserve">&lt;Topic </w:t>
      </w:r>
      <w:r>
        <w:rPr>
          <w:rFonts w:hint="eastAsia" w:eastAsia="宋体"/>
          <w:color w:val="auto"/>
          <w:lang w:val="en-US" w:eastAsia="zh-CN"/>
        </w:rPr>
        <w:t>1</w:t>
      </w:r>
      <w:r>
        <w:rPr>
          <w:color w:val="auto"/>
        </w:rPr>
        <w:t>&gt;</w:t>
      </w:r>
      <w:r>
        <w:rPr>
          <w:rFonts w:hint="eastAsia" w:eastAsia="宋体"/>
          <w:color w:val="auto"/>
          <w:lang w:val="en-US" w:eastAsia="zh-CN"/>
        </w:rPr>
        <w:t xml:space="preserve"> RRM perf requirement</w:t>
      </w:r>
    </w:p>
    <w:p w14:paraId="6E745F72">
      <w:pPr>
        <w:overflowPunct/>
        <w:autoSpaceDE/>
        <w:autoSpaceDN/>
        <w:adjustRightInd/>
        <w:snapToGrid w:val="0"/>
        <w:spacing w:after="120"/>
        <w:rPr>
          <w:rFonts w:eastAsia="宋体"/>
          <w:b/>
          <w:sz w:val="21"/>
          <w:szCs w:val="21"/>
          <w:u w:val="single"/>
          <w:lang w:eastAsia="ko-KR"/>
        </w:rPr>
      </w:pPr>
      <w:r>
        <w:rPr>
          <w:rFonts w:eastAsia="宋体"/>
          <w:b/>
          <w:sz w:val="21"/>
          <w:szCs w:val="21"/>
          <w:u w:val="single"/>
          <w:lang w:eastAsia="ko-KR"/>
        </w:rPr>
        <w:t>Issue 2-1: whether and how to introduce Event triggered reporting on SCC with deactivated SCell test under non-DRX</w:t>
      </w:r>
      <w:r>
        <w:rPr>
          <w:rFonts w:eastAsia="宋体"/>
          <w:b/>
          <w:sz w:val="21"/>
          <w:szCs w:val="21"/>
          <w:u w:val="single"/>
          <w:lang w:val="en-US"/>
        </w:rPr>
        <w:t xml:space="preserve"> </w:t>
      </w:r>
      <w:r>
        <w:rPr>
          <w:rFonts w:eastAsia="宋体"/>
          <w:b/>
          <w:sz w:val="21"/>
          <w:szCs w:val="21"/>
          <w:u w:val="single"/>
          <w:lang w:eastAsia="ko-KR"/>
        </w:rPr>
        <w:t>with signalling for neighbour cell skipping</w:t>
      </w:r>
    </w:p>
    <w:p w14:paraId="12A2C96E">
      <w:pPr>
        <w:overflowPunct/>
        <w:autoSpaceDE/>
        <w:autoSpaceDN/>
        <w:adjustRightInd/>
        <w:snapToGrid w:val="0"/>
        <w:spacing w:after="120"/>
        <w:rPr>
          <w:rFonts w:eastAsia="宋体"/>
          <w:sz w:val="21"/>
          <w:szCs w:val="21"/>
          <w:highlight w:val="green"/>
          <w:lang w:eastAsia="zh-CN"/>
        </w:rPr>
      </w:pPr>
      <w:r>
        <w:rPr>
          <w:rFonts w:eastAsia="宋体"/>
          <w:sz w:val="21"/>
          <w:szCs w:val="21"/>
          <w:highlight w:val="green"/>
          <w:lang w:eastAsia="zh-CN"/>
        </w:rPr>
        <w:t>Agreement:</w:t>
      </w:r>
    </w:p>
    <w:p w14:paraId="0A164F57">
      <w:pPr>
        <w:widowControl w:val="0"/>
        <w:numPr>
          <w:ilvl w:val="1"/>
          <w:numId w:val="1"/>
        </w:numPr>
        <w:overflowPunct/>
        <w:autoSpaceDE/>
        <w:autoSpaceDN/>
        <w:adjustRightInd/>
        <w:snapToGrid w:val="0"/>
        <w:spacing w:after="120"/>
        <w:jc w:val="both"/>
        <w:rPr>
          <w:rFonts w:eastAsia="宋体"/>
          <w:sz w:val="21"/>
          <w:szCs w:val="21"/>
          <w:highlight w:val="none"/>
        </w:rPr>
      </w:pPr>
      <w:r>
        <w:rPr>
          <w:rFonts w:eastAsia="宋体"/>
          <w:sz w:val="21"/>
          <w:szCs w:val="21"/>
          <w:highlight w:val="none"/>
          <w:lang w:val="en-US"/>
        </w:rPr>
        <w:t xml:space="preserve">Introduce the test case of </w:t>
      </w:r>
      <w:r>
        <w:rPr>
          <w:rFonts w:eastAsia="宋体"/>
          <w:sz w:val="21"/>
          <w:szCs w:val="21"/>
          <w:highlight w:val="none"/>
          <w:lang w:val="en-US" w:eastAsia="ko-KR"/>
        </w:rPr>
        <w:t>Event triggered reporting on SCC with deactivated SCell test under non-DRX</w:t>
      </w:r>
      <w:r>
        <w:rPr>
          <w:rFonts w:eastAsia="宋体"/>
          <w:sz w:val="21"/>
          <w:szCs w:val="21"/>
          <w:highlight w:val="none"/>
          <w:lang w:val="en-US"/>
        </w:rPr>
        <w:t xml:space="preserve"> </w:t>
      </w:r>
      <w:r>
        <w:rPr>
          <w:rFonts w:eastAsia="宋体"/>
          <w:sz w:val="21"/>
          <w:szCs w:val="21"/>
          <w:highlight w:val="none"/>
          <w:lang w:val="en-US" w:eastAsia="ko-KR"/>
        </w:rPr>
        <w:t>with signalling for neighbour cell skipping</w:t>
      </w:r>
    </w:p>
    <w:p w14:paraId="14EE6FEF">
      <w:pPr>
        <w:widowControl w:val="0"/>
        <w:numPr>
          <w:ilvl w:val="1"/>
          <w:numId w:val="1"/>
        </w:numPr>
        <w:overflowPunct/>
        <w:autoSpaceDE/>
        <w:autoSpaceDN/>
        <w:adjustRightInd/>
        <w:snapToGrid w:val="0"/>
        <w:spacing w:after="120"/>
        <w:jc w:val="both"/>
        <w:rPr>
          <w:rFonts w:eastAsia="宋体"/>
          <w:sz w:val="21"/>
          <w:szCs w:val="21"/>
          <w:highlight w:val="none"/>
        </w:rPr>
      </w:pPr>
      <w:r>
        <w:rPr>
          <w:rFonts w:eastAsia="宋体"/>
          <w:sz w:val="21"/>
          <w:szCs w:val="21"/>
          <w:highlight w:val="none"/>
          <w:lang w:val="en-US"/>
        </w:rPr>
        <w:t>For the measurement reporting type:</w:t>
      </w:r>
    </w:p>
    <w:p w14:paraId="1A48E790">
      <w:pPr>
        <w:widowControl w:val="0"/>
        <w:numPr>
          <w:ilvl w:val="2"/>
          <w:numId w:val="1"/>
        </w:numPr>
        <w:overflowPunct/>
        <w:autoSpaceDE/>
        <w:autoSpaceDN/>
        <w:adjustRightInd/>
        <w:snapToGrid w:val="0"/>
        <w:spacing w:after="120"/>
        <w:ind w:left="1860"/>
        <w:jc w:val="both"/>
        <w:rPr>
          <w:rFonts w:eastAsia="宋体"/>
          <w:sz w:val="21"/>
          <w:szCs w:val="21"/>
          <w:highlight w:val="none"/>
        </w:rPr>
      </w:pPr>
      <w:r>
        <w:rPr>
          <w:rFonts w:eastAsia="宋体"/>
          <w:sz w:val="21"/>
          <w:szCs w:val="21"/>
          <w:highlight w:val="none"/>
        </w:rPr>
        <w:t>Periodic measurement reporting</w:t>
      </w:r>
    </w:p>
    <w:p w14:paraId="04E30ABB">
      <w:pPr>
        <w:rPr>
          <w:rFonts w:eastAsia="宋体"/>
          <w:b/>
          <w:sz w:val="21"/>
          <w:szCs w:val="21"/>
          <w:u w:val="single"/>
          <w:lang w:eastAsia="ko-KR"/>
        </w:rPr>
      </w:pPr>
    </w:p>
    <w:p w14:paraId="1DF49442">
      <w:pPr>
        <w:overflowPunct/>
        <w:autoSpaceDE/>
        <w:autoSpaceDN/>
        <w:adjustRightInd/>
        <w:snapToGrid w:val="0"/>
        <w:spacing w:after="120"/>
        <w:rPr>
          <w:rFonts w:eastAsia="宋体"/>
          <w:b/>
          <w:sz w:val="21"/>
          <w:szCs w:val="21"/>
          <w:u w:val="single"/>
          <w:lang w:eastAsia="ko-KR"/>
        </w:rPr>
      </w:pPr>
      <w:r>
        <w:rPr>
          <w:rFonts w:eastAsia="宋体"/>
          <w:b/>
          <w:sz w:val="21"/>
          <w:szCs w:val="21"/>
          <w:u w:val="single"/>
          <w:lang w:eastAsia="ko-KR"/>
        </w:rPr>
        <w:t>Issue 2-</w:t>
      </w:r>
      <w:r>
        <w:rPr>
          <w:rFonts w:eastAsia="宋体"/>
          <w:b/>
          <w:sz w:val="21"/>
          <w:szCs w:val="21"/>
          <w:u w:val="single"/>
          <w:lang w:val="en-US"/>
        </w:rPr>
        <w:t>2</w:t>
      </w:r>
      <w:r>
        <w:rPr>
          <w:rFonts w:eastAsia="宋体"/>
          <w:b/>
          <w:sz w:val="21"/>
          <w:szCs w:val="21"/>
          <w:u w:val="single"/>
          <w:lang w:eastAsia="ko-KR"/>
        </w:rPr>
        <w:t xml:space="preserve">: </w:t>
      </w:r>
      <w:r>
        <w:rPr>
          <w:rFonts w:eastAsia="宋体"/>
          <w:b/>
          <w:sz w:val="21"/>
          <w:szCs w:val="21"/>
          <w:u w:val="single"/>
          <w:lang w:val="en-US"/>
        </w:rPr>
        <w:t>Test configuration for</w:t>
      </w:r>
      <w:r>
        <w:rPr>
          <w:rFonts w:eastAsia="宋体"/>
          <w:b/>
          <w:sz w:val="21"/>
          <w:szCs w:val="21"/>
          <w:u w:val="single"/>
          <w:lang w:eastAsia="ko-KR"/>
        </w:rPr>
        <w:t xml:space="preserve"> Event triggered reporting on SCC with deactivated SCell test under non-DRX</w:t>
      </w:r>
      <w:r>
        <w:rPr>
          <w:rFonts w:eastAsia="宋体"/>
          <w:b/>
          <w:sz w:val="21"/>
          <w:szCs w:val="21"/>
          <w:u w:val="single"/>
          <w:lang w:val="en-US"/>
        </w:rPr>
        <w:t xml:space="preserve"> </w:t>
      </w:r>
      <w:r>
        <w:rPr>
          <w:rFonts w:eastAsia="宋体"/>
          <w:b/>
          <w:sz w:val="21"/>
          <w:szCs w:val="21"/>
          <w:u w:val="single"/>
          <w:lang w:eastAsia="ko-KR"/>
        </w:rPr>
        <w:t>with signalling for neighbour cell skipping</w:t>
      </w:r>
    </w:p>
    <w:p w14:paraId="523C0EC8">
      <w:pPr>
        <w:overflowPunct/>
        <w:autoSpaceDE/>
        <w:autoSpaceDN/>
        <w:adjustRightInd/>
        <w:snapToGrid w:val="0"/>
        <w:spacing w:after="120"/>
        <w:rPr>
          <w:rFonts w:eastAsia="宋体"/>
          <w:sz w:val="21"/>
          <w:szCs w:val="21"/>
          <w:highlight w:val="green"/>
        </w:rPr>
      </w:pPr>
      <w:r>
        <w:rPr>
          <w:rFonts w:eastAsia="宋体"/>
          <w:sz w:val="21"/>
          <w:szCs w:val="21"/>
          <w:highlight w:val="green"/>
        </w:rPr>
        <w:t>Agreement:</w:t>
      </w:r>
    </w:p>
    <w:p w14:paraId="650FEE90">
      <w:pPr>
        <w:widowControl w:val="0"/>
        <w:numPr>
          <w:ilvl w:val="1"/>
          <w:numId w:val="1"/>
        </w:numPr>
        <w:overflowPunct/>
        <w:autoSpaceDE/>
        <w:autoSpaceDN/>
        <w:adjustRightInd/>
        <w:snapToGrid w:val="0"/>
        <w:spacing w:after="120"/>
        <w:jc w:val="both"/>
        <w:rPr>
          <w:rFonts w:eastAsia="宋体"/>
          <w:sz w:val="21"/>
          <w:szCs w:val="21"/>
          <w:highlight w:val="none"/>
        </w:rPr>
      </w:pPr>
      <w:r>
        <w:rPr>
          <w:rFonts w:eastAsia="宋体"/>
          <w:sz w:val="21"/>
          <w:szCs w:val="21"/>
          <w:highlight w:val="none"/>
        </w:rPr>
        <w:t>For the test configuration, the test in Clause A.6.6.1.8 TS38.133 can be taken as the reference, except that</w:t>
      </w:r>
      <w:r>
        <w:rPr>
          <w:rFonts w:eastAsia="宋体"/>
          <w:sz w:val="21"/>
          <w:szCs w:val="21"/>
          <w:highlight w:val="none"/>
          <w:lang w:val="en-US"/>
        </w:rPr>
        <w:t>:</w:t>
      </w:r>
    </w:p>
    <w:p w14:paraId="2F3FF756">
      <w:pPr>
        <w:widowControl w:val="0"/>
        <w:numPr>
          <w:ilvl w:val="2"/>
          <w:numId w:val="1"/>
        </w:numPr>
        <w:overflowPunct/>
        <w:autoSpaceDE/>
        <w:autoSpaceDN/>
        <w:adjustRightInd/>
        <w:snapToGrid w:val="0"/>
        <w:spacing w:after="120"/>
        <w:ind w:left="1860"/>
        <w:jc w:val="both"/>
        <w:rPr>
          <w:rFonts w:eastAsia="宋体"/>
          <w:sz w:val="21"/>
          <w:szCs w:val="21"/>
          <w:highlight w:val="none"/>
          <w:lang w:val="en-US"/>
        </w:rPr>
      </w:pPr>
      <w:r>
        <w:rPr>
          <w:rFonts w:eastAsia="宋体"/>
          <w:sz w:val="21"/>
          <w:szCs w:val="21"/>
          <w:highlight w:val="none"/>
          <w:lang w:val="en-US"/>
        </w:rPr>
        <w:t>No highSpeedMeasCA-Scell-r17 indication configured</w:t>
      </w:r>
    </w:p>
    <w:p w14:paraId="44005CBC">
      <w:pPr>
        <w:widowControl w:val="0"/>
        <w:numPr>
          <w:ilvl w:val="2"/>
          <w:numId w:val="1"/>
        </w:numPr>
        <w:overflowPunct/>
        <w:autoSpaceDE/>
        <w:autoSpaceDN/>
        <w:adjustRightInd/>
        <w:snapToGrid w:val="0"/>
        <w:spacing w:after="120"/>
        <w:ind w:left="1860"/>
        <w:jc w:val="both"/>
        <w:rPr>
          <w:rFonts w:eastAsia="宋体"/>
          <w:sz w:val="21"/>
          <w:szCs w:val="21"/>
          <w:highlight w:val="none"/>
          <w:lang w:val="en-US"/>
        </w:rPr>
      </w:pPr>
      <w:r>
        <w:rPr>
          <w:rFonts w:eastAsia="宋体"/>
          <w:sz w:val="21"/>
          <w:szCs w:val="21"/>
          <w:highlight w:val="none"/>
          <w:lang w:val="en-US"/>
        </w:rPr>
        <w:t>the DRX configuration shall be OFF</w:t>
      </w:r>
    </w:p>
    <w:p w14:paraId="5CF25E81">
      <w:pPr>
        <w:widowControl w:val="0"/>
        <w:numPr>
          <w:ilvl w:val="2"/>
          <w:numId w:val="1"/>
        </w:numPr>
        <w:overflowPunct/>
        <w:autoSpaceDE/>
        <w:autoSpaceDN/>
        <w:adjustRightInd/>
        <w:snapToGrid w:val="0"/>
        <w:spacing w:after="120"/>
        <w:ind w:left="1860"/>
        <w:jc w:val="both"/>
        <w:rPr>
          <w:rFonts w:eastAsia="宋体"/>
          <w:sz w:val="21"/>
          <w:szCs w:val="21"/>
          <w:highlight w:val="none"/>
          <w:lang w:val="en-US"/>
        </w:rPr>
      </w:pPr>
      <w:r>
        <w:rPr>
          <w:rFonts w:eastAsia="宋体"/>
          <w:sz w:val="21"/>
          <w:szCs w:val="21"/>
          <w:highlight w:val="none"/>
          <w:lang w:val="en-US"/>
        </w:rPr>
        <w:t>the Initial UL BWP configuration and Active UL BWP configuration for SCell shall be N/A</w:t>
      </w:r>
    </w:p>
    <w:p w14:paraId="59205C45">
      <w:pPr>
        <w:widowControl w:val="0"/>
        <w:numPr>
          <w:ilvl w:val="2"/>
          <w:numId w:val="1"/>
        </w:numPr>
        <w:overflowPunct/>
        <w:autoSpaceDE/>
        <w:autoSpaceDN/>
        <w:adjustRightInd/>
        <w:snapToGrid w:val="0"/>
        <w:spacing w:after="120"/>
        <w:ind w:left="1860"/>
        <w:jc w:val="both"/>
        <w:rPr>
          <w:rFonts w:eastAsia="宋体"/>
          <w:sz w:val="21"/>
          <w:szCs w:val="21"/>
          <w:highlight w:val="none"/>
          <w:lang w:val="en-US"/>
        </w:rPr>
      </w:pPr>
      <w:r>
        <w:rPr>
          <w:rFonts w:eastAsia="宋体"/>
          <w:sz w:val="21"/>
          <w:szCs w:val="21"/>
          <w:highlight w:val="none"/>
          <w:lang w:val="en-US"/>
        </w:rPr>
        <w:t>the neighbour cell measurement skipping indication shall be configured</w:t>
      </w:r>
    </w:p>
    <w:p w14:paraId="4980A200">
      <w:pPr>
        <w:widowControl w:val="0"/>
        <w:numPr>
          <w:ilvl w:val="2"/>
          <w:numId w:val="1"/>
        </w:numPr>
        <w:overflowPunct/>
        <w:autoSpaceDE/>
        <w:autoSpaceDN/>
        <w:adjustRightInd/>
        <w:snapToGrid w:val="0"/>
        <w:spacing w:after="120"/>
        <w:ind w:left="1860"/>
        <w:jc w:val="both"/>
        <w:rPr>
          <w:rFonts w:eastAsia="宋体"/>
          <w:sz w:val="21"/>
          <w:szCs w:val="21"/>
          <w:highlight w:val="none"/>
          <w:lang w:val="en-US"/>
        </w:rPr>
      </w:pPr>
      <w:r>
        <w:rPr>
          <w:rFonts w:eastAsia="宋体"/>
          <w:sz w:val="21"/>
          <w:szCs w:val="21"/>
          <w:highlight w:val="none"/>
          <w:lang w:val="en-US"/>
        </w:rPr>
        <w:t>the propagation condition shall follow R18 ATG test cases</w:t>
      </w:r>
    </w:p>
    <w:p w14:paraId="66D3B928">
      <w:pPr>
        <w:widowControl w:val="0"/>
        <w:numPr>
          <w:ilvl w:val="2"/>
          <w:numId w:val="1"/>
        </w:numPr>
        <w:overflowPunct/>
        <w:autoSpaceDE/>
        <w:autoSpaceDN/>
        <w:adjustRightInd/>
        <w:snapToGrid w:val="0"/>
        <w:spacing w:after="120"/>
        <w:ind w:left="1860"/>
        <w:jc w:val="both"/>
        <w:rPr>
          <w:rFonts w:eastAsia="宋体"/>
          <w:sz w:val="21"/>
          <w:szCs w:val="21"/>
          <w:highlight w:val="none"/>
          <w:lang w:val="en-US"/>
        </w:rPr>
      </w:pPr>
      <w:r>
        <w:rPr>
          <w:rFonts w:eastAsia="宋体"/>
          <w:sz w:val="21"/>
          <w:szCs w:val="21"/>
          <w:highlight w:val="none"/>
          <w:lang w:val="en-US"/>
        </w:rPr>
        <w:t>The T2 and test requirements shall be derived based on Table 9.2D.5.1-2 and Table 9.2D.5.2-2 and PUSCH resource configuration.</w:t>
      </w:r>
    </w:p>
    <w:p w14:paraId="63732798">
      <w:pPr>
        <w:widowControl w:val="0"/>
        <w:numPr>
          <w:ilvl w:val="2"/>
          <w:numId w:val="1"/>
        </w:numPr>
        <w:overflowPunct/>
        <w:autoSpaceDE/>
        <w:autoSpaceDN/>
        <w:adjustRightInd/>
        <w:snapToGrid w:val="0"/>
        <w:spacing w:after="120"/>
        <w:ind w:left="1860"/>
        <w:jc w:val="both"/>
        <w:rPr>
          <w:rFonts w:eastAsia="宋体"/>
          <w:sz w:val="21"/>
          <w:szCs w:val="21"/>
          <w:highlight w:val="none"/>
          <w:lang w:val="en-US"/>
        </w:rPr>
      </w:pPr>
      <w:r>
        <w:rPr>
          <w:rFonts w:eastAsia="宋体"/>
          <w:sz w:val="21"/>
          <w:szCs w:val="21"/>
          <w:highlight w:val="none"/>
          <w:lang w:val="en-US"/>
        </w:rPr>
        <w:t>the measCycleSCell shall be configured as 160ms</w:t>
      </w:r>
    </w:p>
    <w:p w14:paraId="53C2D9EB">
      <w:pPr>
        <w:widowControl w:val="0"/>
        <w:numPr>
          <w:ilvl w:val="2"/>
          <w:numId w:val="1"/>
        </w:numPr>
        <w:overflowPunct/>
        <w:autoSpaceDE/>
        <w:autoSpaceDN/>
        <w:adjustRightInd/>
        <w:snapToGrid w:val="0"/>
        <w:spacing w:after="120"/>
        <w:ind w:left="1860"/>
        <w:jc w:val="both"/>
        <w:rPr>
          <w:rFonts w:eastAsia="宋体"/>
          <w:sz w:val="21"/>
          <w:szCs w:val="21"/>
          <w:highlight w:val="none"/>
          <w:lang w:val="en-US"/>
        </w:rPr>
      </w:pPr>
      <w:r>
        <w:rPr>
          <w:rFonts w:eastAsia="宋体"/>
          <w:sz w:val="21"/>
          <w:szCs w:val="21"/>
          <w:highlight w:val="none"/>
          <w:lang w:val="en-US"/>
        </w:rPr>
        <w:t>measurement report configuration based on Issue 2-1</w:t>
      </w:r>
    </w:p>
    <w:p w14:paraId="1BA2CC0F">
      <w:pPr>
        <w:snapToGrid w:val="0"/>
        <w:spacing w:after="120"/>
        <w:rPr>
          <w:b/>
          <w:sz w:val="21"/>
          <w:szCs w:val="21"/>
          <w:u w:val="single"/>
          <w:lang w:val="en-US" w:eastAsia="zh-CN"/>
        </w:rPr>
      </w:pPr>
    </w:p>
    <w:p w14:paraId="394BCE91">
      <w:pPr>
        <w:pStyle w:val="2"/>
        <w:rPr>
          <w:rFonts w:hint="default" w:eastAsia="宋体"/>
          <w:color w:val="auto"/>
          <w:lang w:val="en-US" w:eastAsia="zh-CN"/>
        </w:rPr>
      </w:pPr>
      <w:r>
        <w:rPr>
          <w:color w:val="auto"/>
        </w:rPr>
        <w:t xml:space="preserve">&lt;Topic </w:t>
      </w:r>
      <w:r>
        <w:rPr>
          <w:rFonts w:hint="eastAsia" w:eastAsia="宋体"/>
          <w:color w:val="auto"/>
          <w:lang w:val="en-US" w:eastAsia="zh-CN"/>
        </w:rPr>
        <w:t>2</w:t>
      </w:r>
      <w:r>
        <w:rPr>
          <w:color w:val="auto"/>
        </w:rPr>
        <w:t>&gt;</w:t>
      </w:r>
      <w:r>
        <w:rPr>
          <w:rFonts w:hint="eastAsia" w:eastAsia="宋体"/>
          <w:color w:val="auto"/>
          <w:lang w:val="en-US" w:eastAsia="zh-CN"/>
        </w:rPr>
        <w:t xml:space="preserve"> RRM core requirement maintenance</w:t>
      </w:r>
    </w:p>
    <w:p w14:paraId="25815D6D">
      <w:pPr>
        <w:snapToGrid w:val="0"/>
        <w:spacing w:after="120"/>
        <w:rPr>
          <w:rFonts w:eastAsia="Malgun Gothic"/>
          <w:b/>
          <w:sz w:val="21"/>
          <w:szCs w:val="21"/>
          <w:u w:val="single"/>
          <w:lang w:val="en-US"/>
        </w:rPr>
      </w:pPr>
      <w:r>
        <w:rPr>
          <w:rFonts w:eastAsia="Malgun Gothic"/>
          <w:b/>
          <w:sz w:val="21"/>
          <w:szCs w:val="21"/>
          <w:u w:val="single"/>
          <w:lang w:eastAsia="ko-KR"/>
        </w:rPr>
        <w:t xml:space="preserve">Issue 1-1: </w:t>
      </w:r>
      <w:r>
        <w:rPr>
          <w:rFonts w:eastAsia="Malgun Gothic"/>
          <w:b/>
          <w:sz w:val="21"/>
          <w:szCs w:val="21"/>
          <w:u w:val="single"/>
          <w:lang w:val="en-US"/>
        </w:rPr>
        <w:t xml:space="preserve">Further refinement on </w:t>
      </w:r>
      <w:r>
        <w:rPr>
          <w:rFonts w:eastAsia="Malgun Gothic"/>
          <w:b/>
          <w:sz w:val="21"/>
          <w:szCs w:val="21"/>
          <w:u w:val="single"/>
        </w:rPr>
        <w:t>K</w:t>
      </w:r>
      <w:r>
        <w:rPr>
          <w:rFonts w:eastAsia="Malgun Gothic"/>
          <w:b/>
          <w:sz w:val="21"/>
          <w:szCs w:val="21"/>
          <w:u w:val="single"/>
          <w:vertAlign w:val="subscript"/>
        </w:rPr>
        <w:t>layer1_measurement</w:t>
      </w:r>
    </w:p>
    <w:p w14:paraId="6C1ADB91">
      <w:pPr>
        <w:overflowPunct/>
        <w:autoSpaceDE/>
        <w:autoSpaceDN/>
        <w:adjustRightInd/>
        <w:snapToGrid w:val="0"/>
        <w:spacing w:after="120"/>
        <w:rPr>
          <w:rFonts w:eastAsia="宋体"/>
          <w:sz w:val="21"/>
          <w:szCs w:val="21"/>
          <w:highlight w:val="green"/>
          <w:lang w:eastAsia="zh-CN"/>
        </w:rPr>
      </w:pPr>
      <w:r>
        <w:rPr>
          <w:rFonts w:eastAsia="宋体"/>
          <w:sz w:val="21"/>
          <w:szCs w:val="21"/>
          <w:highlight w:val="green"/>
          <w:lang w:eastAsia="zh-CN"/>
        </w:rPr>
        <w:t>Agreement:</w:t>
      </w:r>
    </w:p>
    <w:p w14:paraId="3D791964">
      <w:pPr>
        <w:widowControl w:val="0"/>
        <w:numPr>
          <w:ilvl w:val="1"/>
          <w:numId w:val="1"/>
        </w:numPr>
        <w:overflowPunct/>
        <w:autoSpaceDE/>
        <w:autoSpaceDN/>
        <w:adjustRightInd/>
        <w:snapToGrid w:val="0"/>
        <w:spacing w:after="120"/>
        <w:jc w:val="both"/>
        <w:rPr>
          <w:rFonts w:eastAsia="宋体"/>
          <w:b w:val="0"/>
          <w:bCs w:val="0"/>
          <w:sz w:val="21"/>
          <w:szCs w:val="21"/>
          <w:highlight w:val="none"/>
          <w:lang w:val="en-US" w:eastAsia="zh-CN"/>
        </w:rPr>
      </w:pPr>
      <w:r>
        <w:rPr>
          <w:rFonts w:eastAsia="宋体"/>
          <w:sz w:val="21"/>
          <w:szCs w:val="21"/>
          <w:highlight w:val="none"/>
          <w:lang w:val="en-US" w:eastAsia="zh-CN"/>
        </w:rPr>
        <w:t>Revise the K</w:t>
      </w:r>
      <w:r>
        <w:rPr>
          <w:rFonts w:eastAsia="宋体"/>
          <w:sz w:val="21"/>
          <w:szCs w:val="21"/>
          <w:highlight w:val="none"/>
          <w:vertAlign w:val="subscript"/>
          <w:lang w:eastAsia="zh-CN"/>
        </w:rPr>
        <w:t>layer1_measurement</w:t>
      </w:r>
      <w:r>
        <w:rPr>
          <w:rFonts w:eastAsia="宋体"/>
          <w:sz w:val="21"/>
          <w:szCs w:val="21"/>
          <w:highlight w:val="none"/>
          <w:lang w:val="en-US" w:eastAsia="zh-CN"/>
        </w:rPr>
        <w:t xml:space="preserve"> as following to reflect th</w:t>
      </w:r>
      <w:r>
        <w:rPr>
          <w:rFonts w:eastAsia="宋体"/>
          <w:b w:val="0"/>
          <w:bCs w:val="0"/>
          <w:sz w:val="21"/>
          <w:szCs w:val="21"/>
          <w:highlight w:val="none"/>
          <w:lang w:val="en-US" w:eastAsia="zh-CN"/>
        </w:rPr>
        <w:t xml:space="preserve">e impact from one common Rx beam. </w:t>
      </w:r>
    </w:p>
    <w:p w14:paraId="69CFDECD">
      <w:pPr>
        <w:widowControl w:val="0"/>
        <w:numPr>
          <w:ilvl w:val="2"/>
          <w:numId w:val="1"/>
        </w:numPr>
        <w:overflowPunct/>
        <w:autoSpaceDE/>
        <w:autoSpaceDN/>
        <w:adjustRightInd/>
        <w:snapToGrid w:val="0"/>
        <w:spacing w:after="120"/>
        <w:ind w:left="1860"/>
        <w:jc w:val="both"/>
        <w:rPr>
          <w:rFonts w:eastAsia="宋体"/>
          <w:b w:val="0"/>
          <w:bCs w:val="0"/>
          <w:sz w:val="21"/>
          <w:szCs w:val="21"/>
          <w:highlight w:val="none"/>
          <w:lang w:eastAsia="zh-CN"/>
        </w:rPr>
      </w:pPr>
      <w:r>
        <w:rPr>
          <w:rFonts w:eastAsia="宋体"/>
          <w:b w:val="0"/>
          <w:bCs w:val="0"/>
          <w:sz w:val="21"/>
          <w:szCs w:val="21"/>
          <w:highlight w:val="none"/>
          <w:lang w:eastAsia="zh-CN"/>
        </w:rPr>
        <w:t>K</w:t>
      </w:r>
      <w:r>
        <w:rPr>
          <w:rFonts w:eastAsia="宋体"/>
          <w:b w:val="0"/>
          <w:bCs w:val="0"/>
          <w:sz w:val="21"/>
          <w:szCs w:val="21"/>
          <w:highlight w:val="none"/>
          <w:vertAlign w:val="subscript"/>
          <w:lang w:eastAsia="zh-CN"/>
        </w:rPr>
        <w:t>layer1_measurement</w:t>
      </w:r>
      <w:r>
        <w:rPr>
          <w:rFonts w:eastAsia="宋体"/>
          <w:b w:val="0"/>
          <w:bCs w:val="0"/>
          <w:sz w:val="21"/>
          <w:szCs w:val="21"/>
          <w:highlight w:val="none"/>
          <w:lang w:eastAsia="zh-CN"/>
        </w:rPr>
        <w:t xml:space="preserve">=1, </w:t>
      </w:r>
    </w:p>
    <w:p w14:paraId="66A357A1">
      <w:pPr>
        <w:widowControl w:val="0"/>
        <w:numPr>
          <w:ilvl w:val="3"/>
          <w:numId w:val="1"/>
        </w:numPr>
        <w:overflowPunct/>
        <w:autoSpaceDE/>
        <w:autoSpaceDN/>
        <w:adjustRightInd/>
        <w:snapToGrid w:val="0"/>
        <w:spacing w:after="120"/>
        <w:ind w:left="2280"/>
        <w:jc w:val="both"/>
        <w:rPr>
          <w:rFonts w:eastAsia="宋体"/>
          <w:sz w:val="21"/>
          <w:szCs w:val="21"/>
          <w:highlight w:val="none"/>
          <w:lang w:eastAsia="zh-CN"/>
        </w:rPr>
      </w:pPr>
      <w:r>
        <w:rPr>
          <w:rFonts w:eastAsia="宋体"/>
          <w:sz w:val="21"/>
          <w:szCs w:val="21"/>
          <w:highlight w:val="none"/>
          <w:lang w:val="en-US" w:eastAsia="zh-CN"/>
        </w:rPr>
        <w:t>If</w:t>
      </w:r>
      <w:r>
        <w:rPr>
          <w:rFonts w:eastAsia="宋体"/>
          <w:sz w:val="21"/>
          <w:szCs w:val="21"/>
          <w:highlight w:val="none"/>
          <w:lang w:eastAsia="zh-CN"/>
        </w:rPr>
        <w:t xml:space="preserve"> inter-band carrier aggregation within FR1 is configured</w:t>
      </w:r>
      <w:r>
        <w:rPr>
          <w:rFonts w:eastAsia="宋体"/>
          <w:sz w:val="21"/>
          <w:szCs w:val="21"/>
          <w:highlight w:val="none"/>
          <w:lang w:val="en-US" w:eastAsia="zh-CN"/>
        </w:rPr>
        <w:t xml:space="preserve">, and UE not capable </w:t>
      </w:r>
      <w:bookmarkStart w:id="0" w:name="_GoBack"/>
      <w:bookmarkEnd w:id="0"/>
      <w:r>
        <w:rPr>
          <w:rFonts w:eastAsia="宋体"/>
          <w:sz w:val="21"/>
          <w:szCs w:val="21"/>
          <w:highlight w:val="none"/>
          <w:lang w:val="en-US" w:eastAsia="zh-CN"/>
        </w:rPr>
        <w:t>of antennaArrayType-r18 on the other serving carrier, or UE capable of antennaArrayType-r18 on the other serving carrier and UE support two simultaneous separate Rx beams</w:t>
      </w:r>
    </w:p>
    <w:p w14:paraId="2365B0AE">
      <w:pPr>
        <w:widowControl w:val="0"/>
        <w:numPr>
          <w:ilvl w:val="4"/>
          <w:numId w:val="1"/>
        </w:numPr>
        <w:overflowPunct/>
        <w:autoSpaceDE/>
        <w:autoSpaceDN/>
        <w:adjustRightInd/>
        <w:snapToGrid w:val="0"/>
        <w:spacing w:after="120"/>
        <w:ind w:left="2700"/>
        <w:jc w:val="both"/>
        <w:rPr>
          <w:rFonts w:eastAsia="宋体"/>
          <w:sz w:val="21"/>
          <w:szCs w:val="21"/>
          <w:highlight w:val="none"/>
          <w:lang w:val="en-US" w:eastAsia="zh-CN"/>
        </w:rPr>
      </w:pPr>
      <w:r>
        <w:rPr>
          <w:rFonts w:eastAsia="宋体"/>
          <w:sz w:val="21"/>
          <w:szCs w:val="21"/>
          <w:highlight w:val="none"/>
          <w:lang w:eastAsia="zh-CN"/>
        </w:rPr>
        <w:t xml:space="preserve">if all of the reference signals configured for RLM, BFD, CBD or L1-RSRP for beam reporting </w:t>
      </w:r>
      <w:r>
        <w:rPr>
          <w:rFonts w:eastAsia="宋体"/>
          <w:sz w:val="21"/>
          <w:szCs w:val="21"/>
          <w:highlight w:val="none"/>
          <w:lang w:val="en-US" w:eastAsia="zh-CN"/>
        </w:rPr>
        <w:t>on one serving cell</w:t>
      </w:r>
      <w:r>
        <w:rPr>
          <w:rFonts w:eastAsia="宋体"/>
          <w:sz w:val="21"/>
          <w:szCs w:val="21"/>
          <w:highlight w:val="none"/>
          <w:lang w:eastAsia="zh-CN"/>
        </w:rPr>
        <w:t xml:space="preserve"> outside measurement gap are not fully overlapped by intra-frequency SMTC occasions</w:t>
      </w:r>
      <w:r>
        <w:rPr>
          <w:rFonts w:eastAsia="宋体"/>
          <w:sz w:val="21"/>
          <w:szCs w:val="21"/>
          <w:highlight w:val="none"/>
          <w:lang w:val="en-US" w:eastAsia="zh-CN"/>
        </w:rPr>
        <w:t xml:space="preserve"> of the same serving cell, or</w:t>
      </w:r>
    </w:p>
    <w:p w14:paraId="0F37B9FD">
      <w:pPr>
        <w:widowControl w:val="0"/>
        <w:numPr>
          <w:ilvl w:val="4"/>
          <w:numId w:val="1"/>
        </w:numPr>
        <w:overflowPunct/>
        <w:autoSpaceDE/>
        <w:autoSpaceDN/>
        <w:adjustRightInd/>
        <w:snapToGrid w:val="0"/>
        <w:spacing w:after="120"/>
        <w:ind w:left="2700"/>
        <w:jc w:val="both"/>
        <w:rPr>
          <w:rFonts w:eastAsia="宋体"/>
          <w:sz w:val="21"/>
          <w:szCs w:val="21"/>
          <w:highlight w:val="none"/>
          <w:lang w:val="en-US" w:eastAsia="zh-CN"/>
        </w:rPr>
      </w:pPr>
      <w:r>
        <w:rPr>
          <w:rFonts w:eastAsia="宋体"/>
          <w:sz w:val="21"/>
          <w:szCs w:val="21"/>
          <w:highlight w:val="none"/>
          <w:lang w:val="en-US" w:eastAsia="zh-CN"/>
        </w:rPr>
        <w:t>if the measured carrier is the SCC with servingcellMO configured, and the network indication neighSCellMeasSkipping is set to ‘enable’ to UE</w:t>
      </w:r>
    </w:p>
    <w:p w14:paraId="67E6C9EB">
      <w:pPr>
        <w:widowControl w:val="0"/>
        <w:numPr>
          <w:ilvl w:val="3"/>
          <w:numId w:val="1"/>
        </w:numPr>
        <w:overflowPunct/>
        <w:autoSpaceDE/>
        <w:autoSpaceDN/>
        <w:adjustRightInd/>
        <w:snapToGrid w:val="0"/>
        <w:spacing w:after="120"/>
        <w:ind w:left="2280"/>
        <w:jc w:val="both"/>
        <w:rPr>
          <w:rFonts w:eastAsia="宋体"/>
          <w:sz w:val="21"/>
          <w:szCs w:val="21"/>
          <w:highlight w:val="none"/>
          <w:lang w:val="en-US" w:eastAsia="zh-CN"/>
        </w:rPr>
      </w:pPr>
      <w:r>
        <w:rPr>
          <w:rFonts w:eastAsia="宋体"/>
          <w:sz w:val="21"/>
          <w:szCs w:val="21"/>
          <w:highlight w:val="none"/>
          <w:lang w:val="en-US" w:eastAsia="zh-CN"/>
        </w:rPr>
        <w:t>Otherwise,</w:t>
      </w:r>
    </w:p>
    <w:p w14:paraId="1BDD2041">
      <w:pPr>
        <w:widowControl w:val="0"/>
        <w:numPr>
          <w:ilvl w:val="4"/>
          <w:numId w:val="1"/>
        </w:numPr>
        <w:overflowPunct/>
        <w:autoSpaceDE/>
        <w:autoSpaceDN/>
        <w:adjustRightInd/>
        <w:snapToGrid w:val="0"/>
        <w:spacing w:after="120"/>
        <w:ind w:left="2700"/>
        <w:jc w:val="both"/>
        <w:rPr>
          <w:rFonts w:eastAsia="宋体"/>
          <w:sz w:val="21"/>
          <w:szCs w:val="21"/>
          <w:highlight w:val="none"/>
          <w:lang w:val="en-US" w:eastAsia="zh-CN"/>
        </w:rPr>
      </w:pPr>
      <w:r>
        <w:rPr>
          <w:rFonts w:eastAsia="宋体"/>
          <w:sz w:val="21"/>
          <w:szCs w:val="21"/>
          <w:highlight w:val="none"/>
          <w:lang w:val="en-US" w:eastAsia="zh-CN"/>
        </w:rPr>
        <w:t>If the measured carrier is the SCC with servingcellMO configured, and the network indication neighSCellMeasSkipping is set to ‘enable’ to UE</w:t>
      </w:r>
    </w:p>
    <w:p w14:paraId="4C2C0B85">
      <w:pPr>
        <w:widowControl w:val="0"/>
        <w:numPr>
          <w:ilvl w:val="5"/>
          <w:numId w:val="1"/>
        </w:numPr>
        <w:overflowPunct/>
        <w:autoSpaceDE/>
        <w:autoSpaceDN/>
        <w:adjustRightInd/>
        <w:snapToGrid w:val="0"/>
        <w:spacing w:after="120"/>
        <w:ind w:left="3120"/>
        <w:jc w:val="both"/>
        <w:rPr>
          <w:rFonts w:hint="eastAsia" w:eastAsia="宋体"/>
          <w:sz w:val="21"/>
          <w:szCs w:val="21"/>
          <w:highlight w:val="none"/>
          <w:lang w:val="en-US" w:eastAsia="zh-CN"/>
        </w:rPr>
      </w:pPr>
      <w:r>
        <w:rPr>
          <w:rFonts w:hint="eastAsia" w:eastAsia="宋体"/>
          <w:sz w:val="21"/>
          <w:szCs w:val="21"/>
          <w:highlight w:val="none"/>
          <w:lang w:val="en-US" w:eastAsia="zh-CN"/>
        </w:rPr>
        <w:t xml:space="preserve">  If SMTC occasion for PCC and SCC are not overlapped in the time domain, or</w:t>
      </w:r>
    </w:p>
    <w:p w14:paraId="14C76A65">
      <w:pPr>
        <w:widowControl w:val="0"/>
        <w:numPr>
          <w:ilvl w:val="5"/>
          <w:numId w:val="1"/>
        </w:numPr>
        <w:overflowPunct/>
        <w:autoSpaceDE/>
        <w:autoSpaceDN/>
        <w:adjustRightInd/>
        <w:snapToGrid w:val="0"/>
        <w:spacing w:after="120"/>
        <w:ind w:left="3120"/>
        <w:jc w:val="both"/>
        <w:rPr>
          <w:rFonts w:eastAsia="宋体"/>
          <w:sz w:val="21"/>
          <w:szCs w:val="21"/>
          <w:highlight w:val="none"/>
          <w:lang w:val="en-US" w:eastAsia="zh-CN"/>
        </w:rPr>
      </w:pPr>
      <w:r>
        <w:rPr>
          <w:rFonts w:hint="eastAsia" w:eastAsia="宋体"/>
          <w:sz w:val="21"/>
          <w:szCs w:val="21"/>
          <w:highlight w:val="none"/>
          <w:lang w:val="en-US" w:eastAsia="zh-CN"/>
        </w:rPr>
        <w:t>If SMTC occasion for PCC and SCC are overlapped in the time domain, and all of the reference signals configured for RLM, BFD, CBD or L1-RSRP for beam reporting on any serving frequency outside measurement gap are not fully overlapped by overlapped SMTC occasions of serving cells</w:t>
      </w:r>
    </w:p>
    <w:p w14:paraId="48F6489F">
      <w:pPr>
        <w:widowControl w:val="0"/>
        <w:numPr>
          <w:ilvl w:val="4"/>
          <w:numId w:val="1"/>
        </w:numPr>
        <w:overflowPunct/>
        <w:autoSpaceDE/>
        <w:autoSpaceDN/>
        <w:adjustRightInd/>
        <w:snapToGrid w:val="0"/>
        <w:spacing w:after="120"/>
        <w:ind w:left="2700"/>
        <w:jc w:val="both"/>
        <w:rPr>
          <w:rFonts w:eastAsia="宋体"/>
          <w:sz w:val="21"/>
          <w:szCs w:val="21"/>
          <w:highlight w:val="none"/>
          <w:lang w:val="en-US" w:eastAsia="zh-CN"/>
        </w:rPr>
      </w:pPr>
      <w:r>
        <w:rPr>
          <w:rFonts w:eastAsia="宋体"/>
          <w:sz w:val="21"/>
          <w:szCs w:val="21"/>
          <w:highlight w:val="none"/>
          <w:lang w:val="en-US" w:eastAsia="zh-CN"/>
        </w:rPr>
        <w:t>Otherwise</w:t>
      </w:r>
    </w:p>
    <w:p w14:paraId="2B4CD5D4">
      <w:pPr>
        <w:widowControl w:val="0"/>
        <w:numPr>
          <w:ilvl w:val="5"/>
          <w:numId w:val="1"/>
        </w:numPr>
        <w:overflowPunct/>
        <w:autoSpaceDE/>
        <w:autoSpaceDN/>
        <w:adjustRightInd/>
        <w:snapToGrid w:val="0"/>
        <w:spacing w:after="120"/>
        <w:ind w:left="3120"/>
        <w:jc w:val="both"/>
        <w:rPr>
          <w:rFonts w:eastAsia="宋体"/>
          <w:sz w:val="21"/>
          <w:szCs w:val="21"/>
          <w:highlight w:val="none"/>
          <w:lang w:eastAsia="zh-CN"/>
        </w:rPr>
      </w:pPr>
      <w:r>
        <w:rPr>
          <w:rFonts w:eastAsia="宋体"/>
          <w:sz w:val="21"/>
          <w:szCs w:val="21"/>
          <w:highlight w:val="none"/>
          <w:lang w:eastAsia="zh-CN"/>
        </w:rPr>
        <w:t xml:space="preserve">if all of the reference signals configured for RLM, BFD, CBD or L1-RSRP for beam reporting </w:t>
      </w:r>
      <w:r>
        <w:rPr>
          <w:rFonts w:eastAsia="宋体"/>
          <w:sz w:val="21"/>
          <w:szCs w:val="21"/>
          <w:highlight w:val="none"/>
          <w:lang w:val="en-US" w:eastAsia="zh-CN"/>
        </w:rPr>
        <w:t xml:space="preserve">on any serving frequency </w:t>
      </w:r>
      <w:r>
        <w:rPr>
          <w:rFonts w:eastAsia="宋体"/>
          <w:sz w:val="21"/>
          <w:szCs w:val="21"/>
          <w:highlight w:val="none"/>
          <w:lang w:eastAsia="zh-CN"/>
        </w:rPr>
        <w:t>outside measurement gap are not fully overlapped by intra-frequency SMTC occasions</w:t>
      </w:r>
    </w:p>
    <w:p w14:paraId="3DB3E63B">
      <w:pPr>
        <w:widowControl w:val="0"/>
        <w:numPr>
          <w:ilvl w:val="2"/>
          <w:numId w:val="1"/>
        </w:numPr>
        <w:overflowPunct/>
        <w:autoSpaceDE/>
        <w:autoSpaceDN/>
        <w:adjustRightInd/>
        <w:snapToGrid w:val="0"/>
        <w:spacing w:after="120"/>
        <w:ind w:left="1860"/>
        <w:jc w:val="both"/>
        <w:rPr>
          <w:rFonts w:eastAsia="宋体"/>
          <w:sz w:val="21"/>
          <w:szCs w:val="21"/>
          <w:highlight w:val="none"/>
          <w:lang w:eastAsia="zh-CN"/>
        </w:rPr>
      </w:pPr>
      <w:r>
        <w:rPr>
          <w:rFonts w:eastAsia="宋体"/>
          <w:sz w:val="21"/>
          <w:szCs w:val="21"/>
          <w:highlight w:val="none"/>
          <w:lang w:eastAsia="zh-CN"/>
        </w:rPr>
        <w:t>K</w:t>
      </w:r>
      <w:r>
        <w:rPr>
          <w:rFonts w:eastAsia="宋体"/>
          <w:sz w:val="21"/>
          <w:szCs w:val="21"/>
          <w:highlight w:val="none"/>
          <w:vertAlign w:val="subscript"/>
          <w:lang w:eastAsia="zh-CN"/>
        </w:rPr>
        <w:t>layer1_measurement</w:t>
      </w:r>
      <w:r>
        <w:rPr>
          <w:rFonts w:eastAsia="宋体"/>
          <w:sz w:val="21"/>
          <w:szCs w:val="21"/>
          <w:highlight w:val="none"/>
          <w:lang w:eastAsia="zh-CN"/>
        </w:rPr>
        <w:t>=1.5, otherwise.</w:t>
      </w:r>
    </w:p>
    <w:p w14:paraId="776A9F28">
      <w:pPr>
        <w:snapToGrid w:val="0"/>
        <w:spacing w:after="120"/>
        <w:rPr>
          <w:b/>
          <w:sz w:val="21"/>
          <w:szCs w:val="21"/>
          <w:u w:val="single"/>
          <w:lang w:val="en-US" w:eastAsia="zh-CN"/>
        </w:rPr>
      </w:pPr>
    </w:p>
    <w:p w14:paraId="0560A838">
      <w:pPr>
        <w:snapToGrid w:val="0"/>
        <w:spacing w:after="120"/>
        <w:rPr>
          <w:rFonts w:eastAsia="Malgun Gothic"/>
          <w:b/>
          <w:sz w:val="21"/>
          <w:szCs w:val="21"/>
          <w:u w:val="single"/>
          <w:lang w:val="en-US"/>
        </w:rPr>
      </w:pPr>
      <w:r>
        <w:rPr>
          <w:rFonts w:eastAsia="Malgun Gothic"/>
          <w:b/>
          <w:sz w:val="21"/>
          <w:szCs w:val="21"/>
          <w:u w:val="single"/>
          <w:lang w:eastAsia="ko-KR"/>
        </w:rPr>
        <w:t>Issue 1-</w:t>
      </w:r>
      <w:r>
        <w:rPr>
          <w:rFonts w:eastAsia="Malgun Gothic"/>
          <w:b/>
          <w:sz w:val="21"/>
          <w:szCs w:val="21"/>
          <w:u w:val="single"/>
          <w:lang w:val="en-US"/>
        </w:rPr>
        <w:t>2</w:t>
      </w:r>
      <w:r>
        <w:rPr>
          <w:rFonts w:eastAsia="Malgun Gothic"/>
          <w:b/>
          <w:sz w:val="21"/>
          <w:szCs w:val="21"/>
          <w:u w:val="single"/>
          <w:lang w:eastAsia="ko-KR"/>
        </w:rPr>
        <w:t xml:space="preserve">: </w:t>
      </w:r>
      <w:r>
        <w:rPr>
          <w:rFonts w:eastAsia="Malgun Gothic"/>
          <w:b/>
          <w:sz w:val="21"/>
          <w:szCs w:val="21"/>
          <w:u w:val="single"/>
          <w:lang w:val="en-US"/>
        </w:rPr>
        <w:t>Further refinement on N1</w:t>
      </w:r>
    </w:p>
    <w:p w14:paraId="6EC79FC6">
      <w:pPr>
        <w:overflowPunct/>
        <w:autoSpaceDE/>
        <w:autoSpaceDN/>
        <w:adjustRightInd/>
        <w:snapToGrid w:val="0"/>
        <w:spacing w:after="120"/>
        <w:rPr>
          <w:rFonts w:eastAsia="宋体"/>
          <w:sz w:val="21"/>
          <w:szCs w:val="21"/>
          <w:highlight w:val="green"/>
          <w:lang w:eastAsia="zh-CN"/>
        </w:rPr>
      </w:pPr>
      <w:r>
        <w:rPr>
          <w:rFonts w:eastAsia="宋体"/>
          <w:sz w:val="21"/>
          <w:szCs w:val="21"/>
          <w:highlight w:val="green"/>
          <w:lang w:eastAsia="zh-CN"/>
        </w:rPr>
        <w:t>Agreement:</w:t>
      </w:r>
    </w:p>
    <w:p w14:paraId="6CA601D6">
      <w:pPr>
        <w:widowControl w:val="0"/>
        <w:numPr>
          <w:ilvl w:val="0"/>
          <w:numId w:val="0"/>
        </w:numPr>
        <w:overflowPunct/>
        <w:autoSpaceDE/>
        <w:autoSpaceDN/>
        <w:adjustRightInd/>
        <w:snapToGrid w:val="0"/>
        <w:spacing w:after="120"/>
        <w:jc w:val="both"/>
        <w:rPr>
          <w:rFonts w:eastAsia="宋体"/>
          <w:sz w:val="21"/>
          <w:szCs w:val="21"/>
          <w:lang w:val="en-US" w:eastAsia="zh-CN"/>
        </w:rPr>
      </w:pPr>
      <w:r>
        <w:rPr>
          <w:rFonts w:hint="eastAsia" w:eastAsia="宋体"/>
          <w:sz w:val="21"/>
          <w:szCs w:val="21"/>
          <w:lang w:val="en-US" w:eastAsia="zh-CN"/>
        </w:rPr>
        <w:t xml:space="preserve">For ATG UE capable of antennaArrayType-r18: For the SCC measurement, N1=1 when the network indication neighSCellMeasSkipping is set to ‘enable’ to UE and inter-band carrier aggregation within FR1 is configured and UE not </w:t>
      </w:r>
      <w:r>
        <w:rPr>
          <w:rFonts w:hint="eastAsia" w:eastAsia="宋体"/>
          <w:color w:val="auto"/>
          <w:sz w:val="21"/>
          <w:szCs w:val="21"/>
          <w:highlight w:val="none"/>
          <w:u w:val="none"/>
          <w:lang w:val="en-US" w:eastAsia="zh-CN"/>
        </w:rPr>
        <w:t>capable of antennaArrayType-r18 on the other serving carrier or UE support two simultaneous separate Rx beams, or when the network indication neighSCellMeasSkipping is set to ‘enable’ to UE and SMTC occasion for PCC and SCC are not overlapped in the time domain and intra-band carrier aggregation within FR1 is configured or inter-band carrier aggregation within FR1 is configured and UE support one common Rx beam. For other cases, N1 = 3 when network assistance information on ATG cells reference locations is provided, N1 = 4 when network assistance information on ATG cells reference locations is not provided.</w:t>
      </w:r>
    </w:p>
    <w:p w14:paraId="6C35201C">
      <w:pPr>
        <w:snapToGrid w:val="0"/>
        <w:spacing w:after="120"/>
        <w:rPr>
          <w:b/>
          <w:sz w:val="21"/>
          <w:szCs w:val="21"/>
          <w:u w:val="single"/>
          <w:lang w:val="en-US" w:eastAsia="zh-CN"/>
        </w:rPr>
      </w:pPr>
    </w:p>
    <w:p w14:paraId="41598315">
      <w:pPr>
        <w:snapToGrid w:val="0"/>
        <w:spacing w:after="120"/>
        <w:rPr>
          <w:b/>
          <w:sz w:val="21"/>
          <w:szCs w:val="21"/>
          <w:u w:val="single"/>
          <w:lang w:val="en-US" w:eastAsia="zh-CN"/>
        </w:rPr>
      </w:pPr>
    </w:p>
    <w:p w14:paraId="254F9F50">
      <w:pPr>
        <w:snapToGrid w:val="0"/>
        <w:spacing w:after="120"/>
        <w:rPr>
          <w:rFonts w:hint="eastAsia"/>
          <w:b/>
          <w:sz w:val="21"/>
          <w:szCs w:val="21"/>
          <w:u w:val="single"/>
          <w:lang w:val="en-US" w:eastAsia="zh-CN"/>
        </w:rPr>
      </w:pPr>
      <w:r>
        <w:rPr>
          <w:rFonts w:hint="eastAsia"/>
          <w:b/>
          <w:sz w:val="21"/>
          <w:szCs w:val="21"/>
          <w:u w:val="single"/>
          <w:lang w:val="en-US" w:eastAsia="zh-CN"/>
        </w:rPr>
        <w:t>CR work split</w:t>
      </w: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207"/>
        <w:gridCol w:w="6552"/>
        <w:gridCol w:w="2924"/>
      </w:tblGrid>
      <w:tr w14:paraId="3FDBD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3BB6081E">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Test number</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41A754B2">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Title</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642A299A">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Company</w:t>
            </w:r>
          </w:p>
        </w:tc>
      </w:tr>
      <w:tr w14:paraId="4293E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450A0E42">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1-1</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140CED65">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A.19.4.6</w:t>
            </w:r>
          </w:p>
          <w:p w14:paraId="1413056B">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A.19.4.6.1</w:t>
            </w:r>
          </w:p>
          <w:p w14:paraId="27CD2141">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Interruption requirement at SRS antenna port switching with 1 SRS symbol in a slot</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284D1A03">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宋体" w:cs="Times New Roman"/>
                <w:i w:val="0"/>
                <w:iCs w:val="0"/>
                <w:caps w:val="0"/>
                <w:color w:val="000000"/>
                <w:spacing w:val="0"/>
                <w:kern w:val="0"/>
                <w:sz w:val="20"/>
                <w:szCs w:val="20"/>
                <w:lang w:val="en-US" w:eastAsia="zh-CN" w:bidi="ar"/>
              </w:rPr>
              <w:t>Huawei</w:t>
            </w:r>
          </w:p>
        </w:tc>
      </w:tr>
      <w:tr w14:paraId="459BC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61DFBD74">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1-2</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7C310D81">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A.19.4.6.2</w:t>
            </w:r>
          </w:p>
          <w:p w14:paraId="58150A33">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Interruption requirement at SRS antenna port switching with more than 1 SRS symbol in a slot</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3279188C">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宋体" w:cs="Times New Roman"/>
                <w:i w:val="0"/>
                <w:iCs w:val="0"/>
                <w:caps w:val="0"/>
                <w:color w:val="000000"/>
                <w:spacing w:val="0"/>
                <w:kern w:val="0"/>
                <w:sz w:val="20"/>
                <w:szCs w:val="20"/>
                <w:lang w:val="en-US" w:eastAsia="zh-CN" w:bidi="ar"/>
              </w:rPr>
              <w:t>Huawei</w:t>
            </w:r>
          </w:p>
        </w:tc>
      </w:tr>
      <w:tr w14:paraId="492FD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3DDEC832">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2-1</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4A1C899C">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w:t>
            </w:r>
          </w:p>
          <w:p w14:paraId="34899BCC">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A.19.4.7.1</w:t>
            </w:r>
          </w:p>
          <w:p w14:paraId="31D4713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SCell Activation and deactivation of known SCell in FR1 in non-DRX for 160 ms SCell measurement cycle (together with interruption requirement verification)</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511AB5C6">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ZTE</w:t>
            </w:r>
          </w:p>
        </w:tc>
      </w:tr>
      <w:tr w14:paraId="29465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1A7DC95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2-2</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3353D581">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A.19.4.7.2</w:t>
            </w:r>
          </w:p>
          <w:p w14:paraId="75EEC479">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SCell Activation and deactivation of known SCell in FR1 in non-DRX for 640 ms SCell measurement cycle (together with interruption requirement verification)</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10D62B9B">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ZTE</w:t>
            </w:r>
          </w:p>
        </w:tc>
      </w:tr>
      <w:tr w14:paraId="0543C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12A2034A">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2-3</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4DB00FB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A.19.4.7.3</w:t>
            </w:r>
          </w:p>
          <w:p w14:paraId="2144CC4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SCell Activation and deactivation of unknown SCell in FR1 in non-DRX (together with interruption requirement verification)</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3F6015A1">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sz w:val="20"/>
                <w:szCs w:val="20"/>
              </w:rPr>
            </w:pPr>
            <w:r>
              <w:rPr>
                <w:rFonts w:hint="default" w:ascii="Times New Roman" w:hAnsi="Times New Roman" w:eastAsia="宋体" w:cs="Times New Roman"/>
                <w:i w:val="0"/>
                <w:iCs w:val="0"/>
                <w:caps w:val="0"/>
                <w:color w:val="000000"/>
                <w:spacing w:val="0"/>
                <w:kern w:val="0"/>
                <w:sz w:val="20"/>
                <w:szCs w:val="20"/>
                <w:lang w:val="en-US" w:eastAsia="zh-CN" w:bidi="ar"/>
              </w:rPr>
              <w:t>Ericsson</w:t>
            </w:r>
          </w:p>
        </w:tc>
      </w:tr>
      <w:tr w14:paraId="6568B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65D61FDB">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2-4</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56A496AC">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A.19.4.7.4</w:t>
            </w:r>
          </w:p>
          <w:p w14:paraId="2A465DC4">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Direct SCell activation at SCell addition of known SCell in FR1 (together with interruption requirement verification)</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1C17D33A">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Apple</w:t>
            </w:r>
          </w:p>
        </w:tc>
      </w:tr>
      <w:tr w14:paraId="4C36A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0E7D9710">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2-5</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523E630B">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A.19.4.7.5</w:t>
            </w:r>
          </w:p>
          <w:p w14:paraId="631CF73E">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Direct SCell activation at handover with known SCell in FR1</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1447A6AE">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Apple</w:t>
            </w:r>
          </w:p>
        </w:tc>
      </w:tr>
      <w:tr w14:paraId="047E2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670C649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2-6</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2B890D2A">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A.19.4.7.6</w:t>
            </w:r>
          </w:p>
          <w:p w14:paraId="5320AB46">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Fast SCell Activation of known SCell in FR1 in non-DRX for 160 ms SCell measurement cycle</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55E8D630">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LGE</w:t>
            </w:r>
          </w:p>
        </w:tc>
      </w:tr>
      <w:tr w14:paraId="53CA8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3FB5E388">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2-7</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7D35754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A.19.4.7.7</w:t>
            </w:r>
          </w:p>
          <w:p w14:paraId="00AF88FF">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Fast SCell Activation of known SCell in FR1 in non-DRX for 640 ms SCell measurement cycle</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4E8B15D9">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LGE</w:t>
            </w:r>
          </w:p>
        </w:tc>
      </w:tr>
      <w:tr w14:paraId="36A28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78F6E9CF">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2-8</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6C236F32">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A.19.4.7.8</w:t>
            </w:r>
          </w:p>
          <w:p w14:paraId="5914A1D1">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SCell Activation of unknown SCell with valid L3 measurement results in FR1 in non-DRX for 160 ms SCell measurement cycle</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62F67FEA">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宋体" w:cs="Times New Roman"/>
                <w:i w:val="0"/>
                <w:iCs w:val="0"/>
                <w:caps w:val="0"/>
                <w:color w:val="000000"/>
                <w:spacing w:val="0"/>
                <w:kern w:val="0"/>
                <w:sz w:val="20"/>
                <w:szCs w:val="20"/>
                <w:lang w:val="en-US" w:eastAsia="zh-CN" w:bidi="ar"/>
              </w:rPr>
              <w:t>Ericsson</w:t>
            </w:r>
          </w:p>
        </w:tc>
      </w:tr>
      <w:tr w14:paraId="3E10A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0EAAB876">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2-9</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2A9CA37A">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A.19.4.7.9</w:t>
            </w:r>
          </w:p>
          <w:p w14:paraId="2FC708B5">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TRS based SCell Activation of SSB-less SCell in FR1 inter-band CA in non-DRX</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2E49573F">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1F497D"/>
                <w:spacing w:val="0"/>
                <w:kern w:val="0"/>
                <w:sz w:val="20"/>
                <w:szCs w:val="20"/>
                <w:lang w:val="en-US" w:eastAsia="zh-CN" w:bidi="ar"/>
              </w:rPr>
              <w:t>CATT</w:t>
            </w:r>
          </w:p>
        </w:tc>
      </w:tr>
      <w:tr w14:paraId="469DC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29C65E5C">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3-1</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291397A3">
            <w:pPr>
              <w:pStyle w:val="41"/>
              <w:keepNext w:val="0"/>
              <w:keepLines w:val="0"/>
              <w:widowControl/>
              <w:suppressLineNumbers w:val="0"/>
              <w:spacing w:before="0" w:beforeAutospacing="1" w:after="0" w:afterAutospacing="0"/>
              <w:ind w:left="0" w:right="0"/>
              <w:jc w:val="both"/>
              <w:textAlignment w:val="baseline"/>
              <w:rPr>
                <w:rFonts w:hint="default" w:ascii="Times New Roman" w:hAnsi="Times New Roman" w:cs="Times New Roman"/>
                <w:sz w:val="20"/>
                <w:szCs w:val="20"/>
              </w:rPr>
            </w:pPr>
            <w:r>
              <w:rPr>
                <w:rFonts w:hint="default" w:ascii="Times New Roman" w:hAnsi="Times New Roman" w:eastAsia="微软雅黑" w:cs="Times New Roman"/>
                <w:i w:val="0"/>
                <w:iCs w:val="0"/>
                <w:caps w:val="0"/>
                <w:color w:val="000000"/>
                <w:spacing w:val="0"/>
                <w:sz w:val="20"/>
                <w:szCs w:val="20"/>
                <w:vertAlign w:val="baseline"/>
                <w:lang w:val="en-US"/>
              </w:rPr>
              <w:t>A.19.4.2.3</w:t>
            </w:r>
          </w:p>
          <w:p w14:paraId="68B7906E">
            <w:pPr>
              <w:pStyle w:val="41"/>
              <w:keepNext w:val="0"/>
              <w:keepLines w:val="0"/>
              <w:widowControl/>
              <w:suppressLineNumbers w:val="0"/>
              <w:spacing w:before="0" w:beforeAutospacing="1" w:after="0" w:afterAutospacing="0"/>
              <w:ind w:left="0" w:right="0"/>
              <w:jc w:val="both"/>
              <w:textAlignment w:val="baseline"/>
              <w:rPr>
                <w:rFonts w:hint="default" w:ascii="Times New Roman" w:hAnsi="Times New Roman" w:cs="Times New Roman"/>
                <w:sz w:val="20"/>
                <w:szCs w:val="20"/>
              </w:rPr>
            </w:pPr>
            <w:r>
              <w:rPr>
                <w:rFonts w:hint="default" w:ascii="Times New Roman" w:hAnsi="Times New Roman" w:eastAsia="微软雅黑" w:cs="Times New Roman"/>
                <w:i w:val="0"/>
                <w:iCs w:val="0"/>
                <w:caps w:val="0"/>
                <w:color w:val="000000"/>
                <w:spacing w:val="0"/>
                <w:sz w:val="20"/>
                <w:szCs w:val="20"/>
                <w:vertAlign w:val="baseline"/>
                <w:lang w:val="en-US"/>
              </w:rPr>
              <w:t>Beam Failure Detection and Link Recovery Test for FR1 SCell configured with CSI-RS-based BFD and SSB-based LR in non-DRX mode for ATG</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59D2E292">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1F497D"/>
                <w:spacing w:val="0"/>
                <w:kern w:val="0"/>
                <w:sz w:val="20"/>
                <w:szCs w:val="20"/>
                <w:lang w:val="en-US" w:eastAsia="zh-CN" w:bidi="ar"/>
              </w:rPr>
              <w:t>CATT</w:t>
            </w:r>
          </w:p>
        </w:tc>
      </w:tr>
      <w:tr w14:paraId="2EE10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5D18365D">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4-1</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0C6CF014">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A.19.5.1.5</w:t>
            </w:r>
          </w:p>
          <w:p w14:paraId="0C9B653E">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Event triggered reporting on SCC with deactivated SCell test under non-DRX, with measurement cycle of no smaller than 640ms </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338389C9">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CMCC</w:t>
            </w:r>
          </w:p>
        </w:tc>
      </w:tr>
      <w:tr w14:paraId="38A81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77354B6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highlight w:val="none"/>
              </w:rPr>
            </w:pPr>
            <w:r>
              <w:rPr>
                <w:rFonts w:hint="default" w:ascii="Times New Roman" w:hAnsi="Times New Roman" w:eastAsia="微软雅黑" w:cs="Times New Roman"/>
                <w:i w:val="0"/>
                <w:iCs w:val="0"/>
                <w:caps w:val="0"/>
                <w:color w:val="000000"/>
                <w:spacing w:val="0"/>
                <w:kern w:val="0"/>
                <w:sz w:val="20"/>
                <w:szCs w:val="20"/>
                <w:highlight w:val="none"/>
                <w:lang w:val="en-US" w:eastAsia="zh-CN" w:bidi="ar"/>
              </w:rPr>
              <w:t>4-2</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7D94C8F6">
            <w:pPr>
              <w:keepNext w:val="0"/>
              <w:keepLines w:val="0"/>
              <w:widowControl/>
              <w:suppressLineNumbers w:val="0"/>
              <w:spacing w:before="0" w:beforeAutospacing="0" w:after="0" w:afterAutospacing="0"/>
              <w:ind w:left="0" w:right="0"/>
              <w:jc w:val="both"/>
              <w:rPr>
                <w:rFonts w:hint="eastAsia" w:eastAsia="微软雅黑" w:cs="Times New Roman"/>
                <w:i w:val="0"/>
                <w:iCs w:val="0"/>
                <w:caps w:val="0"/>
                <w:color w:val="auto"/>
                <w:spacing w:val="0"/>
                <w:kern w:val="0"/>
                <w:sz w:val="20"/>
                <w:szCs w:val="20"/>
                <w:highlight w:val="none"/>
                <w:shd w:val="clear" w:fill="FFFF00"/>
                <w:lang w:val="en-US" w:eastAsia="zh-CN" w:bidi="ar"/>
              </w:rPr>
            </w:pPr>
            <w:r>
              <w:rPr>
                <w:rFonts w:hint="default" w:ascii="Times New Roman" w:hAnsi="Times New Roman" w:eastAsia="微软雅黑" w:cs="Times New Roman"/>
                <w:i w:val="0"/>
                <w:iCs w:val="0"/>
                <w:caps w:val="0"/>
                <w:color w:val="000000"/>
                <w:spacing w:val="0"/>
                <w:kern w:val="0"/>
                <w:sz w:val="20"/>
                <w:szCs w:val="20"/>
                <w:lang w:val="en-US" w:eastAsia="zh-CN" w:bidi="ar"/>
              </w:rPr>
              <w:t>A.19.5.1.</w:t>
            </w:r>
            <w:r>
              <w:rPr>
                <w:rFonts w:hint="eastAsia" w:eastAsia="微软雅黑" w:cs="Times New Roman"/>
                <w:i w:val="0"/>
                <w:iCs w:val="0"/>
                <w:caps w:val="0"/>
                <w:color w:val="000000"/>
                <w:spacing w:val="0"/>
                <w:kern w:val="0"/>
                <w:sz w:val="20"/>
                <w:szCs w:val="20"/>
                <w:lang w:val="en-US" w:eastAsia="zh-CN" w:bidi="ar"/>
              </w:rPr>
              <w:t>6</w:t>
            </w:r>
          </w:p>
          <w:p w14:paraId="5E4F455A">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highlight w:val="none"/>
              </w:rPr>
            </w:pPr>
            <w:r>
              <w:rPr>
                <w:rFonts w:hint="eastAsia" w:eastAsia="微软雅黑" w:cs="Times New Roman"/>
                <w:i w:val="0"/>
                <w:iCs w:val="0"/>
                <w:caps w:val="0"/>
                <w:color w:val="auto"/>
                <w:spacing w:val="0"/>
                <w:kern w:val="0"/>
                <w:sz w:val="20"/>
                <w:szCs w:val="20"/>
                <w:highlight w:val="none"/>
                <w:shd w:val="clear" w:fill="FFFF00"/>
                <w:lang w:val="en-US" w:eastAsia="zh-CN" w:bidi="ar"/>
              </w:rPr>
              <w:t>Periodic</w:t>
            </w:r>
            <w:r>
              <w:rPr>
                <w:rFonts w:hint="default" w:ascii="Times New Roman" w:hAnsi="Times New Roman" w:eastAsia="微软雅黑" w:cs="Times New Roman"/>
                <w:i w:val="0"/>
                <w:iCs w:val="0"/>
                <w:caps w:val="0"/>
                <w:color w:val="auto"/>
                <w:spacing w:val="0"/>
                <w:kern w:val="0"/>
                <w:sz w:val="20"/>
                <w:szCs w:val="20"/>
                <w:highlight w:val="none"/>
                <w:shd w:val="clear" w:fill="FFFF00"/>
                <w:lang w:val="en-US" w:eastAsia="zh-CN" w:bidi="ar"/>
              </w:rPr>
              <w:t xml:space="preserve"> reporting on SCC with deactivated SCell test under non-DRX, with measurement cycle of no smaller than 160ms</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61D6EB6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highlight w:val="none"/>
              </w:rPr>
            </w:pPr>
            <w:r>
              <w:rPr>
                <w:rFonts w:hint="default" w:ascii="Times New Roman" w:hAnsi="Times New Roman" w:eastAsia="微软雅黑" w:cs="Times New Roman"/>
                <w:i w:val="0"/>
                <w:iCs w:val="0"/>
                <w:caps w:val="0"/>
                <w:color w:val="000000"/>
                <w:spacing w:val="0"/>
                <w:kern w:val="0"/>
                <w:sz w:val="20"/>
                <w:szCs w:val="20"/>
                <w:highlight w:val="none"/>
                <w:lang w:val="en-US" w:eastAsia="zh-CN" w:bidi="ar"/>
              </w:rPr>
              <w:t>CMCC</w:t>
            </w:r>
          </w:p>
        </w:tc>
      </w:tr>
    </w:tbl>
    <w:p w14:paraId="148D6F9C">
      <w:pPr>
        <w:snapToGrid w:val="0"/>
        <w:spacing w:after="120"/>
        <w:rPr>
          <w:rFonts w:hint="eastAsia"/>
          <w:b/>
          <w:sz w:val="21"/>
          <w:szCs w:val="21"/>
          <w:u w:val="single"/>
          <w:lang w:val="en-US" w:eastAsia="zh-CN"/>
        </w:rPr>
      </w:pPr>
    </w:p>
    <w:p w14:paraId="5217C540">
      <w:pPr>
        <w:rPr>
          <w:rFonts w:hint="default" w:ascii="Times New Roman" w:hAnsi="Times New Roman" w:cs="Times New Roman"/>
          <w:b/>
          <w:color w:val="auto"/>
          <w:sz w:val="20"/>
          <w:szCs w:val="20"/>
          <w:u w:val="single"/>
          <w:lang w:eastAsia="zh-CN"/>
        </w:rPr>
      </w:pPr>
    </w:p>
    <w:sectPr>
      <w:footnotePr>
        <w:numRestart w:val="eachSect"/>
      </w:footnotePr>
      <w:pgSz w:w="11907" w:h="16840"/>
      <w:pgMar w:top="720" w:right="720" w:bottom="720" w:left="720" w:header="680" w:footer="567" w:gutter="0"/>
      <w:cols w:space="0" w:num="1"/>
      <w:rtlGutter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attachedTemplate r:id="rId1"/>
  <w:documentProtection w:enforcement="0"/>
  <w:defaultTabStop w:val="420"/>
  <w:drawingGridHorizontalSpacing w:val="10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3F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F2A"/>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551"/>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602"/>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3D7"/>
    <w:rsid w:val="009778E5"/>
    <w:rsid w:val="00977C6D"/>
    <w:rsid w:val="00980FCC"/>
    <w:rsid w:val="00982099"/>
    <w:rsid w:val="009830EE"/>
    <w:rsid w:val="0098326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5F04"/>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9F9"/>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CD8"/>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83"/>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561"/>
    <w:rsid w:val="00D04A8A"/>
    <w:rsid w:val="00D053E2"/>
    <w:rsid w:val="00D057FE"/>
    <w:rsid w:val="00D05A4C"/>
    <w:rsid w:val="00D05D54"/>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250"/>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30B1B96"/>
    <w:rsid w:val="03BC4A9D"/>
    <w:rsid w:val="046810AB"/>
    <w:rsid w:val="05EF3EA8"/>
    <w:rsid w:val="066478E0"/>
    <w:rsid w:val="076E5199"/>
    <w:rsid w:val="08036534"/>
    <w:rsid w:val="09575F33"/>
    <w:rsid w:val="127C6D88"/>
    <w:rsid w:val="143E502C"/>
    <w:rsid w:val="16194085"/>
    <w:rsid w:val="18D42CAA"/>
    <w:rsid w:val="198432E8"/>
    <w:rsid w:val="1CBB1BB0"/>
    <w:rsid w:val="1CD53648"/>
    <w:rsid w:val="1D777F86"/>
    <w:rsid w:val="1E452485"/>
    <w:rsid w:val="1F17751E"/>
    <w:rsid w:val="1F8E3470"/>
    <w:rsid w:val="21F046BC"/>
    <w:rsid w:val="22603354"/>
    <w:rsid w:val="25F93F73"/>
    <w:rsid w:val="262D4A31"/>
    <w:rsid w:val="2AF37FE9"/>
    <w:rsid w:val="2B09789B"/>
    <w:rsid w:val="2BC55573"/>
    <w:rsid w:val="2BD66B3D"/>
    <w:rsid w:val="2BFC1257"/>
    <w:rsid w:val="2D715F5C"/>
    <w:rsid w:val="33BD14AA"/>
    <w:rsid w:val="343000AA"/>
    <w:rsid w:val="356362F6"/>
    <w:rsid w:val="363870C8"/>
    <w:rsid w:val="37160E14"/>
    <w:rsid w:val="37FA6736"/>
    <w:rsid w:val="39D671D7"/>
    <w:rsid w:val="3C15296F"/>
    <w:rsid w:val="3D1C31D0"/>
    <w:rsid w:val="3ECD11AB"/>
    <w:rsid w:val="3F2B4883"/>
    <w:rsid w:val="41D67276"/>
    <w:rsid w:val="42A61C74"/>
    <w:rsid w:val="42E9170E"/>
    <w:rsid w:val="43BD7978"/>
    <w:rsid w:val="44345155"/>
    <w:rsid w:val="448E4BC9"/>
    <w:rsid w:val="448F6B3A"/>
    <w:rsid w:val="45227AF8"/>
    <w:rsid w:val="454D3C30"/>
    <w:rsid w:val="458D1B72"/>
    <w:rsid w:val="45D87CD3"/>
    <w:rsid w:val="4789254C"/>
    <w:rsid w:val="4B725A41"/>
    <w:rsid w:val="4BE82A4F"/>
    <w:rsid w:val="4C510188"/>
    <w:rsid w:val="4C6C4F33"/>
    <w:rsid w:val="4C8D6D3F"/>
    <w:rsid w:val="4CBA32E1"/>
    <w:rsid w:val="4D1959C1"/>
    <w:rsid w:val="4F5E791D"/>
    <w:rsid w:val="4FBD263B"/>
    <w:rsid w:val="55E6360E"/>
    <w:rsid w:val="57D07432"/>
    <w:rsid w:val="5C2B7C22"/>
    <w:rsid w:val="5CB839E2"/>
    <w:rsid w:val="5D8A21D0"/>
    <w:rsid w:val="5DE77830"/>
    <w:rsid w:val="5E4A20CD"/>
    <w:rsid w:val="5EAD270C"/>
    <w:rsid w:val="609820D2"/>
    <w:rsid w:val="64230B55"/>
    <w:rsid w:val="64D608B5"/>
    <w:rsid w:val="660A444F"/>
    <w:rsid w:val="66BF6EA0"/>
    <w:rsid w:val="66E6541B"/>
    <w:rsid w:val="68024046"/>
    <w:rsid w:val="69AF145F"/>
    <w:rsid w:val="6AD273B5"/>
    <w:rsid w:val="70D26B0C"/>
    <w:rsid w:val="70E40553"/>
    <w:rsid w:val="72115020"/>
    <w:rsid w:val="72651D84"/>
    <w:rsid w:val="72AF4DA6"/>
    <w:rsid w:val="74853EE6"/>
    <w:rsid w:val="749C7F10"/>
    <w:rsid w:val="76AC4572"/>
    <w:rsid w:val="789A04F9"/>
    <w:rsid w:val="7AB226A3"/>
    <w:rsid w:val="7C3A7CDC"/>
    <w:rsid w:val="7D2334DD"/>
    <w:rsid w:val="7EEA3D7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60"/>
    <w:semiHidden/>
    <w:unhideWhenUsed/>
    <w:qFormat/>
    <w:uiPriority w:val="99"/>
    <w:rPr>
      <w:rFonts w:ascii="宋体"/>
      <w:sz w:val="18"/>
      <w:szCs w:val="18"/>
    </w:rPr>
  </w:style>
  <w:style w:type="paragraph" w:styleId="30">
    <w:name w:val="annotation text"/>
    <w:basedOn w:val="1"/>
    <w:qFormat/>
    <w:uiPriority w:val="99"/>
  </w:style>
  <w:style w:type="paragraph" w:styleId="31">
    <w:name w:val="List Bullet 5"/>
    <w:basedOn w:val="24"/>
    <w:semiHidden/>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Date"/>
    <w:basedOn w:val="1"/>
    <w:next w:val="1"/>
    <w:link w:val="71"/>
    <w:semiHidden/>
    <w:unhideWhenUsed/>
    <w:qFormat/>
    <w:uiPriority w:val="99"/>
    <w:pPr>
      <w:ind w:left="100" w:leftChars="2500"/>
    </w:pPr>
  </w:style>
  <w:style w:type="paragraph" w:styleId="34">
    <w:name w:val="Balloon Text"/>
    <w:basedOn w:val="1"/>
    <w:link w:val="61"/>
    <w:semiHidden/>
    <w:unhideWhenUsed/>
    <w:qFormat/>
    <w:uiPriority w:val="99"/>
    <w:pPr>
      <w:spacing w:after="0"/>
    </w:pPr>
    <w:rPr>
      <w:sz w:val="18"/>
      <w:szCs w:val="18"/>
    </w:rPr>
  </w:style>
  <w:style w:type="paragraph" w:styleId="35">
    <w:name w:val="footer"/>
    <w:basedOn w:val="36"/>
    <w:link w:val="70"/>
    <w:qFormat/>
    <w:uiPriority w:val="0"/>
    <w:pPr>
      <w:jc w:val="center"/>
    </w:pPr>
    <w:rPr>
      <w:i/>
    </w:rPr>
  </w:style>
  <w:style w:type="paragraph" w:styleId="36">
    <w:name w:val="header"/>
    <w:basedOn w:val="1"/>
    <w:link w:val="69"/>
    <w:qFormat/>
    <w:uiPriority w:val="0"/>
    <w:pPr>
      <w:widowControl w:val="0"/>
    </w:pPr>
    <w:rPr>
      <w:rFonts w:ascii="Arial" w:hAnsi="Arial"/>
      <w:b/>
      <w:sz w:val="18"/>
    </w:rPr>
  </w:style>
  <w:style w:type="paragraph" w:styleId="37">
    <w:name w:val="footnote text"/>
    <w:basedOn w:val="1"/>
    <w:link w:val="77"/>
    <w:semiHidden/>
    <w:qFormat/>
    <w:uiPriority w:val="0"/>
    <w:pPr>
      <w:keepLines/>
      <w:spacing w:after="0"/>
      <w:ind w:left="454" w:hanging="454"/>
    </w:pPr>
    <w:rPr>
      <w:sz w:val="16"/>
    </w:rPr>
  </w:style>
  <w:style w:type="paragraph" w:styleId="38">
    <w:name w:val="List 5"/>
    <w:basedOn w:val="39"/>
    <w:semiHidden/>
    <w:qFormat/>
    <w:uiPriority w:val="0"/>
    <w:pPr>
      <w:ind w:left="1702"/>
    </w:pPr>
  </w:style>
  <w:style w:type="paragraph" w:styleId="39">
    <w:name w:val="List 4"/>
    <w:basedOn w:val="12"/>
    <w:semiHidden/>
    <w:qFormat/>
    <w:uiPriority w:val="0"/>
    <w:pPr>
      <w:ind w:left="1418"/>
    </w:pPr>
  </w:style>
  <w:style w:type="paragraph" w:styleId="40">
    <w:name w:val="toc 9"/>
    <w:basedOn w:val="32"/>
    <w:next w:val="1"/>
    <w:semiHidden/>
    <w:qFormat/>
    <w:uiPriority w:val="0"/>
    <w:pPr>
      <w:ind w:left="1418" w:hanging="1418"/>
    </w:pPr>
  </w:style>
  <w:style w:type="paragraph" w:styleId="41">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otnote reference"/>
    <w:basedOn w:val="46"/>
    <w:semiHidden/>
    <w:qFormat/>
    <w:uiPriority w:val="0"/>
    <w:rPr>
      <w:b/>
      <w:position w:val="6"/>
      <w:sz w:val="16"/>
    </w:rPr>
  </w:style>
  <w:style w:type="character" w:customStyle="1" w:styleId="48">
    <w:name w:val="Heading 1 Char"/>
    <w:link w:val="2"/>
    <w:qFormat/>
    <w:uiPriority w:val="0"/>
    <w:rPr>
      <w:rFonts w:ascii="Arial" w:hAnsi="Arial" w:eastAsia="Times New Roman"/>
      <w:sz w:val="36"/>
    </w:rPr>
  </w:style>
  <w:style w:type="character" w:customStyle="1" w:styleId="49">
    <w:name w:val="Heading 2 Char"/>
    <w:link w:val="3"/>
    <w:qFormat/>
    <w:uiPriority w:val="0"/>
    <w:rPr>
      <w:rFonts w:ascii="Arial" w:hAnsi="Arial" w:eastAsia="Times New Roman"/>
      <w:sz w:val="32"/>
    </w:rPr>
  </w:style>
  <w:style w:type="character" w:customStyle="1" w:styleId="50">
    <w:name w:val="Heading 3 Char"/>
    <w:link w:val="4"/>
    <w:qFormat/>
    <w:uiPriority w:val="0"/>
    <w:rPr>
      <w:rFonts w:ascii="Arial" w:hAnsi="Arial" w:eastAsia="Times New Roman"/>
      <w:sz w:val="28"/>
    </w:rPr>
  </w:style>
  <w:style w:type="character" w:customStyle="1" w:styleId="51">
    <w:name w:val="Heading 4 Char"/>
    <w:link w:val="5"/>
    <w:qFormat/>
    <w:uiPriority w:val="0"/>
    <w:rPr>
      <w:rFonts w:ascii="Arial" w:hAnsi="Arial" w:eastAsia="Times New Roman"/>
      <w:sz w:val="24"/>
    </w:rPr>
  </w:style>
  <w:style w:type="character" w:customStyle="1" w:styleId="52">
    <w:name w:val="Heading 5 Char"/>
    <w:link w:val="6"/>
    <w:qFormat/>
    <w:uiPriority w:val="0"/>
    <w:rPr>
      <w:rFonts w:ascii="Arial" w:hAnsi="Arial" w:eastAsia="Times New Roman"/>
      <w:sz w:val="22"/>
    </w:rPr>
  </w:style>
  <w:style w:type="character" w:customStyle="1" w:styleId="53">
    <w:name w:val="Heading 6 Char"/>
    <w:link w:val="7"/>
    <w:qFormat/>
    <w:uiPriority w:val="0"/>
    <w:rPr>
      <w:rFonts w:ascii="Arial" w:hAnsi="Arial" w:eastAsia="Times New Roman"/>
    </w:rPr>
  </w:style>
  <w:style w:type="character" w:customStyle="1" w:styleId="54">
    <w:name w:val="Heading 7 Char"/>
    <w:link w:val="9"/>
    <w:qFormat/>
    <w:uiPriority w:val="0"/>
    <w:rPr>
      <w:rFonts w:ascii="Arial" w:hAnsi="Arial" w:eastAsia="Times New Roman"/>
    </w:rPr>
  </w:style>
  <w:style w:type="character" w:customStyle="1" w:styleId="55">
    <w:name w:val="Heading 8 Char"/>
    <w:link w:val="10"/>
    <w:qFormat/>
    <w:uiPriority w:val="0"/>
    <w:rPr>
      <w:rFonts w:ascii="Arial" w:hAnsi="Arial" w:eastAsia="Times New Roman"/>
      <w:sz w:val="36"/>
    </w:rPr>
  </w:style>
  <w:style w:type="character" w:customStyle="1" w:styleId="56">
    <w:name w:val="Heading 9 Char"/>
    <w:link w:val="11"/>
    <w:qFormat/>
    <w:uiPriority w:val="0"/>
    <w:rPr>
      <w:rFonts w:ascii="Arial" w:hAnsi="Arial" w:eastAsia="Times New Roman"/>
      <w:sz w:val="36"/>
    </w:rPr>
  </w:style>
  <w:style w:type="paragraph" w:customStyle="1" w:styleId="57">
    <w:name w:val="TAC"/>
    <w:basedOn w:val="58"/>
    <w:link w:val="59"/>
    <w:qFormat/>
    <w:uiPriority w:val="0"/>
    <w:pPr>
      <w:jc w:val="center"/>
    </w:pPr>
  </w:style>
  <w:style w:type="paragraph" w:customStyle="1" w:styleId="58">
    <w:name w:val="TAL"/>
    <w:basedOn w:val="1"/>
    <w:link w:val="62"/>
    <w:qFormat/>
    <w:uiPriority w:val="0"/>
    <w:pPr>
      <w:keepNext/>
      <w:keepLines/>
      <w:spacing w:after="0"/>
    </w:pPr>
    <w:rPr>
      <w:rFonts w:ascii="Arial" w:hAnsi="Arial"/>
      <w:sz w:val="18"/>
    </w:rPr>
  </w:style>
  <w:style w:type="character" w:customStyle="1" w:styleId="59">
    <w:name w:val="TAC Char"/>
    <w:link w:val="57"/>
    <w:qFormat/>
    <w:uiPriority w:val="0"/>
    <w:rPr>
      <w:rFonts w:ascii="Arial" w:hAnsi="Arial" w:eastAsia="Times New Roman"/>
      <w:sz w:val="18"/>
    </w:rPr>
  </w:style>
  <w:style w:type="character" w:customStyle="1" w:styleId="60">
    <w:name w:val="Document Map Char"/>
    <w:link w:val="29"/>
    <w:semiHidden/>
    <w:qFormat/>
    <w:uiPriority w:val="99"/>
    <w:rPr>
      <w:rFonts w:ascii="宋体" w:hAnsi="Times New Roman"/>
      <w:sz w:val="18"/>
      <w:szCs w:val="18"/>
      <w:lang w:val="en-GB" w:eastAsia="en-US"/>
    </w:rPr>
  </w:style>
  <w:style w:type="character" w:customStyle="1" w:styleId="61">
    <w:name w:val="Balloon Text Char"/>
    <w:link w:val="34"/>
    <w:semiHidden/>
    <w:qFormat/>
    <w:uiPriority w:val="99"/>
    <w:rPr>
      <w:rFonts w:ascii="Times New Roman" w:hAnsi="Times New Roman"/>
      <w:sz w:val="18"/>
      <w:szCs w:val="18"/>
      <w:lang w:val="en-GB" w:eastAsia="en-US"/>
    </w:rPr>
  </w:style>
  <w:style w:type="character" w:customStyle="1" w:styleId="62">
    <w:name w:val="TAL Car"/>
    <w:link w:val="58"/>
    <w:qFormat/>
    <w:locked/>
    <w:uiPriority w:val="0"/>
    <w:rPr>
      <w:rFonts w:ascii="Arial" w:hAnsi="Arial" w:eastAsia="Times New Roman"/>
      <w:sz w:val="18"/>
    </w:rPr>
  </w:style>
  <w:style w:type="paragraph" w:customStyle="1" w:styleId="63">
    <w:name w:val="TAH"/>
    <w:basedOn w:val="57"/>
    <w:link w:val="67"/>
    <w:qFormat/>
    <w:uiPriority w:val="0"/>
    <w:rPr>
      <w:b/>
    </w:rPr>
  </w:style>
  <w:style w:type="character" w:customStyle="1" w:styleId="64">
    <w:name w:val="TH Char"/>
    <w:link w:val="65"/>
    <w:qFormat/>
    <w:locked/>
    <w:uiPriority w:val="0"/>
    <w:rPr>
      <w:rFonts w:ascii="Arial" w:hAnsi="Arial" w:eastAsia="Times New Roman"/>
      <w:b/>
    </w:rPr>
  </w:style>
  <w:style w:type="paragraph" w:customStyle="1" w:styleId="65">
    <w:name w:val="TH"/>
    <w:basedOn w:val="1"/>
    <w:link w:val="64"/>
    <w:qFormat/>
    <w:uiPriority w:val="0"/>
    <w:pPr>
      <w:keepNext/>
      <w:keepLines/>
      <w:spacing w:before="60"/>
      <w:jc w:val="center"/>
    </w:pPr>
    <w:rPr>
      <w:rFonts w:ascii="Arial" w:hAnsi="Arial"/>
      <w:b/>
    </w:rPr>
  </w:style>
  <w:style w:type="paragraph" w:customStyle="1" w:styleId="66">
    <w:name w:val="TAN"/>
    <w:basedOn w:val="58"/>
    <w:link w:val="68"/>
    <w:qFormat/>
    <w:uiPriority w:val="0"/>
    <w:pPr>
      <w:ind w:left="851" w:hanging="851"/>
    </w:pPr>
  </w:style>
  <w:style w:type="character" w:customStyle="1" w:styleId="67">
    <w:name w:val="TAH Car"/>
    <w:link w:val="63"/>
    <w:qFormat/>
    <w:uiPriority w:val="0"/>
    <w:rPr>
      <w:rFonts w:ascii="Arial" w:hAnsi="Arial" w:eastAsia="Times New Roman"/>
      <w:b/>
      <w:sz w:val="18"/>
    </w:rPr>
  </w:style>
  <w:style w:type="character" w:customStyle="1" w:styleId="68">
    <w:name w:val="TAN Char"/>
    <w:link w:val="66"/>
    <w:qFormat/>
    <w:uiPriority w:val="0"/>
    <w:rPr>
      <w:rFonts w:ascii="Arial" w:hAnsi="Arial" w:eastAsia="Times New Roman"/>
      <w:sz w:val="18"/>
    </w:rPr>
  </w:style>
  <w:style w:type="character" w:customStyle="1" w:styleId="69">
    <w:name w:val="Header Char"/>
    <w:link w:val="36"/>
    <w:qFormat/>
    <w:uiPriority w:val="0"/>
    <w:rPr>
      <w:rFonts w:ascii="Arial" w:hAnsi="Arial" w:eastAsia="Times New Roman"/>
      <w:b/>
      <w:sz w:val="18"/>
    </w:rPr>
  </w:style>
  <w:style w:type="character" w:customStyle="1" w:styleId="70">
    <w:name w:val="Footer Char"/>
    <w:link w:val="35"/>
    <w:qFormat/>
    <w:uiPriority w:val="0"/>
    <w:rPr>
      <w:rFonts w:ascii="Arial" w:hAnsi="Arial" w:eastAsia="Times New Roman"/>
      <w:b/>
      <w:i/>
      <w:sz w:val="18"/>
    </w:rPr>
  </w:style>
  <w:style w:type="character" w:customStyle="1" w:styleId="71">
    <w:name w:val="Date Char"/>
    <w:link w:val="33"/>
    <w:semiHidden/>
    <w:qFormat/>
    <w:uiPriority w:val="99"/>
    <w:rPr>
      <w:rFonts w:ascii="Times New Roman" w:hAnsi="Times New Roman"/>
      <w:lang w:val="en-GB" w:eastAsia="en-US"/>
    </w:rPr>
  </w:style>
  <w:style w:type="paragraph" w:styleId="72">
    <w:name w:val="List Paragraph"/>
    <w:basedOn w:val="1"/>
    <w:link w:val="103"/>
    <w:qFormat/>
    <w:uiPriority w:val="34"/>
    <w:pPr>
      <w:ind w:firstLine="420" w:firstLineChars="200"/>
    </w:pPr>
  </w:style>
  <w:style w:type="character" w:customStyle="1" w:styleId="73">
    <w:name w:val="texhtml"/>
    <w:basedOn w:val="46"/>
    <w:qFormat/>
    <w:uiPriority w:val="0"/>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6">
    <w:name w:val="TT"/>
    <w:basedOn w:val="2"/>
    <w:next w:val="1"/>
    <w:qFormat/>
    <w:uiPriority w:val="0"/>
    <w:pPr>
      <w:outlineLvl w:val="9"/>
    </w:pPr>
  </w:style>
  <w:style w:type="character" w:customStyle="1" w:styleId="77">
    <w:name w:val="Footnote Text Char"/>
    <w:basedOn w:val="46"/>
    <w:link w:val="37"/>
    <w:semiHidden/>
    <w:qFormat/>
    <w:uiPriority w:val="0"/>
    <w:rPr>
      <w:rFonts w:ascii="Times New Roman" w:hAnsi="Times New Roman" w:eastAsia="Times New Roman"/>
      <w:sz w:val="16"/>
    </w:rPr>
  </w:style>
  <w:style w:type="paragraph" w:customStyle="1" w:styleId="78">
    <w:name w:val="TF"/>
    <w:basedOn w:val="65"/>
    <w:qFormat/>
    <w:uiPriority w:val="0"/>
    <w:pPr>
      <w:keepNext w:val="0"/>
      <w:spacing w:before="0" w:after="240"/>
    </w:pPr>
  </w:style>
  <w:style w:type="paragraph" w:customStyle="1" w:styleId="79">
    <w:name w:val="NO"/>
    <w:basedOn w:val="1"/>
    <w:qFormat/>
    <w:uiPriority w:val="0"/>
    <w:pPr>
      <w:keepLines/>
      <w:ind w:left="1135" w:hanging="851"/>
    </w:pPr>
  </w:style>
  <w:style w:type="paragraph" w:customStyle="1" w:styleId="80">
    <w:name w:val="EX"/>
    <w:basedOn w:val="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58"/>
    <w:qFormat/>
    <w:uiPriority w:val="0"/>
    <w:pPr>
      <w:jc w:val="right"/>
    </w:p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6">
    <w:name w:val="Editor's Note"/>
    <w:basedOn w:val="79"/>
    <w:qFormat/>
    <w:uiPriority w:val="0"/>
    <w:rPr>
      <w:color w:val="FF0000"/>
    </w:rPr>
  </w:style>
  <w:style w:type="paragraph" w:customStyle="1" w:styleId="97">
    <w:name w:val="B1"/>
    <w:basedOn w:val="14"/>
    <w:qFormat/>
    <w:uiPriority w:val="0"/>
  </w:style>
  <w:style w:type="paragraph" w:customStyle="1" w:styleId="98">
    <w:name w:val="B2"/>
    <w:basedOn w:val="13"/>
    <w:qFormat/>
    <w:uiPriority w:val="0"/>
  </w:style>
  <w:style w:type="paragraph" w:customStyle="1" w:styleId="99">
    <w:name w:val="B3"/>
    <w:basedOn w:val="12"/>
    <w:qFormat/>
    <w:uiPriority w:val="0"/>
  </w:style>
  <w:style w:type="paragraph" w:customStyle="1" w:styleId="100">
    <w:name w:val="B4"/>
    <w:basedOn w:val="39"/>
    <w:qFormat/>
    <w:uiPriority w:val="0"/>
  </w:style>
  <w:style w:type="paragraph" w:customStyle="1" w:styleId="101">
    <w:name w:val="B5"/>
    <w:basedOn w:val="38"/>
    <w:qFormat/>
    <w:uiPriority w:val="0"/>
  </w:style>
  <w:style w:type="paragraph" w:customStyle="1" w:styleId="102">
    <w:name w:val="ZTD"/>
    <w:basedOn w:val="90"/>
    <w:qFormat/>
    <w:uiPriority w:val="0"/>
    <w:pPr>
      <w:framePr w:hRule="auto" w:y="852"/>
    </w:pPr>
    <w:rPr>
      <w:i w:val="0"/>
      <w:sz w:val="40"/>
    </w:rPr>
  </w:style>
  <w:style w:type="character" w:customStyle="1" w:styleId="103">
    <w:name w:val="List Paragraph Char"/>
    <w:link w:val="72"/>
    <w:qFormat/>
    <w:locked/>
    <w:uiPriority w:val="34"/>
    <w:rPr>
      <w:rFonts w:ascii="Times New Roman" w:hAnsi="Times New Roman" w:eastAsia="Times New Roman"/>
      <w:lang w:val="en-GB" w:eastAsia="en-GB" w:bidi="ar-SA"/>
    </w:rPr>
  </w:style>
  <w:style w:type="paragraph" w:customStyle="1" w:styleId="104">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Huawei Technologies Co.,Ltd.</Company>
  <Pages>3</Pages>
  <Words>925</Words>
  <Characters>5654</Characters>
  <Lines>141</Lines>
  <Paragraphs>111</Paragraphs>
  <TotalTime>5</TotalTime>
  <ScaleCrop>false</ScaleCrop>
  <LinksUpToDate>false</LinksUpToDate>
  <CharactersWithSpaces>6468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2024-11-22T00:19:00Z</dcterms:created>
  <dc:creator>Dai Xizeng</dc:creator>
  <cp:lastModifiedBy>CMCC-shiyuan</cp:lastModifiedBy>
  <dcterms:modified xsi:type="dcterms:W3CDTF">2025-11-21T14:36:23Z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2052-12.8.2.21549</vt:lpwstr>
  </property>
  <property fmtid="{D5CDD505-2E9C-101B-9397-08002B2CF9AE}" pid="15" name="ICV">
    <vt:lpwstr>633DFDB7C5CE4ABEA70C69A11FBF1825</vt:lpwstr>
  </property>
</Properties>
</file>