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5C4" w14:textId="17065E32" w:rsidR="00410E7B" w:rsidRPr="001C2D88" w:rsidRDefault="00410E7B" w:rsidP="00410E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w:t>
      </w:r>
      <w:r w:rsidR="00C55EE9">
        <w:rPr>
          <w:rFonts w:ascii="Arial" w:eastAsiaTheme="minorEastAsia" w:hAnsi="Arial" w:cs="Arial"/>
          <w:b/>
        </w:rPr>
        <w:t>6-bis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Pr="00126B47">
        <w:rPr>
          <w:rFonts w:ascii="Arial" w:eastAsiaTheme="minorEastAsia" w:hAnsi="Arial" w:cs="Arial"/>
          <w:b/>
        </w:rPr>
        <w:t>2</w:t>
      </w:r>
      <w:r w:rsidR="003C560F">
        <w:rPr>
          <w:rFonts w:ascii="Arial" w:eastAsiaTheme="minorEastAsia" w:hAnsi="Arial" w:cs="Arial"/>
          <w:b/>
        </w:rPr>
        <w:t>514505</w:t>
      </w:r>
    </w:p>
    <w:p w14:paraId="11ACEA32" w14:textId="449B7CC4" w:rsidR="00410E7B" w:rsidRPr="001C2D88" w:rsidRDefault="00C55EE9" w:rsidP="00410E7B">
      <w:pPr>
        <w:spacing w:after="120"/>
        <w:ind w:left="1985" w:hanging="1985"/>
        <w:jc w:val="both"/>
        <w:rPr>
          <w:rFonts w:ascii="Arial" w:eastAsiaTheme="minorEastAsia" w:hAnsi="Arial" w:cs="Arial"/>
          <w:b/>
        </w:rPr>
      </w:pPr>
      <w:r>
        <w:rPr>
          <w:rFonts w:ascii="Arial" w:eastAsiaTheme="minorEastAsia" w:hAnsi="Arial" w:cs="Arial"/>
          <w:b/>
        </w:rPr>
        <w:t>Prague</w:t>
      </w:r>
      <w:r w:rsidR="00410E7B">
        <w:rPr>
          <w:rFonts w:ascii="Arial" w:eastAsiaTheme="minorEastAsia" w:hAnsi="Arial" w:cs="Arial"/>
          <w:b/>
        </w:rPr>
        <w:t>,</w:t>
      </w:r>
      <w:r>
        <w:rPr>
          <w:rFonts w:ascii="Arial" w:eastAsiaTheme="minorEastAsia" w:hAnsi="Arial" w:cs="Arial"/>
          <w:b/>
        </w:rPr>
        <w:t xml:space="preserve"> </w:t>
      </w:r>
      <w:r w:rsidRPr="00C55EE9">
        <w:rPr>
          <w:rFonts w:ascii="Arial" w:eastAsiaTheme="minorEastAsia" w:hAnsi="Arial" w:cs="Arial"/>
          <w:b/>
        </w:rPr>
        <w:t>Czech Republic</w:t>
      </w:r>
      <w:r>
        <w:rPr>
          <w:rFonts w:ascii="Arial" w:eastAsiaTheme="minorEastAsia" w:hAnsi="Arial" w:cs="Arial"/>
          <w:b/>
        </w:rPr>
        <w:t>,</w:t>
      </w:r>
      <w:r w:rsidR="00410E7B">
        <w:rPr>
          <w:rFonts w:ascii="Arial" w:eastAsiaTheme="minorEastAsia" w:hAnsi="Arial" w:cs="Arial"/>
          <w:b/>
        </w:rPr>
        <w:t xml:space="preserve"> </w:t>
      </w:r>
      <w:r>
        <w:rPr>
          <w:rFonts w:ascii="Arial" w:eastAsiaTheme="minorEastAsia" w:hAnsi="Arial" w:cs="Arial"/>
          <w:b/>
        </w:rPr>
        <w:t>October</w:t>
      </w:r>
      <w:r w:rsidR="00410E7B" w:rsidRPr="00CE4C51">
        <w:rPr>
          <w:rFonts w:ascii="Arial" w:hAnsi="Arial" w:cs="Arial"/>
          <w:b/>
        </w:rPr>
        <w:t xml:space="preserve"> </w:t>
      </w:r>
      <w:r w:rsidR="00410E7B">
        <w:rPr>
          <w:rFonts w:ascii="Arial" w:hAnsi="Arial" w:cs="Arial"/>
          <w:b/>
        </w:rPr>
        <w:t>1</w:t>
      </w:r>
      <w:r>
        <w:rPr>
          <w:rFonts w:ascii="Arial" w:hAnsi="Arial" w:cs="Arial"/>
          <w:b/>
        </w:rPr>
        <w:t>3</w:t>
      </w:r>
      <w:r w:rsidR="00410E7B" w:rsidRPr="00CE4C51">
        <w:rPr>
          <w:rFonts w:ascii="Arial" w:hAnsi="Arial" w:cs="Arial"/>
          <w:b/>
        </w:rPr>
        <w:t xml:space="preserve"> </w:t>
      </w:r>
      <w:r w:rsidR="00410E7B" w:rsidRPr="00CE4C51">
        <w:rPr>
          <w:rFonts w:ascii="Arial" w:hAnsi="Arial" w:cs="Arial"/>
          <w:b/>
          <w:bCs/>
        </w:rPr>
        <w:t xml:space="preserve">– </w:t>
      </w:r>
      <w:r>
        <w:rPr>
          <w:rFonts w:ascii="Arial" w:hAnsi="Arial" w:cs="Arial"/>
          <w:b/>
        </w:rPr>
        <w:t>17</w:t>
      </w:r>
      <w:r w:rsidR="00410E7B" w:rsidRPr="00CE4C51">
        <w:rPr>
          <w:rFonts w:ascii="Arial" w:hAnsi="Arial" w:cs="Arial"/>
          <w:b/>
          <w:bCs/>
        </w:rPr>
        <w:t>, 202</w:t>
      </w:r>
      <w:r w:rsidR="00410E7B">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758D3C55"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DE02F9">
        <w:rPr>
          <w:rFonts w:ascii="Arial" w:eastAsiaTheme="minorEastAsia" w:hAnsi="Arial" w:cs="Arial"/>
          <w:color w:val="000000"/>
          <w:sz w:val="22"/>
        </w:rPr>
        <w:t>4</w:t>
      </w:r>
      <w:r w:rsidR="0019209A">
        <w:rPr>
          <w:rFonts w:ascii="Arial" w:eastAsiaTheme="minorEastAsia" w:hAnsi="Arial" w:cs="Arial"/>
          <w:color w:val="000000"/>
          <w:sz w:val="22"/>
        </w:rPr>
        <w:t>.</w:t>
      </w:r>
      <w:r w:rsidR="00DE02F9">
        <w:rPr>
          <w:rFonts w:ascii="Arial" w:eastAsiaTheme="minorEastAsia" w:hAnsi="Arial" w:cs="Arial"/>
          <w:color w:val="000000"/>
          <w:sz w:val="22"/>
        </w:rPr>
        <w:t>11</w:t>
      </w:r>
      <w:r w:rsidR="0019209A">
        <w:rPr>
          <w:rFonts w:ascii="Arial" w:eastAsiaTheme="minorEastAsia" w:hAnsi="Arial" w:cs="Arial"/>
          <w:color w:val="000000"/>
          <w:sz w:val="22"/>
        </w:rPr>
        <w:t>.</w:t>
      </w:r>
      <w:r w:rsidR="00DE02F9">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5D859103"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76F57">
        <w:rPr>
          <w:rFonts w:ascii="Arial" w:eastAsia="MS Mincho" w:hAnsi="Arial" w:cs="Arial"/>
          <w:sz w:val="22"/>
        </w:rPr>
        <w:t>O</w:t>
      </w:r>
      <w:r w:rsidR="000A69A1">
        <w:rPr>
          <w:rFonts w:ascii="Arial" w:eastAsia="MS Mincho" w:hAnsi="Arial" w:cs="Arial"/>
          <w:sz w:val="22"/>
        </w:rPr>
        <w:t>n</w:t>
      </w:r>
      <w:r w:rsidR="00871689">
        <w:rPr>
          <w:rFonts w:ascii="Arial" w:eastAsia="MS Mincho" w:hAnsi="Arial" w:cs="Arial"/>
          <w:sz w:val="22"/>
        </w:rPr>
        <w:t xml:space="preserve"> </w:t>
      </w:r>
      <w:r w:rsidR="00176F57">
        <w:rPr>
          <w:rFonts w:ascii="Arial" w:eastAsia="MS Mincho" w:hAnsi="Arial" w:cs="Arial"/>
          <w:sz w:val="22"/>
        </w:rPr>
        <w:t>power class requirements applicability and DPC reporting for NR-NTN</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5513404E" w14:textId="77777777" w:rsidR="00EF498E" w:rsidRDefault="000A69A1" w:rsidP="00EC77FC">
      <w:pPr>
        <w:spacing w:after="120"/>
        <w:jc w:val="both"/>
        <w:rPr>
          <w:sz w:val="21"/>
          <w:szCs w:val="21"/>
        </w:rPr>
      </w:pPr>
      <w:r>
        <w:rPr>
          <w:sz w:val="21"/>
          <w:szCs w:val="21"/>
        </w:rPr>
        <w:t>In RAN</w:t>
      </w:r>
      <w:r w:rsidR="00DE02F9">
        <w:rPr>
          <w:sz w:val="21"/>
          <w:szCs w:val="21"/>
        </w:rPr>
        <w:t>4</w:t>
      </w:r>
      <w:r>
        <w:rPr>
          <w:sz w:val="21"/>
          <w:szCs w:val="21"/>
        </w:rPr>
        <w:t>#1</w:t>
      </w:r>
      <w:r w:rsidR="00DE02F9">
        <w:rPr>
          <w:sz w:val="21"/>
          <w:szCs w:val="21"/>
        </w:rPr>
        <w:t>16</w:t>
      </w:r>
      <w:r>
        <w:rPr>
          <w:sz w:val="21"/>
          <w:szCs w:val="21"/>
        </w:rPr>
        <w:t xml:space="preserve">, </w:t>
      </w:r>
      <w:r w:rsidR="00DE02F9">
        <w:rPr>
          <w:sz w:val="21"/>
          <w:szCs w:val="21"/>
        </w:rPr>
        <w:t xml:space="preserve">the core part of </w:t>
      </w:r>
      <w:r w:rsidR="00DE02F9" w:rsidRPr="00DE02F9">
        <w:rPr>
          <w:sz w:val="21"/>
          <w:szCs w:val="21"/>
        </w:rPr>
        <w:t>“Enhanced requirements and conductive test methodology for NR NTN and IoT NTN” WI</w:t>
      </w:r>
      <w:r w:rsidR="00DE02F9">
        <w:rPr>
          <w:sz w:val="21"/>
          <w:szCs w:val="21"/>
        </w:rPr>
        <w:t xml:space="preserve"> [1] has been completed, including the part on specification of </w:t>
      </w:r>
      <w:r w:rsidR="00DE02F9" w:rsidRPr="00DE02F9">
        <w:rPr>
          <w:sz w:val="21"/>
          <w:szCs w:val="21"/>
        </w:rPr>
        <w:t xml:space="preserve">High power UE (HPUE) requirements for NR-NTN </w:t>
      </w:r>
      <w:r w:rsidR="00DE02F9">
        <w:rPr>
          <w:sz w:val="21"/>
          <w:szCs w:val="21"/>
        </w:rPr>
        <w:t xml:space="preserve">and IoT-NTN. </w:t>
      </w:r>
    </w:p>
    <w:p w14:paraId="0F88A0B0" w14:textId="520BC2C2" w:rsidR="004638B9" w:rsidRDefault="00E55B00" w:rsidP="00EC77FC">
      <w:pPr>
        <w:spacing w:after="120"/>
        <w:jc w:val="both"/>
        <w:rPr>
          <w:sz w:val="21"/>
          <w:szCs w:val="21"/>
        </w:rPr>
      </w:pPr>
      <w:r>
        <w:rPr>
          <w:sz w:val="21"/>
          <w:szCs w:val="21"/>
        </w:rPr>
        <w:t>As a result of the WI, PC2 and PC1 were introduced for example bands n256 and n255</w:t>
      </w:r>
      <w:r w:rsidR="008526D0">
        <w:rPr>
          <w:sz w:val="21"/>
          <w:szCs w:val="21"/>
        </w:rPr>
        <w:t xml:space="preserve"> for NR-NTN</w:t>
      </w:r>
      <w:r>
        <w:rPr>
          <w:sz w:val="21"/>
          <w:szCs w:val="21"/>
        </w:rPr>
        <w:t>.</w:t>
      </w:r>
      <w:r w:rsidR="00EF498E">
        <w:rPr>
          <w:sz w:val="21"/>
          <w:szCs w:val="21"/>
        </w:rPr>
        <w:t xml:space="preserve"> However, there is a missing part in TS38.101-5 specifications regarding the applicability of power class requirements in scenarios including the uplink duty cycle exceedance, the network indicating P-max of lower</w:t>
      </w:r>
      <w:r w:rsidR="00C67F10">
        <w:rPr>
          <w:sz w:val="21"/>
          <w:szCs w:val="21"/>
        </w:rPr>
        <w:t xml:space="preserve"> than the supported power class</w:t>
      </w:r>
      <w:r w:rsidR="00EF498E">
        <w:rPr>
          <w:sz w:val="21"/>
          <w:szCs w:val="21"/>
        </w:rPr>
        <w:t xml:space="preserve"> etc.</w:t>
      </w:r>
      <w:r w:rsidR="00C67F10">
        <w:rPr>
          <w:sz w:val="21"/>
          <w:szCs w:val="21"/>
        </w:rPr>
        <w:t>,</w:t>
      </w:r>
      <w:r w:rsidR="008526D0">
        <w:rPr>
          <w:sz w:val="21"/>
          <w:szCs w:val="21"/>
        </w:rPr>
        <w:t xml:space="preserve"> where even if a UE indicates the support for a high power class it shall apply all the requirements for a lower power class.</w:t>
      </w:r>
      <w:r w:rsidR="00EF498E">
        <w:rPr>
          <w:sz w:val="21"/>
          <w:szCs w:val="21"/>
        </w:rPr>
        <w:t xml:space="preserve"> We provide more details about it in the followin</w:t>
      </w:r>
      <w:r w:rsidR="008526D0">
        <w:rPr>
          <w:sz w:val="21"/>
          <w:szCs w:val="21"/>
        </w:rPr>
        <w:t xml:space="preserve">g clause as well as </w:t>
      </w:r>
      <w:r w:rsidR="00F21387">
        <w:rPr>
          <w:sz w:val="21"/>
          <w:szCs w:val="21"/>
        </w:rPr>
        <w:t xml:space="preserve">propose </w:t>
      </w:r>
      <w:r w:rsidR="008526D0">
        <w:rPr>
          <w:sz w:val="21"/>
          <w:szCs w:val="21"/>
        </w:rPr>
        <w:t xml:space="preserve">a </w:t>
      </w:r>
      <w:proofErr w:type="spellStart"/>
      <w:r w:rsidR="008526D0">
        <w:rPr>
          <w:sz w:val="21"/>
          <w:szCs w:val="21"/>
        </w:rPr>
        <w:t>draftCR</w:t>
      </w:r>
      <w:proofErr w:type="spellEnd"/>
      <w:r w:rsidR="008526D0">
        <w:rPr>
          <w:sz w:val="21"/>
          <w:szCs w:val="21"/>
        </w:rPr>
        <w:t xml:space="preserve"> </w:t>
      </w:r>
      <w:r w:rsidR="00F21387">
        <w:rPr>
          <w:sz w:val="21"/>
          <w:szCs w:val="21"/>
        </w:rPr>
        <w:t xml:space="preserve">to TS38.101-5 </w:t>
      </w:r>
      <w:r w:rsidR="008526D0">
        <w:rPr>
          <w:sz w:val="21"/>
          <w:szCs w:val="21"/>
        </w:rPr>
        <w:t>in [2].</w:t>
      </w:r>
    </w:p>
    <w:p w14:paraId="23304E4F" w14:textId="621C1A5C" w:rsidR="009F555C" w:rsidRDefault="00EF498E" w:rsidP="00EC77FC">
      <w:pPr>
        <w:spacing w:after="120"/>
        <w:jc w:val="both"/>
        <w:rPr>
          <w:sz w:val="21"/>
          <w:szCs w:val="21"/>
        </w:rPr>
      </w:pPr>
      <w:r>
        <w:rPr>
          <w:sz w:val="21"/>
          <w:szCs w:val="21"/>
        </w:rPr>
        <w:t>On the other hand, i</w:t>
      </w:r>
      <w:r w:rsidR="00DE02F9">
        <w:rPr>
          <w:sz w:val="21"/>
          <w:szCs w:val="21"/>
        </w:rPr>
        <w:t xml:space="preserve">n </w:t>
      </w:r>
      <w:r w:rsidR="008526D0">
        <w:rPr>
          <w:sz w:val="21"/>
          <w:szCs w:val="21"/>
        </w:rPr>
        <w:t>RAN4#116</w:t>
      </w:r>
      <w:r w:rsidR="00DE02F9">
        <w:rPr>
          <w:sz w:val="21"/>
          <w:szCs w:val="21"/>
        </w:rPr>
        <w:t xml:space="preserve"> </w:t>
      </w:r>
      <w:r w:rsidR="009F555C">
        <w:rPr>
          <w:sz w:val="21"/>
          <w:szCs w:val="21"/>
        </w:rPr>
        <w:t xml:space="preserve">it was agreed that for </w:t>
      </w:r>
      <w:r w:rsidR="004638B9">
        <w:rPr>
          <w:sz w:val="21"/>
          <w:szCs w:val="21"/>
        </w:rPr>
        <w:t xml:space="preserve">the </w:t>
      </w:r>
      <w:r w:rsidR="009F555C">
        <w:rPr>
          <w:sz w:val="21"/>
          <w:szCs w:val="21"/>
        </w:rPr>
        <w:t>SAR related issue</w:t>
      </w:r>
      <w:r w:rsidR="008526D0">
        <w:rPr>
          <w:sz w:val="21"/>
          <w:szCs w:val="21"/>
        </w:rPr>
        <w:t>s</w:t>
      </w:r>
      <w:r w:rsidR="009F555C">
        <w:rPr>
          <w:sz w:val="21"/>
          <w:szCs w:val="21"/>
        </w:rPr>
        <w:t xml:space="preserve"> </w:t>
      </w:r>
      <w:r w:rsidR="004638B9">
        <w:rPr>
          <w:sz w:val="21"/>
          <w:szCs w:val="21"/>
        </w:rPr>
        <w:t xml:space="preserve">the </w:t>
      </w:r>
      <w:r w:rsidR="009F555C">
        <w:rPr>
          <w:sz w:val="21"/>
          <w:szCs w:val="21"/>
        </w:rPr>
        <w:t xml:space="preserve">NR solution should be reused, which was captured </w:t>
      </w:r>
      <w:r w:rsidR="00DE02F9">
        <w:rPr>
          <w:sz w:val="21"/>
          <w:szCs w:val="21"/>
        </w:rPr>
        <w:t>in the detailed minutes of HPUE IoT (</w:t>
      </w:r>
      <w:r w:rsidR="009F555C" w:rsidRPr="009F555C">
        <w:rPr>
          <w:sz w:val="21"/>
          <w:szCs w:val="21"/>
        </w:rPr>
        <w:t>NR_IoT_NTN_HPUE_part2</w:t>
      </w:r>
      <w:r w:rsidR="009F555C">
        <w:rPr>
          <w:sz w:val="21"/>
          <w:szCs w:val="21"/>
        </w:rPr>
        <w:t>)</w:t>
      </w:r>
      <w:r w:rsidR="00DE02F9">
        <w:rPr>
          <w:sz w:val="21"/>
          <w:szCs w:val="21"/>
        </w:rPr>
        <w:t xml:space="preserve"> online session</w:t>
      </w:r>
      <w:r w:rsidR="004638B9">
        <w:rPr>
          <w:sz w:val="21"/>
          <w:szCs w:val="21"/>
        </w:rPr>
        <w:t xml:space="preserve"> [</w:t>
      </w:r>
      <w:r w:rsidR="008526D0">
        <w:rPr>
          <w:sz w:val="21"/>
          <w:szCs w:val="21"/>
        </w:rPr>
        <w:t>3</w:t>
      </w:r>
      <w:r w:rsidR="004638B9">
        <w:rPr>
          <w:sz w:val="21"/>
          <w:szCs w:val="21"/>
        </w:rPr>
        <w:t>]</w:t>
      </w:r>
      <w:r w:rsidR="009F555C">
        <w:rPr>
          <w:sz w:val="21"/>
          <w:szCs w:val="21"/>
        </w:rPr>
        <w:t>:</w:t>
      </w:r>
    </w:p>
    <w:tbl>
      <w:tblPr>
        <w:tblStyle w:val="TableGrid"/>
        <w:tblW w:w="0" w:type="auto"/>
        <w:tblLook w:val="04A0" w:firstRow="1" w:lastRow="0" w:firstColumn="1" w:lastColumn="0" w:noHBand="0" w:noVBand="1"/>
      </w:tblPr>
      <w:tblGrid>
        <w:gridCol w:w="9631"/>
      </w:tblGrid>
      <w:tr w:rsidR="004638B9" w14:paraId="6E38CC7E" w14:textId="77777777" w:rsidTr="004638B9">
        <w:tc>
          <w:tcPr>
            <w:tcW w:w="9631" w:type="dxa"/>
          </w:tcPr>
          <w:p w14:paraId="7E0EAF29" w14:textId="77777777" w:rsidR="004638B9" w:rsidRPr="004638B9" w:rsidRDefault="004638B9" w:rsidP="004638B9">
            <w:pPr>
              <w:pStyle w:val="ListParagraph"/>
              <w:numPr>
                <w:ilvl w:val="0"/>
                <w:numId w:val="10"/>
              </w:numPr>
              <w:overflowPunct/>
              <w:autoSpaceDE/>
              <w:autoSpaceDN/>
              <w:adjustRightInd/>
              <w:spacing w:after="120"/>
              <w:ind w:left="720" w:firstLineChars="0"/>
              <w:textAlignment w:val="auto"/>
              <w:rPr>
                <w:rFonts w:eastAsia="SimSun"/>
                <w:color w:val="0070C0"/>
                <w:sz w:val="21"/>
                <w:szCs w:val="21"/>
              </w:rPr>
            </w:pPr>
            <w:r w:rsidRPr="004638B9">
              <w:rPr>
                <w:rFonts w:eastAsia="SimSun"/>
                <w:color w:val="0070C0"/>
                <w:sz w:val="21"/>
                <w:szCs w:val="21"/>
              </w:rPr>
              <w:t>Agreement:</w:t>
            </w:r>
          </w:p>
          <w:p w14:paraId="1462A511" w14:textId="77777777" w:rsidR="004638B9" w:rsidRPr="004638B9" w:rsidRDefault="004638B9" w:rsidP="004638B9">
            <w:pPr>
              <w:pStyle w:val="ListParagraph"/>
              <w:numPr>
                <w:ilvl w:val="1"/>
                <w:numId w:val="10"/>
              </w:numPr>
              <w:spacing w:after="120"/>
              <w:ind w:left="1656" w:firstLineChars="0"/>
              <w:rPr>
                <w:rFonts w:eastAsia="SimSun"/>
                <w:color w:val="0070C0"/>
                <w:sz w:val="21"/>
                <w:szCs w:val="21"/>
                <w:highlight w:val="green"/>
                <w:lang w:val="fr-FR"/>
              </w:rPr>
            </w:pPr>
            <w:r w:rsidRPr="004638B9">
              <w:rPr>
                <w:rFonts w:eastAsia="SimSun"/>
                <w:color w:val="0070C0"/>
                <w:sz w:val="21"/>
                <w:szCs w:val="21"/>
                <w:highlight w:val="green"/>
                <w:lang w:val="fr-FR"/>
              </w:rPr>
              <w:t>NR NTN:</w:t>
            </w:r>
            <w:r w:rsidRPr="004638B9">
              <w:rPr>
                <w:rFonts w:eastAsia="SimSun"/>
                <w:color w:val="0070C0"/>
                <w:sz w:val="21"/>
                <w:szCs w:val="21"/>
                <w:highlight w:val="green"/>
                <w:lang w:val="fr-FR"/>
              </w:rPr>
              <w:tab/>
            </w:r>
            <w:proofErr w:type="spellStart"/>
            <w:r w:rsidRPr="004638B9">
              <w:rPr>
                <w:rFonts w:eastAsia="SimSun"/>
                <w:color w:val="0070C0"/>
                <w:sz w:val="21"/>
                <w:szCs w:val="21"/>
                <w:highlight w:val="green"/>
                <w:lang w:val="fr-FR"/>
              </w:rPr>
              <w:t>reuse</w:t>
            </w:r>
            <w:proofErr w:type="spellEnd"/>
            <w:r w:rsidRPr="004638B9">
              <w:rPr>
                <w:rFonts w:eastAsia="SimSun"/>
                <w:color w:val="0070C0"/>
                <w:sz w:val="21"/>
                <w:szCs w:val="21"/>
                <w:highlight w:val="green"/>
                <w:lang w:val="fr-FR"/>
              </w:rPr>
              <w:t xml:space="preserve"> NR TN solution </w:t>
            </w:r>
          </w:p>
          <w:p w14:paraId="276349AE" w14:textId="77777777" w:rsidR="004638B9" w:rsidRPr="004638B9" w:rsidRDefault="004638B9" w:rsidP="004638B9">
            <w:pPr>
              <w:pStyle w:val="ListParagraph"/>
              <w:numPr>
                <w:ilvl w:val="1"/>
                <w:numId w:val="10"/>
              </w:numPr>
              <w:spacing w:after="120"/>
              <w:ind w:left="1656" w:firstLineChars="0"/>
              <w:rPr>
                <w:rFonts w:eastAsia="SimSun"/>
                <w:strike/>
                <w:color w:val="0070C0"/>
                <w:sz w:val="21"/>
                <w:szCs w:val="21"/>
              </w:rPr>
            </w:pPr>
            <w:r w:rsidRPr="004638B9">
              <w:rPr>
                <w:rFonts w:eastAsia="SimSun"/>
                <w:strike/>
                <w:color w:val="0070C0"/>
                <w:sz w:val="21"/>
                <w:szCs w:val="21"/>
              </w:rPr>
              <w:t xml:space="preserve">and explicitly preclude </w:t>
            </w:r>
            <w:proofErr w:type="spellStart"/>
            <w:r w:rsidRPr="004638B9">
              <w:rPr>
                <w:rFonts w:eastAsia="SimSun"/>
                <w:strike/>
                <w:color w:val="0070C0"/>
                <w:sz w:val="21"/>
                <w:szCs w:val="21"/>
              </w:rPr>
              <w:t>ΔP</w:t>
            </w:r>
            <w:r w:rsidRPr="004638B9">
              <w:rPr>
                <w:rFonts w:eastAsia="SimSun"/>
                <w:strike/>
                <w:color w:val="0070C0"/>
                <w:sz w:val="21"/>
                <w:szCs w:val="21"/>
                <w:vertAlign w:val="subscript"/>
              </w:rPr>
              <w:t>PowerClass</w:t>
            </w:r>
            <w:proofErr w:type="spellEnd"/>
            <w:r w:rsidRPr="004638B9">
              <w:rPr>
                <w:rFonts w:eastAsia="SimSun"/>
                <w:strike/>
                <w:color w:val="0070C0"/>
                <w:sz w:val="21"/>
                <w:szCs w:val="21"/>
              </w:rPr>
              <w:t xml:space="preserve"> in R19</w:t>
            </w:r>
          </w:p>
          <w:p w14:paraId="270E5D26" w14:textId="77777777" w:rsidR="004638B9" w:rsidRPr="004638B9" w:rsidRDefault="004638B9" w:rsidP="004638B9">
            <w:pPr>
              <w:pStyle w:val="ListParagraph"/>
              <w:numPr>
                <w:ilvl w:val="1"/>
                <w:numId w:val="10"/>
              </w:numPr>
              <w:spacing w:after="120"/>
              <w:ind w:left="1656" w:firstLineChars="0"/>
              <w:rPr>
                <w:rFonts w:eastAsia="SimSun"/>
                <w:color w:val="0070C0"/>
                <w:sz w:val="21"/>
                <w:szCs w:val="21"/>
              </w:rPr>
            </w:pPr>
            <w:proofErr w:type="spellStart"/>
            <w:r w:rsidRPr="004638B9">
              <w:rPr>
                <w:rFonts w:eastAsia="SimSun"/>
                <w:color w:val="0070C0"/>
                <w:sz w:val="21"/>
                <w:szCs w:val="21"/>
              </w:rPr>
              <w:t>eMTC</w:t>
            </w:r>
            <w:proofErr w:type="spellEnd"/>
            <w:r w:rsidRPr="004638B9">
              <w:rPr>
                <w:rFonts w:eastAsia="SimSun"/>
                <w:color w:val="0070C0"/>
                <w:sz w:val="21"/>
                <w:szCs w:val="21"/>
              </w:rPr>
              <w:t xml:space="preserve">-based </w:t>
            </w:r>
            <w:proofErr w:type="spellStart"/>
            <w:r w:rsidRPr="004638B9">
              <w:rPr>
                <w:rFonts w:eastAsia="SimSun"/>
                <w:color w:val="0070C0"/>
                <w:sz w:val="21"/>
                <w:szCs w:val="21"/>
              </w:rPr>
              <w:t>Iot</w:t>
            </w:r>
            <w:proofErr w:type="spellEnd"/>
            <w:r w:rsidRPr="004638B9">
              <w:rPr>
                <w:rFonts w:eastAsia="SimSun"/>
                <w:color w:val="0070C0"/>
                <w:sz w:val="21"/>
                <w:szCs w:val="21"/>
              </w:rPr>
              <w:t>-NTN:</w:t>
            </w:r>
            <w:r w:rsidRPr="004638B9">
              <w:rPr>
                <w:rFonts w:eastAsia="SimSun"/>
                <w:color w:val="0070C0"/>
                <w:sz w:val="21"/>
                <w:szCs w:val="21"/>
              </w:rPr>
              <w:tab/>
              <w:t>No duty cycle or other new scheme defined</w:t>
            </w:r>
          </w:p>
          <w:p w14:paraId="1FC89CEC" w14:textId="7684DA6F" w:rsidR="00D6221A" w:rsidRPr="00D6221A" w:rsidRDefault="004638B9" w:rsidP="00D6221A">
            <w:pPr>
              <w:pStyle w:val="ListParagraph"/>
              <w:numPr>
                <w:ilvl w:val="1"/>
                <w:numId w:val="10"/>
              </w:numPr>
              <w:spacing w:after="120"/>
              <w:ind w:left="1656" w:firstLineChars="0"/>
              <w:rPr>
                <w:rFonts w:eastAsia="SimSun"/>
                <w:color w:val="0070C0"/>
                <w:sz w:val="21"/>
                <w:szCs w:val="21"/>
              </w:rPr>
            </w:pPr>
            <w:r w:rsidRPr="004638B9">
              <w:rPr>
                <w:rFonts w:eastAsia="SimSun"/>
                <w:color w:val="0070C0"/>
                <w:sz w:val="21"/>
                <w:szCs w:val="21"/>
              </w:rPr>
              <w:t>NB-</w:t>
            </w:r>
            <w:proofErr w:type="spellStart"/>
            <w:r w:rsidRPr="004638B9">
              <w:rPr>
                <w:rFonts w:eastAsia="SimSun"/>
                <w:color w:val="0070C0"/>
                <w:sz w:val="21"/>
                <w:szCs w:val="21"/>
              </w:rPr>
              <w:t>Iot</w:t>
            </w:r>
            <w:proofErr w:type="spellEnd"/>
            <w:r w:rsidRPr="004638B9">
              <w:rPr>
                <w:rFonts w:eastAsia="SimSun"/>
                <w:color w:val="0070C0"/>
                <w:sz w:val="21"/>
                <w:szCs w:val="21"/>
              </w:rPr>
              <w:t xml:space="preserve"> based </w:t>
            </w:r>
            <w:proofErr w:type="spellStart"/>
            <w:r w:rsidRPr="004638B9">
              <w:rPr>
                <w:rFonts w:eastAsia="SimSun"/>
                <w:color w:val="0070C0"/>
                <w:sz w:val="21"/>
                <w:szCs w:val="21"/>
              </w:rPr>
              <w:t>Iot</w:t>
            </w:r>
            <w:proofErr w:type="spellEnd"/>
            <w:r w:rsidRPr="004638B9">
              <w:rPr>
                <w:rFonts w:eastAsia="SimSun"/>
                <w:color w:val="0070C0"/>
                <w:sz w:val="21"/>
                <w:szCs w:val="21"/>
              </w:rPr>
              <w:t>-NTN:</w:t>
            </w:r>
            <w:r w:rsidRPr="004638B9">
              <w:rPr>
                <w:rFonts w:eastAsia="SimSun"/>
                <w:color w:val="0070C0"/>
                <w:sz w:val="21"/>
                <w:szCs w:val="21"/>
              </w:rPr>
              <w:tab/>
              <w:t>No duty cycle or other new scheme defined</w:t>
            </w:r>
          </w:p>
        </w:tc>
      </w:tr>
    </w:tbl>
    <w:p w14:paraId="6435DC6F" w14:textId="77777777" w:rsidR="00D6221A" w:rsidRDefault="00D6221A" w:rsidP="00EC77FC">
      <w:pPr>
        <w:spacing w:after="120"/>
        <w:jc w:val="both"/>
        <w:rPr>
          <w:sz w:val="21"/>
          <w:szCs w:val="21"/>
        </w:rPr>
      </w:pPr>
    </w:p>
    <w:p w14:paraId="478DA368" w14:textId="71BF8075" w:rsidR="00CC51D9" w:rsidRDefault="00D6221A" w:rsidP="00EC77FC">
      <w:pPr>
        <w:spacing w:after="120"/>
        <w:jc w:val="both"/>
        <w:rPr>
          <w:sz w:val="21"/>
          <w:szCs w:val="21"/>
        </w:rPr>
      </w:pPr>
      <w:r>
        <w:rPr>
          <w:sz w:val="21"/>
          <w:szCs w:val="21"/>
        </w:rPr>
        <w:t xml:space="preserve">The agreement that NR NTN shall reuse the NR TN solution means that both P-MPR and the </w:t>
      </w:r>
      <w:r w:rsidR="00EC7A1B">
        <w:rPr>
          <w:sz w:val="21"/>
          <w:szCs w:val="21"/>
        </w:rPr>
        <w:t xml:space="preserve">maximum </w:t>
      </w:r>
      <w:r>
        <w:rPr>
          <w:sz w:val="21"/>
          <w:szCs w:val="21"/>
        </w:rPr>
        <w:t xml:space="preserve">uplink duty cycle reporting mechanisms shall be reused. </w:t>
      </w:r>
    </w:p>
    <w:p w14:paraId="2033FC9E" w14:textId="39EF6ECC" w:rsidR="004638B9" w:rsidRDefault="00D6221A" w:rsidP="00EC77FC">
      <w:pPr>
        <w:spacing w:after="120"/>
        <w:jc w:val="both"/>
        <w:rPr>
          <w:sz w:val="21"/>
          <w:szCs w:val="21"/>
        </w:rPr>
      </w:pPr>
      <w:r>
        <w:rPr>
          <w:sz w:val="21"/>
          <w:szCs w:val="21"/>
        </w:rPr>
        <w:t>The parameter in the configured maximum output power (P</w:t>
      </w:r>
      <w:r w:rsidR="00E55B00">
        <w:rPr>
          <w:sz w:val="21"/>
          <w:szCs w:val="21"/>
          <w:vertAlign w:val="subscript"/>
        </w:rPr>
        <w:t>CMAX</w:t>
      </w:r>
      <w:r>
        <w:rPr>
          <w:sz w:val="21"/>
          <w:szCs w:val="21"/>
        </w:rPr>
        <w:t>) equations which ensures the power class fallback and return to the supported power class</w:t>
      </w:r>
      <w:r w:rsidR="00CC51D9">
        <w:rPr>
          <w:sz w:val="21"/>
          <w:szCs w:val="21"/>
        </w:rPr>
        <w:t xml:space="preserve"> in case of the </w:t>
      </w:r>
      <w:r w:rsidR="00CC51D9" w:rsidRPr="00CC51D9">
        <w:rPr>
          <w:sz w:val="21"/>
          <w:szCs w:val="21"/>
        </w:rPr>
        <w:t>uplink duty cycle exceedance</w:t>
      </w:r>
      <w:r w:rsidR="00CC51D9">
        <w:rPr>
          <w:sz w:val="21"/>
          <w:szCs w:val="21"/>
        </w:rPr>
        <w:t>/non exceedance</w:t>
      </w:r>
      <w:r>
        <w:rPr>
          <w:sz w:val="21"/>
          <w:szCs w:val="21"/>
        </w:rPr>
        <w:t xml:space="preserve"> is the </w:t>
      </w:r>
      <w:proofErr w:type="spellStart"/>
      <w:r>
        <w:rPr>
          <w:sz w:val="21"/>
          <w:szCs w:val="21"/>
        </w:rPr>
        <w:t>ΔP</w:t>
      </w:r>
      <w:r w:rsidRPr="00D6221A">
        <w:rPr>
          <w:sz w:val="21"/>
          <w:szCs w:val="21"/>
          <w:vertAlign w:val="subscript"/>
        </w:rPr>
        <w:t>PowerClass</w:t>
      </w:r>
      <w:proofErr w:type="spellEnd"/>
      <w:r>
        <w:rPr>
          <w:sz w:val="21"/>
          <w:szCs w:val="21"/>
        </w:rPr>
        <w:t xml:space="preserve">. </w:t>
      </w:r>
      <w:r w:rsidR="00CC51D9">
        <w:rPr>
          <w:sz w:val="21"/>
          <w:szCs w:val="21"/>
        </w:rPr>
        <w:t xml:space="preserve">For TN, </w:t>
      </w:r>
      <w:r w:rsidR="00E55B00">
        <w:rPr>
          <w:rFonts w:eastAsia="SimSun"/>
          <w:sz w:val="21"/>
          <w:szCs w:val="21"/>
        </w:rPr>
        <w:t>i</w:t>
      </w:r>
      <w:r w:rsidR="00E55B00" w:rsidRPr="00BD77F2">
        <w:rPr>
          <w:rFonts w:eastAsia="SimSun"/>
          <w:sz w:val="21"/>
          <w:szCs w:val="21"/>
        </w:rPr>
        <w:t xml:space="preserve">n Rel-18, as part of “Enhancement of increasing UE power high limit for CA and DC” part of “Further NR coverage enhancements” WI, reporting of </w:t>
      </w:r>
      <w:proofErr w:type="spellStart"/>
      <w:r w:rsidR="00E55B00" w:rsidRPr="00BD77F2">
        <w:rPr>
          <w:rFonts w:eastAsia="SimSun"/>
          <w:sz w:val="21"/>
          <w:szCs w:val="21"/>
        </w:rPr>
        <w:t>ΔP</w:t>
      </w:r>
      <w:r w:rsidR="00E55B00" w:rsidRPr="00BD77F2">
        <w:rPr>
          <w:rFonts w:eastAsia="SimSun"/>
          <w:sz w:val="21"/>
          <w:szCs w:val="21"/>
          <w:vertAlign w:val="subscript"/>
        </w:rPr>
        <w:t>PowerClass</w:t>
      </w:r>
      <w:proofErr w:type="spellEnd"/>
      <w:r w:rsidR="00E55B00" w:rsidRPr="00BD77F2">
        <w:rPr>
          <w:rFonts w:eastAsia="SimSun"/>
          <w:sz w:val="21"/>
          <w:szCs w:val="21"/>
        </w:rPr>
        <w:t xml:space="preserve"> </w:t>
      </w:r>
      <w:r w:rsidR="00E55B00">
        <w:rPr>
          <w:rFonts w:eastAsia="SimSun"/>
          <w:sz w:val="21"/>
          <w:szCs w:val="21"/>
        </w:rPr>
        <w:t xml:space="preserve">(DPC) </w:t>
      </w:r>
      <w:r w:rsidR="00E55B00" w:rsidRPr="00BD77F2">
        <w:rPr>
          <w:rFonts w:eastAsia="SimSun"/>
          <w:sz w:val="21"/>
          <w:szCs w:val="21"/>
        </w:rPr>
        <w:t xml:space="preserve">was introduced </w:t>
      </w:r>
      <w:r w:rsidR="00E55B00" w:rsidRPr="0081016A">
        <w:rPr>
          <w:rFonts w:eastAsia="SimSun"/>
          <w:sz w:val="21"/>
          <w:szCs w:val="21"/>
        </w:rPr>
        <w:t>in the PHR</w:t>
      </w:r>
      <w:r w:rsidR="00E55B00">
        <w:rPr>
          <w:rFonts w:eastAsia="SimSun"/>
          <w:sz w:val="21"/>
          <w:szCs w:val="21"/>
        </w:rPr>
        <w:t xml:space="preserve"> (Power Headroom Report)</w:t>
      </w:r>
      <w:r w:rsidR="00E55B00" w:rsidRPr="0081016A">
        <w:rPr>
          <w:rFonts w:eastAsia="SimSun"/>
          <w:sz w:val="21"/>
          <w:szCs w:val="21"/>
        </w:rPr>
        <w:t xml:space="preserve"> for improving network scheduling by providing the network with the actual power-capability state of a UE. </w:t>
      </w:r>
    </w:p>
    <w:p w14:paraId="40B02611" w14:textId="10869CD5" w:rsidR="00EF498E" w:rsidRDefault="00EF498E" w:rsidP="00EC77FC">
      <w:pPr>
        <w:spacing w:after="120"/>
        <w:jc w:val="both"/>
        <w:rPr>
          <w:sz w:val="21"/>
          <w:szCs w:val="21"/>
        </w:rPr>
      </w:pPr>
      <w:r>
        <w:rPr>
          <w:sz w:val="21"/>
          <w:szCs w:val="21"/>
        </w:rPr>
        <w:t xml:space="preserve">The </w:t>
      </w:r>
      <w:r w:rsidR="008526D0">
        <w:rPr>
          <w:sz w:val="21"/>
          <w:szCs w:val="21"/>
        </w:rPr>
        <w:t xml:space="preserve">RAN4#116 </w:t>
      </w:r>
      <w:r>
        <w:rPr>
          <w:sz w:val="21"/>
          <w:szCs w:val="21"/>
        </w:rPr>
        <w:t xml:space="preserve">agreement above </w:t>
      </w:r>
      <w:r w:rsidR="008526D0">
        <w:rPr>
          <w:sz w:val="21"/>
          <w:szCs w:val="21"/>
        </w:rPr>
        <w:t xml:space="preserve">shall normally </w:t>
      </w:r>
      <w:r>
        <w:rPr>
          <w:sz w:val="21"/>
          <w:szCs w:val="21"/>
        </w:rPr>
        <w:t>allow for using the same optional</w:t>
      </w:r>
      <w:r w:rsidR="00F21387">
        <w:rPr>
          <w:sz w:val="21"/>
          <w:szCs w:val="21"/>
        </w:rPr>
        <w:t xml:space="preserve"> DPC</w:t>
      </w:r>
      <w:r>
        <w:rPr>
          <w:sz w:val="21"/>
          <w:szCs w:val="21"/>
        </w:rPr>
        <w:t xml:space="preserve"> reporting for NTN UEs as well, but the way the current TS38.101-5 </w:t>
      </w:r>
      <w:r w:rsidR="00176F57">
        <w:rPr>
          <w:sz w:val="21"/>
          <w:szCs w:val="21"/>
        </w:rPr>
        <w:t xml:space="preserve">[4] </w:t>
      </w:r>
      <w:r>
        <w:rPr>
          <w:sz w:val="21"/>
          <w:szCs w:val="21"/>
        </w:rPr>
        <w:t>and RAN2 specifications are written, that reporting is not available.</w:t>
      </w:r>
      <w:r w:rsidR="00F21387">
        <w:rPr>
          <w:sz w:val="21"/>
          <w:szCs w:val="21"/>
        </w:rPr>
        <w:t xml:space="preserve"> Also, the current descriptions of UE capabilities for the maximum uplink duty cycle reporting do not refer to TS38.101-5.</w:t>
      </w:r>
      <w:r>
        <w:rPr>
          <w:sz w:val="21"/>
          <w:szCs w:val="21"/>
        </w:rPr>
        <w:t xml:space="preserve"> </w:t>
      </w:r>
      <w:r w:rsidR="00176F57">
        <w:rPr>
          <w:sz w:val="21"/>
          <w:szCs w:val="21"/>
        </w:rPr>
        <w:t xml:space="preserve">In the following clause we provide more details about it and propose a </w:t>
      </w:r>
      <w:proofErr w:type="spellStart"/>
      <w:r w:rsidR="00176F57">
        <w:rPr>
          <w:sz w:val="21"/>
          <w:szCs w:val="21"/>
        </w:rPr>
        <w:t>draftLS</w:t>
      </w:r>
      <w:proofErr w:type="spellEnd"/>
      <w:r w:rsidR="00176F57">
        <w:rPr>
          <w:sz w:val="21"/>
          <w:szCs w:val="21"/>
        </w:rPr>
        <w:t xml:space="preserve"> to RAN2 in the Annex of this contribution.</w:t>
      </w:r>
    </w:p>
    <w:p w14:paraId="08DB6AB9" w14:textId="5036846F" w:rsidR="00BA321E" w:rsidRPr="00176F57" w:rsidRDefault="009A645F" w:rsidP="00176F57">
      <w:pPr>
        <w:pStyle w:val="Heading1"/>
        <w:jc w:val="both"/>
        <w:rPr>
          <w:rFonts w:cs="Arial"/>
          <w:lang w:val="en-US" w:eastAsia="ja-JP"/>
        </w:rPr>
      </w:pPr>
      <w:r w:rsidRPr="001C2D88">
        <w:rPr>
          <w:rFonts w:cs="Arial"/>
          <w:lang w:val="en-US" w:eastAsia="ja-JP"/>
        </w:rPr>
        <w:t>Discussion</w:t>
      </w:r>
    </w:p>
    <w:p w14:paraId="32CB4547" w14:textId="31130954" w:rsidR="00F9290B" w:rsidRPr="00D3671A" w:rsidRDefault="00176F57" w:rsidP="000E4A55">
      <w:pPr>
        <w:pStyle w:val="Heading2"/>
      </w:pPr>
      <w:r>
        <w:rPr>
          <w:lang w:eastAsia="ko-KR"/>
        </w:rPr>
        <w:t>Power class requirements applicability</w:t>
      </w:r>
      <w:r w:rsidR="00F9290B" w:rsidRPr="00D3671A">
        <w:rPr>
          <w:lang w:eastAsia="ko-KR"/>
        </w:rPr>
        <w:t xml:space="preserve"> </w:t>
      </w:r>
    </w:p>
    <w:p w14:paraId="10B56733" w14:textId="77777777" w:rsidR="00C67F10" w:rsidRDefault="000F0EDC" w:rsidP="00F9290B">
      <w:pPr>
        <w:spacing w:after="120"/>
        <w:rPr>
          <w:rFonts w:eastAsia="SimSun"/>
          <w:sz w:val="21"/>
          <w:szCs w:val="21"/>
        </w:rPr>
      </w:pPr>
      <w:r>
        <w:rPr>
          <w:rFonts w:eastAsia="SimSun"/>
          <w:sz w:val="21"/>
          <w:szCs w:val="21"/>
        </w:rPr>
        <w:t xml:space="preserve">In </w:t>
      </w:r>
      <w:r w:rsidR="00C67F10">
        <w:rPr>
          <w:rFonts w:eastAsia="SimSun"/>
          <w:sz w:val="21"/>
          <w:szCs w:val="21"/>
        </w:rPr>
        <w:t>TS38.101-1 [5], clause 6.2.1 (UE maximum output power), there is a following part on the applicability of the power class requirements:</w:t>
      </w:r>
    </w:p>
    <w:tbl>
      <w:tblPr>
        <w:tblStyle w:val="TableGrid"/>
        <w:tblW w:w="0" w:type="auto"/>
        <w:tblLook w:val="04A0" w:firstRow="1" w:lastRow="0" w:firstColumn="1" w:lastColumn="0" w:noHBand="0" w:noVBand="1"/>
      </w:tblPr>
      <w:tblGrid>
        <w:gridCol w:w="9631"/>
      </w:tblGrid>
      <w:tr w:rsidR="00C67F10" w14:paraId="7FD2F9A5" w14:textId="77777777" w:rsidTr="00C67F10">
        <w:tc>
          <w:tcPr>
            <w:tcW w:w="9631" w:type="dxa"/>
          </w:tcPr>
          <w:p w14:paraId="03B4929A"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lastRenderedPageBreak/>
              <w:t>If a UE supports a different power class than the default UE power class for the band and the supported power class enables the higher maximum output power than that of the default power class:</w:t>
            </w:r>
          </w:p>
          <w:p w14:paraId="4168CCED"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 xml:space="preserve">if the field of UE capability </w:t>
            </w:r>
            <w:r w:rsidRPr="00C67F10">
              <w:rPr>
                <w:rFonts w:eastAsia="SimSun"/>
                <w:i/>
                <w:sz w:val="21"/>
                <w:szCs w:val="21"/>
                <w:lang w:val="en-GB"/>
              </w:rPr>
              <w:t>maxUplinkDutyCycle-PC2-FR1</w:t>
            </w:r>
            <w:r w:rsidRPr="00C67F10">
              <w:rPr>
                <w:rFonts w:eastAsia="SimSun"/>
                <w:sz w:val="21"/>
                <w:szCs w:val="21"/>
                <w:lang w:val="en-GB"/>
              </w:rPr>
              <w:t xml:space="preserve"> is absent and the field of UE capability </w:t>
            </w:r>
            <w:r w:rsidRPr="00C67F10">
              <w:rPr>
                <w:rFonts w:eastAsia="SimSun"/>
                <w:i/>
                <w:iCs/>
                <w:sz w:val="21"/>
                <w:szCs w:val="21"/>
                <w:lang w:val="en-GB"/>
              </w:rPr>
              <w:t>maxUplinkDutyCycle-PC1dot5-MPE-FR1</w:t>
            </w:r>
            <w:r w:rsidRPr="00C67F10">
              <w:rPr>
                <w:rFonts w:eastAsia="SimSun"/>
                <w:sz w:val="21"/>
                <w:szCs w:val="21"/>
                <w:lang w:val="en-GB"/>
              </w:rPr>
              <w:t xml:space="preserve"> is absent and the percentage of uplink symbols transmitted in a certain evaluation period is larger than 50% (The exact evaluation period is no less than one radio frame); or</w:t>
            </w:r>
          </w:p>
          <w:p w14:paraId="6C8A75AA"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 xml:space="preserve">if the field of UE capability </w:t>
            </w:r>
            <w:r w:rsidRPr="00C67F10">
              <w:rPr>
                <w:rFonts w:eastAsia="SimSun"/>
                <w:i/>
                <w:sz w:val="21"/>
                <w:szCs w:val="21"/>
                <w:lang w:val="en-GB"/>
              </w:rPr>
              <w:t>maxUplinkDutyCycle-PC2-FR1</w:t>
            </w:r>
            <w:r w:rsidRPr="00C67F10">
              <w:rPr>
                <w:rFonts w:eastAsia="SimSun"/>
                <w:sz w:val="21"/>
                <w:szCs w:val="21"/>
                <w:lang w:val="en-GB"/>
              </w:rPr>
              <w:t xml:space="preserve"> is not absent and the percentage of uplink symbols transmitted in a certain evaluation period is larger than </w:t>
            </w:r>
            <w:r w:rsidRPr="00C67F10">
              <w:rPr>
                <w:rFonts w:eastAsia="SimSun"/>
                <w:i/>
                <w:sz w:val="21"/>
                <w:szCs w:val="21"/>
                <w:lang w:val="en-GB"/>
              </w:rPr>
              <w:t>maxUplinkDutyCycle-PC2-FR1</w:t>
            </w:r>
            <w:r w:rsidRPr="00C67F10">
              <w:rPr>
                <w:rFonts w:eastAsia="SimSun"/>
                <w:sz w:val="21"/>
                <w:szCs w:val="21"/>
                <w:lang w:val="en-GB"/>
              </w:rPr>
              <w:t xml:space="preserve"> as defined in TS 38.306 (The exact evaluation period is no less than one radio frame); or</w:t>
            </w:r>
          </w:p>
          <w:p w14:paraId="16D0E53C"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 xml:space="preserve">if the field of UE capability </w:t>
            </w:r>
            <w:r w:rsidRPr="00C67F10">
              <w:rPr>
                <w:rFonts w:eastAsia="SimSun"/>
                <w:i/>
                <w:iCs/>
                <w:sz w:val="21"/>
                <w:szCs w:val="21"/>
                <w:lang w:val="en-GB"/>
              </w:rPr>
              <w:t>maxUplinkDutyCycle-PC1dot5-MPE-FR1</w:t>
            </w:r>
            <w:r w:rsidRPr="00C67F10">
              <w:rPr>
                <w:rFonts w:eastAsia="SimSun"/>
                <w:sz w:val="21"/>
                <w:szCs w:val="21"/>
                <w:lang w:val="en-GB"/>
              </w:rPr>
              <w:t xml:space="preserve"> is not absent and half the percentage of uplink symbols transmitted in a certain evaluation period is larger than </w:t>
            </w:r>
            <w:r w:rsidRPr="00C67F10">
              <w:rPr>
                <w:rFonts w:eastAsia="SimSun"/>
                <w:i/>
                <w:iCs/>
                <w:sz w:val="21"/>
                <w:szCs w:val="21"/>
                <w:lang w:val="en-GB"/>
              </w:rPr>
              <w:t>maxUplinkDutyCycle-PC1dot5-MPE-FR1</w:t>
            </w:r>
            <w:r w:rsidRPr="00C67F10">
              <w:rPr>
                <w:rFonts w:eastAsia="SimSun"/>
                <w:sz w:val="21"/>
                <w:szCs w:val="21"/>
                <w:lang w:val="en-GB"/>
              </w:rPr>
              <w:t xml:space="preserve"> as defined in TS 38.306 (The exact evaluation period is no less than one radio frame); or</w:t>
            </w:r>
          </w:p>
          <w:p w14:paraId="66F6E69E"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if the IE P-Max as defined in TS 38.331 [7] is provided and set to the maximum output power of the default power class or lower;</w:t>
            </w:r>
          </w:p>
          <w:p w14:paraId="28FA219A"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shall apply all requirements for the default power class to the supported power class and set the configured transmitted power as specified in clause 6.2.4;</w:t>
            </w:r>
          </w:p>
          <w:p w14:paraId="1EE7E17F"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else if the UE does not support a power class with higher maximum output power than PC2; or</w:t>
            </w:r>
          </w:p>
          <w:p w14:paraId="40C282BA"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 xml:space="preserve">if the field of UE capability </w:t>
            </w:r>
            <w:r w:rsidRPr="00C67F10">
              <w:rPr>
                <w:rFonts w:eastAsia="SimSun"/>
                <w:i/>
                <w:sz w:val="21"/>
                <w:szCs w:val="21"/>
                <w:lang w:val="en-GB"/>
              </w:rPr>
              <w:t>maxUplinkDutyCycle-PC2-FR1</w:t>
            </w:r>
            <w:r w:rsidRPr="00C67F10">
              <w:rPr>
                <w:rFonts w:eastAsia="SimSun"/>
                <w:sz w:val="21"/>
                <w:szCs w:val="21"/>
                <w:lang w:val="en-GB"/>
              </w:rPr>
              <w:t xml:space="preserve"> is absent and the field of UE capability </w:t>
            </w:r>
            <w:r w:rsidRPr="00C67F10">
              <w:rPr>
                <w:rFonts w:eastAsia="SimSun"/>
                <w:i/>
                <w:iCs/>
                <w:sz w:val="21"/>
                <w:szCs w:val="21"/>
                <w:lang w:val="en-GB"/>
              </w:rPr>
              <w:t>maxUplinkDutyCycle-PC1dot5-MPE-FR1</w:t>
            </w:r>
            <w:r w:rsidRPr="00C67F10">
              <w:rPr>
                <w:rFonts w:eastAsia="SimSun"/>
                <w:sz w:val="21"/>
                <w:szCs w:val="21"/>
                <w:lang w:val="en-GB"/>
              </w:rPr>
              <w:t xml:space="preserve"> is absent and the percentage of uplink symbols transmitted in a certain evaluation period is larger than 25% (The exact evaluation period is no less than one radio frame); or</w:t>
            </w:r>
          </w:p>
          <w:p w14:paraId="011DFF41"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 xml:space="preserve">if the field of UE capability </w:t>
            </w:r>
            <w:r w:rsidRPr="00C67F10">
              <w:rPr>
                <w:rFonts w:eastAsia="SimSun"/>
                <w:i/>
                <w:sz w:val="21"/>
                <w:szCs w:val="21"/>
                <w:lang w:val="en-GB"/>
              </w:rPr>
              <w:t>maxUplinkDutyCycle-PC2-FR1</w:t>
            </w:r>
            <w:r w:rsidRPr="00C67F10">
              <w:rPr>
                <w:rFonts w:eastAsia="SimSun"/>
                <w:sz w:val="21"/>
                <w:szCs w:val="21"/>
                <w:lang w:val="en-GB"/>
              </w:rPr>
              <w:t xml:space="preserve"> is not absent and the percentage of uplink symbols transmitted in a certain evaluation period is larger than </w:t>
            </w:r>
            <w:r w:rsidRPr="00C67F10">
              <w:rPr>
                <w:rFonts w:eastAsia="SimSun" w:hint="eastAsia"/>
                <w:sz w:val="21"/>
                <w:szCs w:val="21"/>
                <w:lang w:val="en-GB"/>
              </w:rPr>
              <w:t>0.5*</w:t>
            </w:r>
            <w:r w:rsidRPr="00C67F10">
              <w:rPr>
                <w:rFonts w:eastAsia="SimSun"/>
                <w:i/>
                <w:sz w:val="21"/>
                <w:szCs w:val="21"/>
                <w:lang w:val="en-GB"/>
              </w:rPr>
              <w:t>maxUplinkDutyCycle-PC2-FR1</w:t>
            </w:r>
            <w:r w:rsidRPr="00C67F10">
              <w:rPr>
                <w:rFonts w:eastAsia="SimSun" w:hint="eastAsia"/>
                <w:i/>
                <w:sz w:val="21"/>
                <w:szCs w:val="21"/>
                <w:lang w:val="en-GB"/>
              </w:rPr>
              <w:t xml:space="preserve"> </w:t>
            </w:r>
            <w:r w:rsidRPr="00C67F10">
              <w:rPr>
                <w:rFonts w:eastAsia="SimSun"/>
                <w:sz w:val="21"/>
                <w:szCs w:val="21"/>
                <w:lang w:val="en-GB"/>
              </w:rPr>
              <w:t>(The exact evaluation period is no less than one radio frame); or</w:t>
            </w:r>
          </w:p>
          <w:p w14:paraId="76D60061"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 xml:space="preserve">if the field of UE capability </w:t>
            </w:r>
            <w:r w:rsidRPr="00C67F10">
              <w:rPr>
                <w:rFonts w:eastAsia="SimSun"/>
                <w:i/>
                <w:iCs/>
                <w:sz w:val="21"/>
                <w:szCs w:val="21"/>
                <w:lang w:val="en-GB"/>
              </w:rPr>
              <w:t>maxUplinkDutyCycle-PC1dot5-MPE-FR1</w:t>
            </w:r>
            <w:r w:rsidRPr="00C67F10">
              <w:rPr>
                <w:rFonts w:eastAsia="SimSun"/>
                <w:sz w:val="21"/>
                <w:szCs w:val="21"/>
                <w:lang w:val="en-GB"/>
              </w:rPr>
              <w:t xml:space="preserve"> is not absent and the percentage of uplink symbols transmitted in a certain evaluation period is larger than </w:t>
            </w:r>
            <w:r w:rsidRPr="00C67F10">
              <w:rPr>
                <w:rFonts w:eastAsia="SimSun"/>
                <w:i/>
                <w:iCs/>
                <w:sz w:val="21"/>
                <w:szCs w:val="21"/>
                <w:lang w:val="en-GB"/>
              </w:rPr>
              <w:t>maxUplinkDutyCycle-PC1dot5-MPE-FR1</w:t>
            </w:r>
            <w:r w:rsidRPr="00C67F10">
              <w:rPr>
                <w:rFonts w:eastAsia="SimSun"/>
                <w:sz w:val="21"/>
                <w:szCs w:val="21"/>
                <w:lang w:val="en-GB"/>
              </w:rPr>
              <w:t xml:space="preserve"> as defined in TS 38.306 (The exact evaluation period is no less than one radio frame); or</w:t>
            </w:r>
          </w:p>
          <w:p w14:paraId="0AD98A0B"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if the IE P-Max as defined in TS 38.331 [7] is provided and set to the maximum output power of the power class 2 or lower;</w:t>
            </w:r>
          </w:p>
          <w:p w14:paraId="5691904D" w14:textId="77777777" w:rsidR="00C67F10" w:rsidRPr="00C67F10" w:rsidRDefault="00C67F10" w:rsidP="00C67F10">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shall apply all requirements for power class 2 to the supported power class and set the configured transmitted power as specified in clause 6.2.4;</w:t>
            </w:r>
          </w:p>
          <w:p w14:paraId="3E2DD862" w14:textId="1884FD04" w:rsidR="00C67F10" w:rsidRPr="00C67F10" w:rsidRDefault="00C67F10" w:rsidP="00F9290B">
            <w:pPr>
              <w:spacing w:after="120"/>
              <w:rPr>
                <w:rFonts w:eastAsia="SimSun"/>
                <w:sz w:val="21"/>
                <w:szCs w:val="21"/>
                <w:lang w:val="en-GB"/>
              </w:rPr>
            </w:pPr>
            <w:r w:rsidRPr="00C67F10">
              <w:rPr>
                <w:rFonts w:eastAsia="SimSun"/>
                <w:sz w:val="21"/>
                <w:szCs w:val="21"/>
                <w:lang w:val="en-GB"/>
              </w:rPr>
              <w:t>-</w:t>
            </w:r>
            <w:r w:rsidRPr="00C67F10">
              <w:rPr>
                <w:rFonts w:eastAsia="SimSun"/>
                <w:sz w:val="21"/>
                <w:szCs w:val="21"/>
                <w:lang w:val="en-GB"/>
              </w:rPr>
              <w:tab/>
              <w:t>else shall apply all requirements for the supported power class and set the configured transmitted power as specified in clause 6.2.4.</w:t>
            </w:r>
          </w:p>
        </w:tc>
      </w:tr>
    </w:tbl>
    <w:p w14:paraId="59A0DE8E" w14:textId="77777777" w:rsidR="00C67F10" w:rsidRDefault="00C67F10" w:rsidP="00F9290B">
      <w:pPr>
        <w:spacing w:after="120"/>
        <w:rPr>
          <w:rFonts w:eastAsia="SimSun"/>
          <w:sz w:val="21"/>
          <w:szCs w:val="21"/>
        </w:rPr>
      </w:pPr>
    </w:p>
    <w:p w14:paraId="4BCE81C8" w14:textId="347FD578" w:rsidR="00B40D22" w:rsidRDefault="00D3501C" w:rsidP="00F9290B">
      <w:pPr>
        <w:spacing w:after="120"/>
        <w:rPr>
          <w:rFonts w:eastAsia="SimSun"/>
          <w:sz w:val="21"/>
          <w:szCs w:val="21"/>
        </w:rPr>
      </w:pPr>
      <w:r>
        <w:rPr>
          <w:rFonts w:eastAsia="SimSun"/>
          <w:sz w:val="21"/>
          <w:szCs w:val="21"/>
        </w:rPr>
        <w:t xml:space="preserve">In TS38.101-5, this whole part is missing </w:t>
      </w:r>
      <w:r w:rsidR="00573BF7">
        <w:rPr>
          <w:rFonts w:eastAsia="SimSun"/>
          <w:sz w:val="21"/>
          <w:szCs w:val="21"/>
        </w:rPr>
        <w:t xml:space="preserve">in clause 6.2.1 </w:t>
      </w:r>
      <w:r>
        <w:rPr>
          <w:rFonts w:eastAsia="SimSun"/>
          <w:sz w:val="21"/>
          <w:szCs w:val="21"/>
        </w:rPr>
        <w:t>and there is not even a reference to</w:t>
      </w:r>
      <w:r w:rsidR="00573BF7">
        <w:rPr>
          <w:rFonts w:eastAsia="SimSun"/>
          <w:sz w:val="21"/>
          <w:szCs w:val="21"/>
        </w:rPr>
        <w:t xml:space="preserve"> TS38.101-1 in</w:t>
      </w:r>
      <w:r>
        <w:rPr>
          <w:rFonts w:eastAsia="SimSun"/>
          <w:sz w:val="21"/>
          <w:szCs w:val="21"/>
        </w:rPr>
        <w:t xml:space="preserve"> it. It </w:t>
      </w:r>
      <w:r w:rsidR="00573BF7">
        <w:rPr>
          <w:rFonts w:eastAsia="SimSun"/>
          <w:sz w:val="21"/>
          <w:szCs w:val="21"/>
        </w:rPr>
        <w:t>shall however be there as it clearly defines for which power class all the requirements shall be met, independently</w:t>
      </w:r>
      <w:r w:rsidR="00B40D22">
        <w:rPr>
          <w:rFonts w:eastAsia="SimSun"/>
          <w:sz w:val="21"/>
          <w:szCs w:val="21"/>
        </w:rPr>
        <w:t xml:space="preserve"> </w:t>
      </w:r>
      <w:r w:rsidR="00573BF7">
        <w:rPr>
          <w:rFonts w:eastAsia="SimSun"/>
          <w:sz w:val="21"/>
          <w:szCs w:val="21"/>
        </w:rPr>
        <w:t xml:space="preserve">of the </w:t>
      </w:r>
      <w:r w:rsidR="00EC7A1B">
        <w:rPr>
          <w:sz w:val="21"/>
          <w:szCs w:val="21"/>
        </w:rPr>
        <w:t xml:space="preserve">maximum </w:t>
      </w:r>
      <w:r w:rsidR="00573BF7">
        <w:rPr>
          <w:rFonts w:eastAsia="SimSun"/>
          <w:sz w:val="21"/>
          <w:szCs w:val="21"/>
        </w:rPr>
        <w:t>uplink duty cycle reporting support. For example</w:t>
      </w:r>
      <w:r w:rsidR="00B40D22">
        <w:rPr>
          <w:rFonts w:eastAsia="SimSun"/>
          <w:sz w:val="21"/>
          <w:szCs w:val="21"/>
        </w:rPr>
        <w:t xml:space="preserve">, if the network indicates IE p-Max to be 23 dBm, the UE indicating the support for e.g. PC1 shall meet all the requirements for the default power class (PC3). If there were no such text, the UE would have to meet all the requirements for PC1. The similar holds for the UE indicating the support for PC1 and not indicating any </w:t>
      </w:r>
      <w:r w:rsidR="00EC7A1B">
        <w:rPr>
          <w:rFonts w:eastAsia="SimSun"/>
          <w:sz w:val="21"/>
          <w:szCs w:val="21"/>
        </w:rPr>
        <w:t xml:space="preserve">maximum </w:t>
      </w:r>
      <w:r w:rsidR="00B40D22">
        <w:rPr>
          <w:rFonts w:eastAsia="SimSun"/>
          <w:sz w:val="21"/>
          <w:szCs w:val="21"/>
        </w:rPr>
        <w:t xml:space="preserve">uplink duty cycle reporting capability: if </w:t>
      </w:r>
      <w:r w:rsidR="00B40D22" w:rsidRPr="00B40D22">
        <w:rPr>
          <w:rFonts w:eastAsia="SimSun"/>
          <w:sz w:val="21"/>
          <w:szCs w:val="21"/>
        </w:rPr>
        <w:t>the percentage of uplink symbols transmitted in a certain evaluation period is larger than 50%</w:t>
      </w:r>
      <w:r w:rsidR="00B40D22">
        <w:rPr>
          <w:rFonts w:eastAsia="SimSun"/>
          <w:sz w:val="21"/>
          <w:szCs w:val="21"/>
        </w:rPr>
        <w:t xml:space="preserve">, the UE shall meet all the requirements for the default power class, not for PC1. </w:t>
      </w:r>
    </w:p>
    <w:p w14:paraId="2133BE5F" w14:textId="6E74CE24" w:rsidR="00B40D22" w:rsidRPr="006712D2" w:rsidRDefault="00B40D22" w:rsidP="00F9290B">
      <w:pPr>
        <w:spacing w:after="120"/>
        <w:rPr>
          <w:rFonts w:eastAsia="SimSun"/>
          <w:sz w:val="21"/>
          <w:szCs w:val="21"/>
        </w:rPr>
      </w:pPr>
      <w:r>
        <w:rPr>
          <w:rFonts w:eastAsia="SimSun"/>
          <w:sz w:val="21"/>
          <w:szCs w:val="21"/>
        </w:rPr>
        <w:t xml:space="preserve">Hence, without this change TS38.101-5 specifications would be incomplete. </w:t>
      </w:r>
      <w:r w:rsidR="00147B33">
        <w:rPr>
          <w:rFonts w:eastAsia="SimSun"/>
          <w:sz w:val="21"/>
          <w:szCs w:val="21"/>
        </w:rPr>
        <w:t xml:space="preserve">An accompanying </w:t>
      </w:r>
      <w:proofErr w:type="spellStart"/>
      <w:r w:rsidR="00147B33">
        <w:rPr>
          <w:rFonts w:eastAsia="SimSun"/>
          <w:sz w:val="21"/>
          <w:szCs w:val="21"/>
        </w:rPr>
        <w:t>draftCR</w:t>
      </w:r>
      <w:proofErr w:type="spellEnd"/>
      <w:r w:rsidR="00147B33">
        <w:rPr>
          <w:rFonts w:eastAsia="SimSun"/>
          <w:sz w:val="21"/>
          <w:szCs w:val="21"/>
        </w:rPr>
        <w:t xml:space="preserve"> which introduces these changes has been submitted to this meeting.</w:t>
      </w:r>
      <w:r w:rsidR="006712D2">
        <w:rPr>
          <w:rFonts w:eastAsia="SimSun"/>
          <w:sz w:val="21"/>
          <w:szCs w:val="21"/>
        </w:rPr>
        <w:t xml:space="preserve"> However, the difference for NR-NTN is that PC1.5 has not been specified. So, either a part of the text should be reused or the whole part should be referred to in clause 6.2.1 of TS38.101-5 with a remark that PC1.5 is not specified and thus the part on </w:t>
      </w:r>
      <w:r w:rsidR="006712D2" w:rsidRPr="006712D2">
        <w:rPr>
          <w:rFonts w:eastAsia="SimSun"/>
          <w:sz w:val="21"/>
          <w:szCs w:val="21"/>
        </w:rPr>
        <w:t xml:space="preserve">UE capability </w:t>
      </w:r>
      <w:r w:rsidR="006712D2" w:rsidRPr="006712D2">
        <w:rPr>
          <w:rFonts w:eastAsia="SimSun"/>
          <w:i/>
          <w:iCs/>
          <w:sz w:val="21"/>
          <w:szCs w:val="21"/>
        </w:rPr>
        <w:t>maxUplinkDutyCycle-PC1dot5-MPE-FR1</w:t>
      </w:r>
      <w:r w:rsidR="006712D2">
        <w:rPr>
          <w:rFonts w:eastAsia="SimSun"/>
          <w:sz w:val="21"/>
          <w:szCs w:val="21"/>
        </w:rPr>
        <w:t xml:space="preserve"> should be ignored.</w:t>
      </w:r>
    </w:p>
    <w:p w14:paraId="43C8D2D3" w14:textId="0A4576CC" w:rsidR="00440EAF" w:rsidRPr="00147B33" w:rsidRDefault="00B40D22" w:rsidP="00CA40FF">
      <w:pPr>
        <w:spacing w:after="120"/>
        <w:rPr>
          <w:rFonts w:eastAsia="SimSun"/>
          <w:b/>
          <w:bCs/>
          <w:sz w:val="21"/>
          <w:szCs w:val="21"/>
        </w:rPr>
      </w:pPr>
      <w:r w:rsidRPr="00147B33">
        <w:rPr>
          <w:rFonts w:eastAsia="SimSun"/>
          <w:b/>
          <w:bCs/>
          <w:sz w:val="21"/>
          <w:szCs w:val="21"/>
        </w:rPr>
        <w:t xml:space="preserve">Proposal 1: Introduce </w:t>
      </w:r>
      <w:r w:rsidR="006712D2">
        <w:rPr>
          <w:rFonts w:eastAsia="SimSun"/>
          <w:b/>
          <w:bCs/>
          <w:sz w:val="21"/>
          <w:szCs w:val="21"/>
        </w:rPr>
        <w:t>a similar</w:t>
      </w:r>
      <w:r w:rsidR="00147B33" w:rsidRPr="00147B33">
        <w:rPr>
          <w:rFonts w:eastAsia="SimSun"/>
          <w:b/>
          <w:bCs/>
          <w:sz w:val="21"/>
          <w:szCs w:val="21"/>
        </w:rPr>
        <w:t xml:space="preserve"> </w:t>
      </w:r>
      <w:r w:rsidRPr="00147B33">
        <w:rPr>
          <w:rFonts w:eastAsia="SimSun"/>
          <w:b/>
          <w:bCs/>
          <w:sz w:val="21"/>
          <w:szCs w:val="21"/>
        </w:rPr>
        <w:t xml:space="preserve">description of the power class </w:t>
      </w:r>
      <w:r w:rsidR="00147B33" w:rsidRPr="00147B33">
        <w:rPr>
          <w:rFonts w:eastAsia="SimSun"/>
          <w:b/>
          <w:bCs/>
          <w:sz w:val="21"/>
          <w:szCs w:val="21"/>
        </w:rPr>
        <w:t>requirements applicability to TS38.101-5 as in TS38.101-1 clause 6.2.1</w:t>
      </w:r>
      <w:r w:rsidR="006712D2">
        <w:rPr>
          <w:rFonts w:eastAsia="SimSun"/>
          <w:b/>
          <w:bCs/>
          <w:sz w:val="21"/>
          <w:szCs w:val="21"/>
        </w:rPr>
        <w:t>, the difference being that PC1.5 is not supported</w:t>
      </w:r>
      <w:r w:rsidR="003C560F">
        <w:rPr>
          <w:rFonts w:eastAsia="SimSun"/>
          <w:b/>
          <w:bCs/>
          <w:sz w:val="21"/>
          <w:szCs w:val="21"/>
        </w:rPr>
        <w:t>. E</w:t>
      </w:r>
      <w:r w:rsidR="00147B33" w:rsidRPr="00147B33">
        <w:rPr>
          <w:rFonts w:eastAsia="SimSun"/>
          <w:b/>
          <w:bCs/>
          <w:sz w:val="21"/>
          <w:szCs w:val="21"/>
        </w:rPr>
        <w:t xml:space="preserve">ndorse the accompanying </w:t>
      </w:r>
      <w:proofErr w:type="spellStart"/>
      <w:r w:rsidR="00147B33" w:rsidRPr="00147B33">
        <w:rPr>
          <w:rFonts w:eastAsia="SimSun"/>
          <w:b/>
          <w:bCs/>
          <w:sz w:val="21"/>
          <w:szCs w:val="21"/>
        </w:rPr>
        <w:t>draftCR</w:t>
      </w:r>
      <w:proofErr w:type="spellEnd"/>
      <w:r w:rsidR="00147B33" w:rsidRPr="00147B33">
        <w:rPr>
          <w:rFonts w:eastAsia="SimSun"/>
          <w:b/>
          <w:bCs/>
          <w:sz w:val="21"/>
          <w:szCs w:val="21"/>
        </w:rPr>
        <w:t>.</w:t>
      </w:r>
    </w:p>
    <w:p w14:paraId="2402B2C1" w14:textId="5DF3FB52" w:rsidR="007144A0" w:rsidRPr="007144A0" w:rsidRDefault="00E76942" w:rsidP="007144A0">
      <w:pPr>
        <w:pStyle w:val="Heading2"/>
        <w:rPr>
          <w:lang w:eastAsia="ko-KR"/>
        </w:rPr>
      </w:pPr>
      <w:r>
        <w:rPr>
          <w:lang w:eastAsia="ko-KR"/>
        </w:rPr>
        <w:lastRenderedPageBreak/>
        <w:t>Updating RAN2 specifications to enable Rel-18 DPC reporting for NR-NTN</w:t>
      </w:r>
    </w:p>
    <w:p w14:paraId="71487664" w14:textId="5B750CA3" w:rsidR="00430220" w:rsidRDefault="00440EAF" w:rsidP="00E76942">
      <w:pPr>
        <w:pStyle w:val="Proposal"/>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 xml:space="preserve">As </w:t>
      </w:r>
      <w:r w:rsidR="00E76942">
        <w:rPr>
          <w:rFonts w:ascii="Times New Roman" w:hAnsi="Times New Roman" w:cs="Times New Roman"/>
          <w:b w:val="0"/>
          <w:bCs w:val="0"/>
          <w:sz w:val="21"/>
          <w:szCs w:val="24"/>
          <w:lang w:val="sv-SE"/>
        </w:rPr>
        <w:t>explained</w:t>
      </w:r>
      <w:r>
        <w:rPr>
          <w:rFonts w:ascii="Times New Roman" w:hAnsi="Times New Roman" w:cs="Times New Roman"/>
          <w:b w:val="0"/>
          <w:bCs w:val="0"/>
          <w:sz w:val="21"/>
          <w:szCs w:val="24"/>
          <w:lang w:val="sv-SE"/>
        </w:rPr>
        <w:t xml:space="preserve"> in the </w:t>
      </w:r>
      <w:r w:rsidR="00E76942">
        <w:rPr>
          <w:rFonts w:ascii="Times New Roman" w:hAnsi="Times New Roman" w:cs="Times New Roman"/>
          <w:b w:val="0"/>
          <w:bCs w:val="0"/>
          <w:sz w:val="21"/>
          <w:szCs w:val="24"/>
          <w:lang w:val="sv-SE"/>
        </w:rPr>
        <w:t xml:space="preserve">introduction, in RAN4#116 it was agreed that NR NTN shall reuse NR TN solution for providing provisions to facilitate SAR compliance, which includes both P-MPR and the optional </w:t>
      </w:r>
      <w:r w:rsidR="00EC7A1B">
        <w:rPr>
          <w:rFonts w:ascii="Times New Roman" w:hAnsi="Times New Roman" w:cs="Times New Roman"/>
          <w:b w:val="0"/>
          <w:bCs w:val="0"/>
          <w:sz w:val="21"/>
          <w:szCs w:val="24"/>
          <w:lang w:val="sv-SE"/>
        </w:rPr>
        <w:t xml:space="preserve">maximum </w:t>
      </w:r>
      <w:r w:rsidR="00E76942">
        <w:rPr>
          <w:rFonts w:ascii="Times New Roman" w:hAnsi="Times New Roman" w:cs="Times New Roman"/>
          <w:b w:val="0"/>
          <w:bCs w:val="0"/>
          <w:sz w:val="21"/>
          <w:szCs w:val="24"/>
          <w:lang w:val="sv-SE"/>
        </w:rPr>
        <w:t>uplink duty cycle reporting</w:t>
      </w:r>
      <w:r w:rsidR="00430220">
        <w:rPr>
          <w:rFonts w:ascii="Times New Roman" w:hAnsi="Times New Roman" w:cs="Times New Roman"/>
          <w:b w:val="0"/>
          <w:bCs w:val="0"/>
          <w:sz w:val="21"/>
          <w:szCs w:val="24"/>
          <w:lang w:val="sv-SE"/>
        </w:rPr>
        <w:t xml:space="preserve">. </w:t>
      </w:r>
    </w:p>
    <w:p w14:paraId="6FA926DF" w14:textId="1ABEFD51" w:rsidR="004D4D43" w:rsidRDefault="00E76942" w:rsidP="005A12F2">
      <w:pPr>
        <w:pStyle w:val="Proposal"/>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 xml:space="preserve">In Rel-18, </w:t>
      </w:r>
      <w:r w:rsidRPr="00E76942">
        <w:rPr>
          <w:rFonts w:ascii="Times New Roman" w:hAnsi="Times New Roman" w:cs="Times New Roman"/>
          <w:b w:val="0"/>
          <w:bCs w:val="0"/>
          <w:sz w:val="21"/>
          <w:szCs w:val="24"/>
          <w:lang w:val="sv-SE"/>
        </w:rPr>
        <w:t>ΔP</w:t>
      </w:r>
      <w:r w:rsidRPr="00E76942">
        <w:rPr>
          <w:rFonts w:ascii="Times New Roman" w:hAnsi="Times New Roman" w:cs="Times New Roman"/>
          <w:b w:val="0"/>
          <w:bCs w:val="0"/>
          <w:sz w:val="21"/>
          <w:szCs w:val="24"/>
          <w:vertAlign w:val="subscript"/>
          <w:lang w:val="sv-SE"/>
        </w:rPr>
        <w:t>PowerClass</w:t>
      </w:r>
      <w:r w:rsidRPr="00E76942">
        <w:rPr>
          <w:rFonts w:ascii="Times New Roman" w:hAnsi="Times New Roman" w:cs="Times New Roman"/>
          <w:b w:val="0"/>
          <w:bCs w:val="0"/>
          <w:sz w:val="21"/>
          <w:szCs w:val="24"/>
          <w:lang w:val="sv-SE"/>
        </w:rPr>
        <w:t xml:space="preserve"> (DPC) reporting was introduced in the PHR for improving network scheduling by providing the network with the actual power-capability state of a UE</w:t>
      </w:r>
      <w:r>
        <w:rPr>
          <w:rFonts w:ascii="Times New Roman" w:hAnsi="Times New Roman" w:cs="Times New Roman"/>
          <w:b w:val="0"/>
          <w:bCs w:val="0"/>
          <w:sz w:val="21"/>
          <w:szCs w:val="24"/>
          <w:lang w:val="sv-SE"/>
        </w:rPr>
        <w:t xml:space="preserve">. </w:t>
      </w:r>
    </w:p>
    <w:p w14:paraId="69BC0FCD" w14:textId="3F7D9148" w:rsidR="00045F5F" w:rsidRDefault="00045F5F" w:rsidP="005A12F2">
      <w:pPr>
        <w:pStyle w:val="Proposal"/>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 xml:space="preserve">In RAN2, the support for it </w:t>
      </w:r>
      <w:r w:rsidR="0021448B">
        <w:rPr>
          <w:rFonts w:ascii="Times New Roman" w:hAnsi="Times New Roman" w:cs="Times New Roman"/>
          <w:b w:val="0"/>
          <w:bCs w:val="0"/>
          <w:sz w:val="21"/>
          <w:szCs w:val="24"/>
          <w:lang w:val="sv-SE"/>
        </w:rPr>
        <w:t>was introduced in different specifications:</w:t>
      </w:r>
    </w:p>
    <w:p w14:paraId="2F4C1315" w14:textId="1F4BF167" w:rsidR="0021448B" w:rsidRDefault="0021448B" w:rsidP="0021448B">
      <w:pPr>
        <w:pStyle w:val="Proposal"/>
        <w:numPr>
          <w:ilvl w:val="0"/>
          <w:numId w:val="30"/>
        </w:numPr>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 xml:space="preserve">An IE </w:t>
      </w:r>
      <w:r w:rsidRPr="0021448B">
        <w:rPr>
          <w:rFonts w:ascii="Times New Roman" w:hAnsi="Times New Roman" w:cs="Times New Roman"/>
          <w:b w:val="0"/>
          <w:bCs w:val="0"/>
          <w:i/>
          <w:iCs/>
          <w:sz w:val="21"/>
          <w:szCs w:val="24"/>
          <w:lang w:val="sv-SE"/>
        </w:rPr>
        <w:t>dpc-Reporting-FR1</w:t>
      </w:r>
      <w:r>
        <w:rPr>
          <w:rFonts w:ascii="Times New Roman" w:hAnsi="Times New Roman" w:cs="Times New Roman"/>
          <w:b w:val="0"/>
          <w:bCs w:val="0"/>
          <w:sz w:val="21"/>
          <w:szCs w:val="24"/>
          <w:lang w:val="sv-SE"/>
        </w:rPr>
        <w:t xml:space="preserve"> in RRC specification TS38.331:</w:t>
      </w:r>
    </w:p>
    <w:tbl>
      <w:tblPr>
        <w:tblStyle w:val="TableGrid"/>
        <w:tblW w:w="0" w:type="auto"/>
        <w:tblLook w:val="04A0" w:firstRow="1" w:lastRow="0" w:firstColumn="1" w:lastColumn="0" w:noHBand="0" w:noVBand="1"/>
      </w:tblPr>
      <w:tblGrid>
        <w:gridCol w:w="9631"/>
      </w:tblGrid>
      <w:tr w:rsidR="0021448B" w14:paraId="45390B5D" w14:textId="77777777" w:rsidTr="0021448B">
        <w:tc>
          <w:tcPr>
            <w:tcW w:w="9631" w:type="dxa"/>
          </w:tcPr>
          <w:p w14:paraId="61278C2A" w14:textId="6F95E660" w:rsidR="0021448B" w:rsidRDefault="0021448B" w:rsidP="005A12F2">
            <w:pPr>
              <w:pStyle w:val="Proposal"/>
              <w:rPr>
                <w:rFonts w:ascii="Times New Roman" w:hAnsi="Times New Roman" w:cs="Times New Roman"/>
                <w:b w:val="0"/>
                <w:bCs w:val="0"/>
                <w:sz w:val="21"/>
                <w:szCs w:val="24"/>
                <w:lang w:val="sv-SE"/>
              </w:rPr>
            </w:pPr>
            <w:r w:rsidRPr="0021448B">
              <w:rPr>
                <w:rFonts w:ascii="Times New Roman" w:hAnsi="Times New Roman" w:cs="Times New Roman"/>
                <w:b w:val="0"/>
                <w:bCs w:val="0"/>
                <w:noProof/>
                <w:sz w:val="21"/>
                <w:szCs w:val="24"/>
                <w:lang w:val="sv-SE"/>
              </w:rPr>
              <w:drawing>
                <wp:inline distT="0" distB="0" distL="0" distR="0" wp14:anchorId="64B3D700" wp14:editId="4D5A9EA0">
                  <wp:extent cx="5924550" cy="721442"/>
                  <wp:effectExtent l="0" t="0" r="0" b="2540"/>
                  <wp:docPr id="1198753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53142" name=""/>
                          <pic:cNvPicPr/>
                        </pic:nvPicPr>
                        <pic:blipFill>
                          <a:blip r:embed="rId12"/>
                          <a:stretch>
                            <a:fillRect/>
                          </a:stretch>
                        </pic:blipFill>
                        <pic:spPr>
                          <a:xfrm>
                            <a:off x="0" y="0"/>
                            <a:ext cx="5950388" cy="724588"/>
                          </a:xfrm>
                          <a:prstGeom prst="rect">
                            <a:avLst/>
                          </a:prstGeom>
                        </pic:spPr>
                      </pic:pic>
                    </a:graphicData>
                  </a:graphic>
                </wp:inline>
              </w:drawing>
            </w:r>
          </w:p>
        </w:tc>
      </w:tr>
    </w:tbl>
    <w:p w14:paraId="123824D4" w14:textId="7D503546" w:rsidR="0021448B" w:rsidRDefault="0021448B" w:rsidP="0021448B">
      <w:pPr>
        <w:pStyle w:val="Proposal"/>
        <w:numPr>
          <w:ilvl w:val="0"/>
          <w:numId w:val="30"/>
        </w:numPr>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 xml:space="preserve">A UE capability </w:t>
      </w:r>
      <w:r w:rsidRPr="0021448B">
        <w:rPr>
          <w:rFonts w:ascii="Times New Roman" w:hAnsi="Times New Roman" w:cs="Times New Roman"/>
          <w:b w:val="0"/>
          <w:bCs w:val="0"/>
          <w:i/>
          <w:iCs/>
          <w:sz w:val="21"/>
          <w:szCs w:val="24"/>
          <w:lang w:val="sv-SE"/>
        </w:rPr>
        <w:t>deltaPowerClassReporting-r18</w:t>
      </w:r>
      <w:r>
        <w:rPr>
          <w:rFonts w:ascii="Times New Roman" w:hAnsi="Times New Roman" w:cs="Times New Roman"/>
          <w:b w:val="0"/>
          <w:bCs w:val="0"/>
          <w:sz w:val="21"/>
          <w:szCs w:val="24"/>
          <w:lang w:val="sv-SE"/>
        </w:rPr>
        <w:t xml:space="preserve"> in TS38.306: </w:t>
      </w:r>
    </w:p>
    <w:tbl>
      <w:tblPr>
        <w:tblStyle w:val="TableGrid"/>
        <w:tblW w:w="0" w:type="auto"/>
        <w:tblLook w:val="04A0" w:firstRow="1" w:lastRow="0" w:firstColumn="1" w:lastColumn="0" w:noHBand="0" w:noVBand="1"/>
      </w:tblPr>
      <w:tblGrid>
        <w:gridCol w:w="9631"/>
      </w:tblGrid>
      <w:tr w:rsidR="0021448B" w14:paraId="16250E70" w14:textId="77777777" w:rsidTr="0021448B">
        <w:tc>
          <w:tcPr>
            <w:tcW w:w="9631" w:type="dxa"/>
          </w:tcPr>
          <w:p w14:paraId="2ADA5CC0" w14:textId="5AE9B14F" w:rsidR="0021448B" w:rsidRDefault="0021448B" w:rsidP="005A12F2">
            <w:pPr>
              <w:pStyle w:val="Proposal"/>
              <w:rPr>
                <w:rFonts w:ascii="Times New Roman" w:hAnsi="Times New Roman" w:cs="Times New Roman"/>
                <w:b w:val="0"/>
                <w:bCs w:val="0"/>
                <w:sz w:val="21"/>
                <w:szCs w:val="24"/>
                <w:lang w:val="sv-SE"/>
              </w:rPr>
            </w:pPr>
            <w:r w:rsidRPr="0021448B">
              <w:rPr>
                <w:rFonts w:ascii="Times New Roman" w:hAnsi="Times New Roman" w:cs="Times New Roman"/>
                <w:b w:val="0"/>
                <w:bCs w:val="0"/>
                <w:noProof/>
                <w:sz w:val="21"/>
                <w:szCs w:val="24"/>
                <w:lang w:val="sv-SE"/>
              </w:rPr>
              <w:drawing>
                <wp:inline distT="0" distB="0" distL="0" distR="0" wp14:anchorId="52440448" wp14:editId="3F25B938">
                  <wp:extent cx="5962650" cy="1186222"/>
                  <wp:effectExtent l="0" t="0" r="0" b="0"/>
                  <wp:docPr id="1634138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138695" name=""/>
                          <pic:cNvPicPr/>
                        </pic:nvPicPr>
                        <pic:blipFill>
                          <a:blip r:embed="rId13"/>
                          <a:stretch>
                            <a:fillRect/>
                          </a:stretch>
                        </pic:blipFill>
                        <pic:spPr>
                          <a:xfrm>
                            <a:off x="0" y="0"/>
                            <a:ext cx="5970180" cy="1187720"/>
                          </a:xfrm>
                          <a:prstGeom prst="rect">
                            <a:avLst/>
                          </a:prstGeom>
                        </pic:spPr>
                      </pic:pic>
                    </a:graphicData>
                  </a:graphic>
                </wp:inline>
              </w:drawing>
            </w:r>
          </w:p>
        </w:tc>
      </w:tr>
    </w:tbl>
    <w:p w14:paraId="708424E8" w14:textId="77777777" w:rsidR="0021448B" w:rsidRDefault="0021448B" w:rsidP="005A12F2">
      <w:pPr>
        <w:pStyle w:val="Proposal"/>
        <w:rPr>
          <w:rFonts w:ascii="Times New Roman" w:hAnsi="Times New Roman" w:cs="Times New Roman"/>
          <w:b w:val="0"/>
          <w:bCs w:val="0"/>
          <w:sz w:val="21"/>
          <w:szCs w:val="24"/>
          <w:lang w:val="sv-SE"/>
        </w:rPr>
      </w:pPr>
    </w:p>
    <w:p w14:paraId="6D90680C" w14:textId="19BB505D" w:rsidR="0021448B" w:rsidRDefault="0021448B" w:rsidP="0021448B">
      <w:pPr>
        <w:pStyle w:val="Proposal"/>
        <w:numPr>
          <w:ilvl w:val="0"/>
          <w:numId w:val="30"/>
        </w:numPr>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 xml:space="preserve">DPC field in </w:t>
      </w:r>
      <w:r w:rsidRPr="0021448B">
        <w:rPr>
          <w:rFonts w:ascii="Times New Roman" w:hAnsi="Times New Roman" w:cs="Times New Roman"/>
          <w:b w:val="0"/>
          <w:bCs w:val="0"/>
          <w:sz w:val="21"/>
          <w:szCs w:val="24"/>
          <w:lang w:val="sv-SE"/>
        </w:rPr>
        <w:t>“</w:t>
      </w:r>
      <w:r>
        <w:rPr>
          <w:rFonts w:ascii="Times New Roman" w:hAnsi="Times New Roman" w:cs="Times New Roman"/>
          <w:b w:val="0"/>
          <w:bCs w:val="0"/>
          <w:sz w:val="21"/>
          <w:szCs w:val="24"/>
          <w:lang w:val="sv-SE"/>
        </w:rPr>
        <w:t>Single Entry PHR MAC CE” in MAC protocol specification TS38.321 (one of the changes):</w:t>
      </w:r>
    </w:p>
    <w:tbl>
      <w:tblPr>
        <w:tblStyle w:val="TableGrid"/>
        <w:tblW w:w="0" w:type="auto"/>
        <w:tblLook w:val="04A0" w:firstRow="1" w:lastRow="0" w:firstColumn="1" w:lastColumn="0" w:noHBand="0" w:noVBand="1"/>
      </w:tblPr>
      <w:tblGrid>
        <w:gridCol w:w="9631"/>
      </w:tblGrid>
      <w:tr w:rsidR="0021448B" w14:paraId="632A8573" w14:textId="77777777" w:rsidTr="0021448B">
        <w:tc>
          <w:tcPr>
            <w:tcW w:w="9631" w:type="dxa"/>
          </w:tcPr>
          <w:p w14:paraId="56D92342" w14:textId="0E283CAA" w:rsidR="0021448B" w:rsidRDefault="0021448B" w:rsidP="005A12F2">
            <w:pPr>
              <w:pStyle w:val="Proposal"/>
              <w:rPr>
                <w:rFonts w:ascii="Times New Roman" w:hAnsi="Times New Roman" w:cs="Times New Roman"/>
                <w:b w:val="0"/>
                <w:bCs w:val="0"/>
                <w:sz w:val="21"/>
                <w:szCs w:val="24"/>
                <w:lang w:val="sv-SE"/>
              </w:rPr>
            </w:pPr>
            <w:r w:rsidRPr="0021448B">
              <w:rPr>
                <w:rFonts w:ascii="Times New Roman" w:hAnsi="Times New Roman" w:cs="Times New Roman"/>
                <w:b w:val="0"/>
                <w:bCs w:val="0"/>
                <w:noProof/>
                <w:sz w:val="21"/>
                <w:szCs w:val="24"/>
                <w:lang w:val="sv-SE"/>
              </w:rPr>
              <w:drawing>
                <wp:inline distT="0" distB="0" distL="0" distR="0" wp14:anchorId="38AC1170" wp14:editId="35A2D029">
                  <wp:extent cx="5962650" cy="2300938"/>
                  <wp:effectExtent l="0" t="0" r="0" b="4445"/>
                  <wp:docPr id="37117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172099" name=""/>
                          <pic:cNvPicPr/>
                        </pic:nvPicPr>
                        <pic:blipFill>
                          <a:blip r:embed="rId14"/>
                          <a:stretch>
                            <a:fillRect/>
                          </a:stretch>
                        </pic:blipFill>
                        <pic:spPr>
                          <a:xfrm>
                            <a:off x="0" y="0"/>
                            <a:ext cx="5989387" cy="2311255"/>
                          </a:xfrm>
                          <a:prstGeom prst="rect">
                            <a:avLst/>
                          </a:prstGeom>
                        </pic:spPr>
                      </pic:pic>
                    </a:graphicData>
                  </a:graphic>
                </wp:inline>
              </w:drawing>
            </w:r>
          </w:p>
        </w:tc>
      </w:tr>
    </w:tbl>
    <w:p w14:paraId="3F546012" w14:textId="77777777" w:rsidR="003655B1" w:rsidRDefault="003655B1" w:rsidP="005A12F2">
      <w:pPr>
        <w:pStyle w:val="Proposal"/>
        <w:rPr>
          <w:rFonts w:ascii="Times New Roman" w:hAnsi="Times New Roman" w:cs="Times New Roman"/>
          <w:b w:val="0"/>
          <w:bCs w:val="0"/>
          <w:sz w:val="21"/>
          <w:szCs w:val="24"/>
          <w:lang w:val="sv-SE"/>
        </w:rPr>
      </w:pPr>
    </w:p>
    <w:p w14:paraId="667B09F4" w14:textId="3ED94DA4" w:rsidR="003655B1" w:rsidRDefault="003655B1" w:rsidP="003655B1">
      <w:pPr>
        <w:pStyle w:val="Proposal"/>
        <w:numPr>
          <w:ilvl w:val="0"/>
          <w:numId w:val="30"/>
        </w:numPr>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Triggering events for the Power Headroom Report (PHR) in TS38.321:</w:t>
      </w:r>
    </w:p>
    <w:tbl>
      <w:tblPr>
        <w:tblStyle w:val="TableGrid"/>
        <w:tblW w:w="0" w:type="auto"/>
        <w:tblLook w:val="04A0" w:firstRow="1" w:lastRow="0" w:firstColumn="1" w:lastColumn="0" w:noHBand="0" w:noVBand="1"/>
      </w:tblPr>
      <w:tblGrid>
        <w:gridCol w:w="9631"/>
      </w:tblGrid>
      <w:tr w:rsidR="003655B1" w14:paraId="7F20F7DE" w14:textId="77777777" w:rsidTr="003655B1">
        <w:tc>
          <w:tcPr>
            <w:tcW w:w="9631" w:type="dxa"/>
          </w:tcPr>
          <w:p w14:paraId="0B9C1D69" w14:textId="010ED075" w:rsidR="003655B1" w:rsidRDefault="003655B1" w:rsidP="003655B1">
            <w:pPr>
              <w:pStyle w:val="Proposal"/>
              <w:rPr>
                <w:rFonts w:ascii="Times New Roman" w:hAnsi="Times New Roman" w:cs="Times New Roman"/>
                <w:b w:val="0"/>
                <w:bCs w:val="0"/>
                <w:sz w:val="21"/>
                <w:szCs w:val="24"/>
                <w:lang w:val="sv-SE"/>
              </w:rPr>
            </w:pPr>
            <w:r w:rsidRPr="003655B1">
              <w:rPr>
                <w:rFonts w:ascii="Times New Roman" w:hAnsi="Times New Roman" w:cs="Times New Roman"/>
                <w:b w:val="0"/>
                <w:bCs w:val="0"/>
                <w:noProof/>
                <w:sz w:val="21"/>
                <w:szCs w:val="24"/>
                <w:lang w:val="sv-SE"/>
              </w:rPr>
              <w:drawing>
                <wp:inline distT="0" distB="0" distL="0" distR="0" wp14:anchorId="305FD951" wp14:editId="6820D6D6">
                  <wp:extent cx="5969307" cy="520727"/>
                  <wp:effectExtent l="0" t="0" r="0" b="0"/>
                  <wp:docPr id="984318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18775" name=""/>
                          <pic:cNvPicPr/>
                        </pic:nvPicPr>
                        <pic:blipFill>
                          <a:blip r:embed="rId15"/>
                          <a:stretch>
                            <a:fillRect/>
                          </a:stretch>
                        </pic:blipFill>
                        <pic:spPr>
                          <a:xfrm>
                            <a:off x="0" y="0"/>
                            <a:ext cx="5969307" cy="520727"/>
                          </a:xfrm>
                          <a:prstGeom prst="rect">
                            <a:avLst/>
                          </a:prstGeom>
                        </pic:spPr>
                      </pic:pic>
                    </a:graphicData>
                  </a:graphic>
                </wp:inline>
              </w:drawing>
            </w:r>
          </w:p>
        </w:tc>
      </w:tr>
    </w:tbl>
    <w:p w14:paraId="02235366" w14:textId="77777777" w:rsidR="003655B1" w:rsidRDefault="003655B1" w:rsidP="003655B1">
      <w:pPr>
        <w:pStyle w:val="Proposal"/>
        <w:rPr>
          <w:rFonts w:ascii="Times New Roman" w:hAnsi="Times New Roman" w:cs="Times New Roman"/>
          <w:b w:val="0"/>
          <w:bCs w:val="0"/>
          <w:sz w:val="21"/>
          <w:szCs w:val="24"/>
          <w:lang w:val="sv-SE"/>
        </w:rPr>
      </w:pPr>
    </w:p>
    <w:p w14:paraId="31FD2B44" w14:textId="5B28FA08" w:rsidR="0021448B" w:rsidRDefault="0021448B" w:rsidP="005A12F2">
      <w:pPr>
        <w:pStyle w:val="Proposal"/>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lastRenderedPageBreak/>
        <w:t xml:space="preserve">Based on the above, no changes would be needed in TS38.331 specification, but an update would probably be needed in TS38.306 and TS38.321 specifications, e.g. to include a reference to TS38.101-5 specification. That should </w:t>
      </w:r>
      <w:r w:rsidR="00912541">
        <w:rPr>
          <w:rFonts w:ascii="Times New Roman" w:hAnsi="Times New Roman" w:cs="Times New Roman"/>
          <w:b w:val="0"/>
          <w:bCs w:val="0"/>
          <w:sz w:val="21"/>
          <w:szCs w:val="24"/>
          <w:lang w:val="sv-SE"/>
        </w:rPr>
        <w:t xml:space="preserve">ultimately </w:t>
      </w:r>
      <w:r>
        <w:rPr>
          <w:rFonts w:ascii="Times New Roman" w:hAnsi="Times New Roman" w:cs="Times New Roman"/>
          <w:b w:val="0"/>
          <w:bCs w:val="0"/>
          <w:sz w:val="21"/>
          <w:szCs w:val="24"/>
          <w:lang w:val="sv-SE"/>
        </w:rPr>
        <w:t xml:space="preserve">be left to RAN2 to decide. </w:t>
      </w:r>
    </w:p>
    <w:p w14:paraId="4B083E04" w14:textId="7FBB7DE0" w:rsidR="00912541" w:rsidRDefault="00912541" w:rsidP="005A12F2">
      <w:pPr>
        <w:pStyle w:val="Proposal"/>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On the other hand, the UE capabiliti</w:t>
      </w:r>
      <w:r w:rsidR="006712D2">
        <w:rPr>
          <w:rFonts w:ascii="Times New Roman" w:hAnsi="Times New Roman" w:cs="Times New Roman"/>
          <w:b w:val="0"/>
          <w:bCs w:val="0"/>
          <w:sz w:val="21"/>
          <w:szCs w:val="24"/>
          <w:lang w:val="sv-SE"/>
        </w:rPr>
        <w:t>y</w:t>
      </w:r>
      <w:r w:rsidR="006414F2">
        <w:rPr>
          <w:rFonts w:ascii="Times New Roman" w:hAnsi="Times New Roman" w:cs="Times New Roman"/>
          <w:b w:val="0"/>
          <w:bCs w:val="0"/>
          <w:sz w:val="21"/>
          <w:szCs w:val="24"/>
          <w:lang w:val="sv-SE"/>
        </w:rPr>
        <w:t xml:space="preserve"> relevant for the </w:t>
      </w:r>
      <w:r w:rsidR="00EC7A1B">
        <w:rPr>
          <w:rFonts w:ascii="Times New Roman" w:hAnsi="Times New Roman" w:cs="Times New Roman"/>
          <w:b w:val="0"/>
          <w:bCs w:val="0"/>
          <w:sz w:val="21"/>
          <w:szCs w:val="24"/>
          <w:lang w:val="sv-SE"/>
        </w:rPr>
        <w:t xml:space="preserve">maximum </w:t>
      </w:r>
      <w:r w:rsidR="006414F2">
        <w:rPr>
          <w:rFonts w:ascii="Times New Roman" w:hAnsi="Times New Roman" w:cs="Times New Roman"/>
          <w:b w:val="0"/>
          <w:bCs w:val="0"/>
          <w:sz w:val="21"/>
          <w:szCs w:val="24"/>
          <w:lang w:val="sv-SE"/>
        </w:rPr>
        <w:t>uplink duty cycle reporting</w:t>
      </w:r>
      <w:r>
        <w:rPr>
          <w:rFonts w:ascii="Times New Roman" w:hAnsi="Times New Roman" w:cs="Times New Roman"/>
          <w:b w:val="0"/>
          <w:bCs w:val="0"/>
          <w:sz w:val="21"/>
          <w:szCs w:val="24"/>
          <w:lang w:val="sv-SE"/>
        </w:rPr>
        <w:t xml:space="preserve"> </w:t>
      </w:r>
      <w:bookmarkStart w:id="0" w:name="_Hlk210426679"/>
      <w:r w:rsidRPr="006414F2">
        <w:rPr>
          <w:rFonts w:ascii="Times New Roman" w:hAnsi="Times New Roman" w:cs="Times New Roman"/>
          <w:b w:val="0"/>
          <w:bCs w:val="0"/>
          <w:i/>
          <w:iCs/>
          <w:sz w:val="21"/>
          <w:szCs w:val="24"/>
          <w:lang w:val="sv-SE"/>
        </w:rPr>
        <w:t>max</w:t>
      </w:r>
      <w:r w:rsidR="006414F2" w:rsidRPr="006414F2">
        <w:rPr>
          <w:rFonts w:ascii="Times New Roman" w:hAnsi="Times New Roman" w:cs="Times New Roman"/>
          <w:b w:val="0"/>
          <w:bCs w:val="0"/>
          <w:i/>
          <w:iCs/>
          <w:sz w:val="21"/>
          <w:szCs w:val="24"/>
          <w:lang w:val="sv-SE"/>
        </w:rPr>
        <w:t>UplinkDutyCycle-PC2-FR1</w:t>
      </w:r>
      <w:bookmarkEnd w:id="0"/>
      <w:r w:rsidR="006414F2">
        <w:rPr>
          <w:rFonts w:ascii="Times New Roman" w:hAnsi="Times New Roman" w:cs="Times New Roman"/>
          <w:b w:val="0"/>
          <w:bCs w:val="0"/>
          <w:sz w:val="21"/>
          <w:szCs w:val="24"/>
          <w:lang w:val="sv-SE"/>
        </w:rPr>
        <w:t xml:space="preserve"> refer</w:t>
      </w:r>
      <w:r w:rsidR="003C560F">
        <w:rPr>
          <w:rFonts w:ascii="Times New Roman" w:hAnsi="Times New Roman" w:cs="Times New Roman"/>
          <w:b w:val="0"/>
          <w:bCs w:val="0"/>
          <w:sz w:val="21"/>
          <w:szCs w:val="24"/>
          <w:lang w:val="sv-SE"/>
        </w:rPr>
        <w:t>s</w:t>
      </w:r>
      <w:r w:rsidR="006414F2">
        <w:rPr>
          <w:rFonts w:ascii="Times New Roman" w:hAnsi="Times New Roman" w:cs="Times New Roman"/>
          <w:b w:val="0"/>
          <w:bCs w:val="0"/>
          <w:sz w:val="21"/>
          <w:szCs w:val="24"/>
          <w:lang w:val="sv-SE"/>
        </w:rPr>
        <w:t xml:space="preserve"> specifically to clause 6.2.1 in TS38.101-1:</w:t>
      </w:r>
    </w:p>
    <w:tbl>
      <w:tblPr>
        <w:tblStyle w:val="TableGrid"/>
        <w:tblW w:w="0" w:type="auto"/>
        <w:tblLook w:val="04A0" w:firstRow="1" w:lastRow="0" w:firstColumn="1" w:lastColumn="0" w:noHBand="0" w:noVBand="1"/>
      </w:tblPr>
      <w:tblGrid>
        <w:gridCol w:w="9631"/>
      </w:tblGrid>
      <w:tr w:rsidR="006414F2" w14:paraId="374F48D1" w14:textId="77777777" w:rsidTr="006414F2">
        <w:tc>
          <w:tcPr>
            <w:tcW w:w="9631" w:type="dxa"/>
          </w:tcPr>
          <w:p w14:paraId="589716B7" w14:textId="7845FB09" w:rsidR="006414F2" w:rsidRDefault="006414F2" w:rsidP="005A12F2">
            <w:pPr>
              <w:pStyle w:val="Proposal"/>
              <w:rPr>
                <w:rFonts w:ascii="Times New Roman" w:hAnsi="Times New Roman" w:cs="Times New Roman"/>
                <w:b w:val="0"/>
                <w:bCs w:val="0"/>
                <w:sz w:val="21"/>
                <w:szCs w:val="24"/>
                <w:lang w:val="sv-SE"/>
              </w:rPr>
            </w:pPr>
            <w:r w:rsidRPr="006414F2">
              <w:rPr>
                <w:rFonts w:ascii="Times New Roman" w:hAnsi="Times New Roman" w:cs="Times New Roman"/>
                <w:b w:val="0"/>
                <w:bCs w:val="0"/>
                <w:noProof/>
                <w:sz w:val="21"/>
                <w:szCs w:val="24"/>
                <w:lang w:val="sv-SE"/>
              </w:rPr>
              <w:drawing>
                <wp:inline distT="0" distB="0" distL="0" distR="0" wp14:anchorId="2BD89254" wp14:editId="78552C49">
                  <wp:extent cx="5924550" cy="1307078"/>
                  <wp:effectExtent l="0" t="0" r="0" b="7620"/>
                  <wp:docPr id="175939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39493" name=""/>
                          <pic:cNvPicPr/>
                        </pic:nvPicPr>
                        <pic:blipFill>
                          <a:blip r:embed="rId16"/>
                          <a:stretch>
                            <a:fillRect/>
                          </a:stretch>
                        </pic:blipFill>
                        <pic:spPr>
                          <a:xfrm>
                            <a:off x="0" y="0"/>
                            <a:ext cx="6012305" cy="1326439"/>
                          </a:xfrm>
                          <a:prstGeom prst="rect">
                            <a:avLst/>
                          </a:prstGeom>
                        </pic:spPr>
                      </pic:pic>
                    </a:graphicData>
                  </a:graphic>
                </wp:inline>
              </w:drawing>
            </w:r>
          </w:p>
        </w:tc>
      </w:tr>
    </w:tbl>
    <w:p w14:paraId="246EFF8A" w14:textId="2CAFADF4" w:rsidR="006414F2" w:rsidRPr="006712D2" w:rsidRDefault="006414F2" w:rsidP="005A12F2">
      <w:pPr>
        <w:pStyle w:val="Proposal"/>
        <w:rPr>
          <w:rFonts w:ascii="Times New Roman" w:hAnsi="Times New Roman" w:cs="Times New Roman"/>
          <w:b w:val="0"/>
          <w:bCs w:val="0"/>
          <w:sz w:val="21"/>
          <w:szCs w:val="24"/>
          <w:lang w:val="sv-SE"/>
        </w:rPr>
      </w:pPr>
      <w:r>
        <w:rPr>
          <w:rFonts w:ascii="Times New Roman" w:hAnsi="Times New Roman" w:cs="Times New Roman"/>
          <w:b w:val="0"/>
          <w:bCs w:val="0"/>
          <w:sz w:val="21"/>
          <w:szCs w:val="24"/>
          <w:lang w:val="sv-SE"/>
        </w:rPr>
        <w:t xml:space="preserve">For the </w:t>
      </w:r>
      <w:r w:rsidR="00EC7A1B">
        <w:rPr>
          <w:rFonts w:ascii="Times New Roman" w:hAnsi="Times New Roman" w:cs="Times New Roman"/>
          <w:b w:val="0"/>
          <w:bCs w:val="0"/>
          <w:sz w:val="21"/>
          <w:szCs w:val="24"/>
          <w:lang w:val="sv-SE"/>
        </w:rPr>
        <w:t xml:space="preserve">maximum </w:t>
      </w:r>
      <w:r>
        <w:rPr>
          <w:rFonts w:ascii="Times New Roman" w:hAnsi="Times New Roman" w:cs="Times New Roman"/>
          <w:b w:val="0"/>
          <w:bCs w:val="0"/>
          <w:sz w:val="21"/>
          <w:szCs w:val="24"/>
          <w:lang w:val="sv-SE"/>
        </w:rPr>
        <w:t>uplink duty cycle reporting to be supported for NR-NTN, th</w:t>
      </w:r>
      <w:r w:rsidR="006712D2">
        <w:rPr>
          <w:rFonts w:ascii="Times New Roman" w:hAnsi="Times New Roman" w:cs="Times New Roman"/>
          <w:b w:val="0"/>
          <w:bCs w:val="0"/>
          <w:sz w:val="21"/>
          <w:szCs w:val="24"/>
          <w:lang w:val="sv-SE"/>
        </w:rPr>
        <w:t xml:space="preserve">is capability </w:t>
      </w:r>
      <w:r>
        <w:rPr>
          <w:rFonts w:ascii="Times New Roman" w:hAnsi="Times New Roman" w:cs="Times New Roman"/>
          <w:b w:val="0"/>
          <w:bCs w:val="0"/>
          <w:sz w:val="21"/>
          <w:szCs w:val="24"/>
          <w:lang w:val="sv-SE"/>
        </w:rPr>
        <w:t>potentially need</w:t>
      </w:r>
      <w:r w:rsidR="003C560F">
        <w:rPr>
          <w:rFonts w:ascii="Times New Roman" w:hAnsi="Times New Roman" w:cs="Times New Roman"/>
          <w:b w:val="0"/>
          <w:bCs w:val="0"/>
          <w:sz w:val="21"/>
          <w:szCs w:val="24"/>
          <w:lang w:val="sv-SE"/>
        </w:rPr>
        <w:t>s</w:t>
      </w:r>
      <w:r>
        <w:rPr>
          <w:rFonts w:ascii="Times New Roman" w:hAnsi="Times New Roman" w:cs="Times New Roman"/>
          <w:b w:val="0"/>
          <w:bCs w:val="0"/>
          <w:sz w:val="21"/>
          <w:szCs w:val="24"/>
          <w:lang w:val="sv-SE"/>
        </w:rPr>
        <w:t xml:space="preserve"> an update as well.</w:t>
      </w:r>
      <w:r w:rsidR="006712D2">
        <w:rPr>
          <w:rFonts w:ascii="Times New Roman" w:hAnsi="Times New Roman" w:cs="Times New Roman"/>
          <w:b w:val="0"/>
          <w:bCs w:val="0"/>
          <w:sz w:val="21"/>
          <w:szCs w:val="24"/>
          <w:lang w:val="sv-SE"/>
        </w:rPr>
        <w:t xml:space="preserve"> Note that </w:t>
      </w:r>
      <w:r w:rsidR="006712D2" w:rsidRPr="006712D2">
        <w:rPr>
          <w:rFonts w:ascii="Times New Roman" w:hAnsi="Times New Roman" w:cs="Times New Roman"/>
          <w:b w:val="0"/>
          <w:bCs w:val="0"/>
          <w:i/>
          <w:iCs/>
          <w:sz w:val="21"/>
          <w:szCs w:val="24"/>
          <w:lang w:val="sv-SE"/>
        </w:rPr>
        <w:t>maxUplinkDutyCycle-PC1dot5-MPE-FR1-r16</w:t>
      </w:r>
      <w:r w:rsidR="006712D2">
        <w:rPr>
          <w:rFonts w:ascii="Times New Roman" w:hAnsi="Times New Roman" w:cs="Times New Roman"/>
          <w:b w:val="0"/>
          <w:bCs w:val="0"/>
          <w:sz w:val="21"/>
          <w:szCs w:val="24"/>
          <w:lang w:val="sv-SE"/>
        </w:rPr>
        <w:t xml:space="preserve"> would need an update in Rel-20 if </w:t>
      </w:r>
      <w:r w:rsidR="003C560F">
        <w:rPr>
          <w:rFonts w:ascii="Times New Roman" w:hAnsi="Times New Roman" w:cs="Times New Roman"/>
          <w:b w:val="0"/>
          <w:bCs w:val="0"/>
          <w:sz w:val="21"/>
          <w:szCs w:val="24"/>
          <w:lang w:val="sv-SE"/>
        </w:rPr>
        <w:t>the support for PC1.5</w:t>
      </w:r>
      <w:r w:rsidR="006712D2">
        <w:rPr>
          <w:rFonts w:ascii="Times New Roman" w:hAnsi="Times New Roman" w:cs="Times New Roman"/>
          <w:b w:val="0"/>
          <w:bCs w:val="0"/>
          <w:sz w:val="21"/>
          <w:szCs w:val="24"/>
          <w:lang w:val="sv-SE"/>
        </w:rPr>
        <w:t xml:space="preserve"> is going to be introduced in </w:t>
      </w:r>
      <w:r w:rsidR="003C560F">
        <w:rPr>
          <w:rFonts w:ascii="Times New Roman" w:hAnsi="Times New Roman" w:cs="Times New Roman"/>
          <w:b w:val="0"/>
          <w:bCs w:val="0"/>
          <w:sz w:val="21"/>
          <w:szCs w:val="24"/>
          <w:lang w:val="sv-SE"/>
        </w:rPr>
        <w:t>Rel-20</w:t>
      </w:r>
      <w:r w:rsidR="006712D2">
        <w:rPr>
          <w:rFonts w:ascii="Times New Roman" w:hAnsi="Times New Roman" w:cs="Times New Roman"/>
          <w:b w:val="0"/>
          <w:bCs w:val="0"/>
          <w:sz w:val="21"/>
          <w:szCs w:val="24"/>
          <w:lang w:val="sv-SE"/>
        </w:rPr>
        <w:t>.</w:t>
      </w:r>
    </w:p>
    <w:p w14:paraId="75D79A7B" w14:textId="24EAC13B" w:rsidR="0069101D" w:rsidRDefault="002D035E" w:rsidP="004C5BFA">
      <w:pPr>
        <w:spacing w:after="120"/>
        <w:rPr>
          <w:b/>
          <w:bCs/>
          <w:sz w:val="21"/>
          <w:szCs w:val="21"/>
        </w:rPr>
      </w:pPr>
      <w:r>
        <w:rPr>
          <w:b/>
          <w:bCs/>
          <w:sz w:val="21"/>
          <w:szCs w:val="21"/>
        </w:rPr>
        <w:t>P</w:t>
      </w:r>
      <w:r w:rsidR="00417A97" w:rsidRPr="00DC61BA">
        <w:rPr>
          <w:b/>
          <w:bCs/>
          <w:sz w:val="21"/>
          <w:szCs w:val="21"/>
        </w:rPr>
        <w:t xml:space="preserve">roposal </w:t>
      </w:r>
      <w:r w:rsidR="00045F5F">
        <w:rPr>
          <w:b/>
          <w:bCs/>
          <w:sz w:val="21"/>
          <w:szCs w:val="21"/>
        </w:rPr>
        <w:t>2</w:t>
      </w:r>
      <w:r w:rsidR="00417A97" w:rsidRPr="00DC61BA">
        <w:rPr>
          <w:b/>
          <w:bCs/>
          <w:sz w:val="21"/>
          <w:szCs w:val="21"/>
        </w:rPr>
        <w:t>:</w:t>
      </w:r>
      <w:r w:rsidR="00912541">
        <w:rPr>
          <w:b/>
          <w:bCs/>
          <w:sz w:val="21"/>
          <w:szCs w:val="21"/>
        </w:rPr>
        <w:t xml:space="preserve"> </w:t>
      </w:r>
      <w:r w:rsidR="006414F2">
        <w:rPr>
          <w:b/>
          <w:bCs/>
          <w:sz w:val="21"/>
          <w:szCs w:val="21"/>
        </w:rPr>
        <w:t xml:space="preserve">Send an LS to RAN2 to update the specifications to support the </w:t>
      </w:r>
      <w:r w:rsidR="00EC7A1B">
        <w:rPr>
          <w:b/>
          <w:bCs/>
          <w:sz w:val="21"/>
          <w:szCs w:val="21"/>
        </w:rPr>
        <w:t xml:space="preserve">maximum </w:t>
      </w:r>
      <w:r w:rsidR="006414F2">
        <w:rPr>
          <w:b/>
          <w:bCs/>
          <w:sz w:val="21"/>
          <w:szCs w:val="21"/>
        </w:rPr>
        <w:t>uplink duty cycle reporting and the Delta Power Class (DPC) reporting for the NR-NTN</w:t>
      </w:r>
      <w:r w:rsidR="003C560F">
        <w:rPr>
          <w:b/>
          <w:bCs/>
          <w:sz w:val="21"/>
          <w:szCs w:val="21"/>
        </w:rPr>
        <w:t xml:space="preserve"> HPUE</w:t>
      </w:r>
      <w:r w:rsidR="00DC61BA">
        <w:rPr>
          <w:b/>
          <w:bCs/>
          <w:sz w:val="21"/>
          <w:szCs w:val="21"/>
        </w:rPr>
        <w:t>.</w:t>
      </w:r>
    </w:p>
    <w:p w14:paraId="7F633B2B" w14:textId="4AE99787" w:rsidR="006414F2" w:rsidRPr="006414F2" w:rsidRDefault="006414F2" w:rsidP="004C5BFA">
      <w:pPr>
        <w:spacing w:after="120"/>
        <w:rPr>
          <w:sz w:val="21"/>
          <w:szCs w:val="21"/>
        </w:rPr>
      </w:pPr>
      <w:r w:rsidRPr="006414F2">
        <w:rPr>
          <w:sz w:val="21"/>
          <w:szCs w:val="21"/>
        </w:rPr>
        <w:t xml:space="preserve">A </w:t>
      </w:r>
      <w:proofErr w:type="spellStart"/>
      <w:r w:rsidRPr="006414F2">
        <w:rPr>
          <w:sz w:val="21"/>
          <w:szCs w:val="21"/>
        </w:rPr>
        <w:t>draftLS</w:t>
      </w:r>
      <w:proofErr w:type="spellEnd"/>
      <w:r w:rsidRPr="006414F2">
        <w:rPr>
          <w:sz w:val="21"/>
          <w:szCs w:val="21"/>
        </w:rPr>
        <w:t xml:space="preserve"> </w:t>
      </w:r>
      <w:r w:rsidR="003C560F">
        <w:rPr>
          <w:sz w:val="21"/>
          <w:szCs w:val="21"/>
        </w:rPr>
        <w:t xml:space="preserve">to RAN2 </w:t>
      </w:r>
      <w:r w:rsidRPr="006414F2">
        <w:rPr>
          <w:sz w:val="21"/>
          <w:szCs w:val="21"/>
        </w:rPr>
        <w:t>example is provided in the Annex.</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4DA887B0" w14:textId="77777777" w:rsidR="003C560F" w:rsidRPr="00147B33" w:rsidRDefault="003C560F" w:rsidP="003C560F">
      <w:pPr>
        <w:spacing w:after="120"/>
        <w:rPr>
          <w:rFonts w:eastAsia="SimSun"/>
          <w:b/>
          <w:bCs/>
          <w:sz w:val="21"/>
          <w:szCs w:val="21"/>
        </w:rPr>
      </w:pPr>
      <w:r w:rsidRPr="00147B33">
        <w:rPr>
          <w:rFonts w:eastAsia="SimSun"/>
          <w:b/>
          <w:bCs/>
          <w:sz w:val="21"/>
          <w:szCs w:val="21"/>
        </w:rPr>
        <w:t xml:space="preserve">Proposal 1: Introduce </w:t>
      </w:r>
      <w:r>
        <w:rPr>
          <w:rFonts w:eastAsia="SimSun"/>
          <w:b/>
          <w:bCs/>
          <w:sz w:val="21"/>
          <w:szCs w:val="21"/>
        </w:rPr>
        <w:t>a similar</w:t>
      </w:r>
      <w:r w:rsidRPr="00147B33">
        <w:rPr>
          <w:rFonts w:eastAsia="SimSun"/>
          <w:b/>
          <w:bCs/>
          <w:sz w:val="21"/>
          <w:szCs w:val="21"/>
        </w:rPr>
        <w:t xml:space="preserve"> description of the power class requirements applicability to TS38.101-5 as in TS38.101-1 clause 6.2.1</w:t>
      </w:r>
      <w:r>
        <w:rPr>
          <w:rFonts w:eastAsia="SimSun"/>
          <w:b/>
          <w:bCs/>
          <w:sz w:val="21"/>
          <w:szCs w:val="21"/>
        </w:rPr>
        <w:t>, the difference being that PC1.5 is not supported. E</w:t>
      </w:r>
      <w:r w:rsidRPr="00147B33">
        <w:rPr>
          <w:rFonts w:eastAsia="SimSun"/>
          <w:b/>
          <w:bCs/>
          <w:sz w:val="21"/>
          <w:szCs w:val="21"/>
        </w:rPr>
        <w:t xml:space="preserve">ndorse the accompanying </w:t>
      </w:r>
      <w:proofErr w:type="spellStart"/>
      <w:r w:rsidRPr="00147B33">
        <w:rPr>
          <w:rFonts w:eastAsia="SimSun"/>
          <w:b/>
          <w:bCs/>
          <w:sz w:val="21"/>
          <w:szCs w:val="21"/>
        </w:rPr>
        <w:t>draftCR</w:t>
      </w:r>
      <w:proofErr w:type="spellEnd"/>
      <w:r w:rsidRPr="00147B33">
        <w:rPr>
          <w:rFonts w:eastAsia="SimSun"/>
          <w:b/>
          <w:bCs/>
          <w:sz w:val="21"/>
          <w:szCs w:val="21"/>
        </w:rPr>
        <w:t>.</w:t>
      </w:r>
    </w:p>
    <w:p w14:paraId="0A18B5F7" w14:textId="77777777" w:rsidR="003C560F" w:rsidRDefault="003C560F" w:rsidP="003C560F">
      <w:pPr>
        <w:spacing w:after="120"/>
        <w:rPr>
          <w:b/>
          <w:bCs/>
          <w:sz w:val="21"/>
          <w:szCs w:val="21"/>
        </w:rPr>
      </w:pPr>
      <w:r>
        <w:rPr>
          <w:b/>
          <w:bCs/>
          <w:sz w:val="21"/>
          <w:szCs w:val="21"/>
        </w:rPr>
        <w:t>P</w:t>
      </w:r>
      <w:r w:rsidRPr="00DC61BA">
        <w:rPr>
          <w:b/>
          <w:bCs/>
          <w:sz w:val="21"/>
          <w:szCs w:val="21"/>
        </w:rPr>
        <w:t xml:space="preserve">roposal </w:t>
      </w:r>
      <w:r>
        <w:rPr>
          <w:b/>
          <w:bCs/>
          <w:sz w:val="21"/>
          <w:szCs w:val="21"/>
        </w:rPr>
        <w:t>2</w:t>
      </w:r>
      <w:r w:rsidRPr="00DC61BA">
        <w:rPr>
          <w:b/>
          <w:bCs/>
          <w:sz w:val="21"/>
          <w:szCs w:val="21"/>
        </w:rPr>
        <w:t>:</w:t>
      </w:r>
      <w:r>
        <w:rPr>
          <w:b/>
          <w:bCs/>
          <w:sz w:val="21"/>
          <w:szCs w:val="21"/>
        </w:rPr>
        <w:t xml:space="preserve"> Send an LS to RAN2 to update the specifications to support the maximum uplink duty cycle reporting and the Delta Power Class (DPC) reporting for the NR-NTN HPUE.</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0D160E69" w14:textId="77777777" w:rsidR="00DE02F9" w:rsidRPr="00F21387" w:rsidRDefault="00DE02F9" w:rsidP="00DE02F9">
      <w:pPr>
        <w:pStyle w:val="ListParagraph"/>
        <w:numPr>
          <w:ilvl w:val="0"/>
          <w:numId w:val="13"/>
        </w:numPr>
        <w:ind w:firstLineChars="0"/>
        <w:jc w:val="both"/>
        <w:rPr>
          <w:rFonts w:ascii="Arial" w:hAnsi="Arial" w:cs="Arial"/>
          <w:iCs/>
          <w:sz w:val="22"/>
          <w:szCs w:val="22"/>
        </w:rPr>
      </w:pPr>
      <w:bookmarkStart w:id="1" w:name="_Ref129967845"/>
      <w:bookmarkStart w:id="2" w:name="_Hlk180683891"/>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1"/>
    </w:p>
    <w:p w14:paraId="4BBDDBFC" w14:textId="454A9ED1" w:rsidR="00F21387" w:rsidRPr="00DB233E" w:rsidRDefault="00F21387" w:rsidP="00DE02F9">
      <w:pPr>
        <w:pStyle w:val="ListParagraph"/>
        <w:numPr>
          <w:ilvl w:val="0"/>
          <w:numId w:val="13"/>
        </w:numPr>
        <w:ind w:firstLineChars="0"/>
        <w:jc w:val="both"/>
        <w:rPr>
          <w:rFonts w:ascii="Arial" w:hAnsi="Arial" w:cs="Arial"/>
          <w:iCs/>
          <w:sz w:val="22"/>
          <w:szCs w:val="22"/>
        </w:rPr>
      </w:pPr>
      <w:r>
        <w:rPr>
          <w:iCs/>
          <w:sz w:val="22"/>
          <w:szCs w:val="22"/>
        </w:rPr>
        <w:t>R4-2</w:t>
      </w:r>
      <w:r w:rsidR="003C560F">
        <w:rPr>
          <w:iCs/>
          <w:sz w:val="22"/>
          <w:szCs w:val="22"/>
        </w:rPr>
        <w:t>514506, “</w:t>
      </w:r>
      <w:r w:rsidR="003C560F" w:rsidRPr="003C560F">
        <w:rPr>
          <w:iCs/>
          <w:sz w:val="22"/>
          <w:szCs w:val="22"/>
        </w:rPr>
        <w:t>Draft CR to 38.101-5 on clarifying the power class requirements applicability</w:t>
      </w:r>
      <w:r w:rsidR="003C560F">
        <w:rPr>
          <w:iCs/>
          <w:sz w:val="22"/>
          <w:szCs w:val="22"/>
        </w:rPr>
        <w:t>”, Ericsson, RAN4#116-bis.</w:t>
      </w:r>
    </w:p>
    <w:bookmarkEnd w:id="2"/>
    <w:p w14:paraId="6DFD7BD0" w14:textId="2B2AEF6F" w:rsidR="00E84D58" w:rsidRPr="00E84D58" w:rsidRDefault="00DE02F9" w:rsidP="00E84D58">
      <w:pPr>
        <w:pStyle w:val="ListParagraph"/>
        <w:numPr>
          <w:ilvl w:val="0"/>
          <w:numId w:val="13"/>
        </w:numPr>
        <w:ind w:firstLineChars="0"/>
        <w:jc w:val="both"/>
        <w:rPr>
          <w:rFonts w:ascii="Arial" w:hAnsi="Arial" w:cs="Arial"/>
          <w:iCs/>
          <w:sz w:val="22"/>
          <w:szCs w:val="22"/>
        </w:rPr>
      </w:pPr>
      <w:r w:rsidRPr="00DE02F9">
        <w:rPr>
          <w:sz w:val="22"/>
          <w:szCs w:val="22"/>
          <w:lang w:val="en-GB"/>
        </w:rPr>
        <w:t>https://www.3gpp.org/ftp/tsg_ran/WG4_Radio/TSGR4_116/Inbox/Chair_Notes/Main_Session_Notes/3.Wed/9.R4-2509096_Topic%20summary%20for%20%5B116%5D%5B129%5D%20NR_IoT_NTN_HPUE_part2.docx</w:t>
      </w:r>
    </w:p>
    <w:p w14:paraId="7A1BDDEC" w14:textId="5D26E695" w:rsidR="00F21387" w:rsidRDefault="00F21387" w:rsidP="008E0CD1">
      <w:pPr>
        <w:pStyle w:val="ListParagraph"/>
        <w:numPr>
          <w:ilvl w:val="0"/>
          <w:numId w:val="13"/>
        </w:numPr>
        <w:ind w:firstLineChars="0"/>
        <w:jc w:val="both"/>
        <w:rPr>
          <w:iCs/>
          <w:sz w:val="22"/>
          <w:szCs w:val="22"/>
        </w:rPr>
      </w:pPr>
      <w:r>
        <w:rPr>
          <w:iCs/>
          <w:sz w:val="22"/>
          <w:szCs w:val="22"/>
        </w:rPr>
        <w:t xml:space="preserve">3GPP TS38.101-5 V19.2.0, “NR; </w:t>
      </w:r>
      <w:r w:rsidRPr="00F21387">
        <w:rPr>
          <w:iCs/>
          <w:sz w:val="22"/>
          <w:szCs w:val="22"/>
        </w:rPr>
        <w:t>User Equipment (UE) radio transmission and reception;</w:t>
      </w:r>
      <w:r>
        <w:rPr>
          <w:iCs/>
          <w:sz w:val="22"/>
          <w:szCs w:val="22"/>
        </w:rPr>
        <w:t xml:space="preserve"> </w:t>
      </w:r>
      <w:r w:rsidRPr="00F21387">
        <w:rPr>
          <w:iCs/>
          <w:sz w:val="22"/>
          <w:szCs w:val="22"/>
        </w:rPr>
        <w:t>Part 5: Satellite access Radio Frequency (RF) and performance requirements</w:t>
      </w:r>
      <w:r>
        <w:rPr>
          <w:iCs/>
          <w:sz w:val="22"/>
          <w:szCs w:val="22"/>
        </w:rPr>
        <w:t>”.</w:t>
      </w:r>
    </w:p>
    <w:p w14:paraId="2762B638" w14:textId="4AFD8344" w:rsidR="008B2810" w:rsidRDefault="00F21387" w:rsidP="00F21387">
      <w:pPr>
        <w:pStyle w:val="ListParagraph"/>
        <w:numPr>
          <w:ilvl w:val="0"/>
          <w:numId w:val="13"/>
        </w:numPr>
        <w:ind w:firstLineChars="0"/>
        <w:jc w:val="both"/>
        <w:rPr>
          <w:iCs/>
          <w:sz w:val="22"/>
          <w:szCs w:val="22"/>
        </w:rPr>
      </w:pPr>
      <w:r>
        <w:rPr>
          <w:iCs/>
          <w:sz w:val="22"/>
          <w:szCs w:val="22"/>
        </w:rPr>
        <w:t xml:space="preserve">3GPP TS38.101-1 V19.3.0, “NR; </w:t>
      </w:r>
      <w:r w:rsidRPr="00F21387">
        <w:rPr>
          <w:iCs/>
          <w:sz w:val="22"/>
          <w:szCs w:val="22"/>
        </w:rPr>
        <w:t>User Equipment (UE) radio transmission and reception;</w:t>
      </w:r>
      <w:r>
        <w:rPr>
          <w:iCs/>
          <w:sz w:val="22"/>
          <w:szCs w:val="22"/>
        </w:rPr>
        <w:t xml:space="preserve"> </w:t>
      </w:r>
      <w:r w:rsidRPr="00F21387">
        <w:rPr>
          <w:iCs/>
          <w:sz w:val="22"/>
          <w:szCs w:val="22"/>
        </w:rPr>
        <w:t>Part 1: Range 1 Standalone</w:t>
      </w:r>
      <w:r>
        <w:rPr>
          <w:iCs/>
          <w:sz w:val="22"/>
          <w:szCs w:val="22"/>
        </w:rPr>
        <w:t>”.</w:t>
      </w:r>
    </w:p>
    <w:p w14:paraId="2AB9C3FB" w14:textId="77777777" w:rsidR="008B2810" w:rsidRDefault="008B2810" w:rsidP="008B2810">
      <w:pPr>
        <w:jc w:val="both"/>
        <w:rPr>
          <w:iCs/>
          <w:sz w:val="22"/>
          <w:szCs w:val="22"/>
        </w:rPr>
      </w:pPr>
    </w:p>
    <w:p w14:paraId="233243A7" w14:textId="77777777" w:rsidR="008B2810" w:rsidRDefault="008B2810" w:rsidP="008B2810">
      <w:pPr>
        <w:jc w:val="both"/>
        <w:rPr>
          <w:iCs/>
          <w:sz w:val="22"/>
          <w:szCs w:val="22"/>
        </w:rPr>
      </w:pPr>
    </w:p>
    <w:p w14:paraId="5975AECB" w14:textId="77777777" w:rsidR="008B2810" w:rsidRDefault="008B2810" w:rsidP="008B2810">
      <w:pPr>
        <w:jc w:val="both"/>
        <w:rPr>
          <w:iCs/>
          <w:sz w:val="22"/>
          <w:szCs w:val="22"/>
        </w:rPr>
      </w:pPr>
    </w:p>
    <w:p w14:paraId="5825AD74" w14:textId="77777777" w:rsidR="008B2810" w:rsidRDefault="008B2810" w:rsidP="008B2810">
      <w:pPr>
        <w:jc w:val="both"/>
        <w:rPr>
          <w:iCs/>
          <w:sz w:val="22"/>
          <w:szCs w:val="22"/>
        </w:rPr>
      </w:pPr>
    </w:p>
    <w:p w14:paraId="0EB30B07" w14:textId="77777777" w:rsidR="008B2810" w:rsidRDefault="008B2810" w:rsidP="008B2810">
      <w:pPr>
        <w:jc w:val="both"/>
        <w:rPr>
          <w:iCs/>
          <w:sz w:val="22"/>
          <w:szCs w:val="22"/>
        </w:rPr>
      </w:pPr>
    </w:p>
    <w:p w14:paraId="67AF3AF4" w14:textId="77777777" w:rsidR="008B2810" w:rsidRDefault="008B2810" w:rsidP="008B2810">
      <w:pPr>
        <w:jc w:val="both"/>
        <w:rPr>
          <w:iCs/>
          <w:sz w:val="22"/>
          <w:szCs w:val="22"/>
        </w:rPr>
      </w:pPr>
    </w:p>
    <w:p w14:paraId="6046348F" w14:textId="77777777" w:rsidR="008B2810" w:rsidRDefault="008B2810" w:rsidP="008B2810">
      <w:pPr>
        <w:jc w:val="both"/>
        <w:rPr>
          <w:iCs/>
          <w:sz w:val="22"/>
          <w:szCs w:val="22"/>
        </w:rPr>
      </w:pPr>
    </w:p>
    <w:p w14:paraId="45F36750" w14:textId="77777777" w:rsidR="008B2810" w:rsidRDefault="008B2810" w:rsidP="008B2810">
      <w:pPr>
        <w:jc w:val="both"/>
        <w:rPr>
          <w:iCs/>
          <w:sz w:val="22"/>
          <w:szCs w:val="22"/>
        </w:rPr>
      </w:pPr>
    </w:p>
    <w:p w14:paraId="736D728C" w14:textId="77777777" w:rsidR="008B2810" w:rsidRDefault="008B2810" w:rsidP="008B2810">
      <w:pPr>
        <w:jc w:val="both"/>
        <w:rPr>
          <w:iCs/>
          <w:sz w:val="22"/>
          <w:szCs w:val="22"/>
        </w:rPr>
      </w:pPr>
    </w:p>
    <w:p w14:paraId="7CB3B4B6" w14:textId="3A1877F4" w:rsidR="008B2810" w:rsidRDefault="008B2810" w:rsidP="008B2810">
      <w:pPr>
        <w:pStyle w:val="Heading1"/>
      </w:pPr>
      <w:r>
        <w:t>Annex</w:t>
      </w:r>
    </w:p>
    <w:p w14:paraId="0EADED04" w14:textId="68A198B4" w:rsidR="008B2810" w:rsidRDefault="008B2810" w:rsidP="008B2810">
      <w:pPr>
        <w:rPr>
          <w:sz w:val="21"/>
          <w:szCs w:val="21"/>
          <w:lang w:val="sv-SE" w:eastAsia="en-US"/>
        </w:rPr>
      </w:pPr>
      <w:r w:rsidRPr="008B2810">
        <w:rPr>
          <w:sz w:val="21"/>
          <w:szCs w:val="21"/>
          <w:lang w:val="sv-SE" w:eastAsia="en-US"/>
        </w:rPr>
        <w:t>We provide</w:t>
      </w:r>
      <w:r>
        <w:rPr>
          <w:sz w:val="21"/>
          <w:szCs w:val="21"/>
          <w:lang w:val="sv-SE" w:eastAsia="en-US"/>
        </w:rPr>
        <w:t xml:space="preserve"> an example of a draft LS</w:t>
      </w:r>
      <w:r w:rsidR="003C560F">
        <w:rPr>
          <w:sz w:val="21"/>
          <w:szCs w:val="21"/>
          <w:lang w:val="sv-SE" w:eastAsia="en-US"/>
        </w:rPr>
        <w:t xml:space="preserve"> to RAN2</w:t>
      </w:r>
      <w:r>
        <w:rPr>
          <w:sz w:val="21"/>
          <w:szCs w:val="21"/>
          <w:lang w:val="sv-SE" w:eastAsia="en-US"/>
        </w:rPr>
        <w:t>:</w:t>
      </w:r>
    </w:p>
    <w:p w14:paraId="5062CF22" w14:textId="77777777" w:rsidR="008B2810" w:rsidRDefault="008B2810" w:rsidP="008B2810">
      <w:pPr>
        <w:rPr>
          <w:sz w:val="21"/>
          <w:szCs w:val="21"/>
          <w:lang w:val="sv-SE" w:eastAsia="en-US"/>
        </w:rPr>
      </w:pPr>
    </w:p>
    <w:p w14:paraId="47A62437" w14:textId="77777777" w:rsidR="008B2810" w:rsidRPr="008B2810" w:rsidRDefault="008B2810" w:rsidP="008B2810">
      <w:pPr>
        <w:widowControl w:val="0"/>
        <w:tabs>
          <w:tab w:val="right" w:pos="7088"/>
          <w:tab w:val="right" w:pos="9781"/>
        </w:tabs>
        <w:overflowPunct w:val="0"/>
        <w:autoSpaceDE w:val="0"/>
        <w:autoSpaceDN w:val="0"/>
        <w:adjustRightInd w:val="0"/>
        <w:textAlignment w:val="baseline"/>
        <w:rPr>
          <w:rFonts w:ascii="Arial" w:hAnsi="Arial" w:cs="Arial"/>
          <w:bCs/>
          <w:noProof/>
          <w:sz w:val="22"/>
          <w:szCs w:val="20"/>
          <w:lang w:val="en-GB" w:eastAsia="en-GB"/>
        </w:rPr>
      </w:pPr>
      <w:r w:rsidRPr="008B2810">
        <w:rPr>
          <w:rFonts w:ascii="Arial" w:hAnsi="Arial" w:cs="Arial"/>
          <w:b/>
          <w:bCs/>
          <w:noProof/>
          <w:sz w:val="22"/>
          <w:szCs w:val="22"/>
          <w:lang w:val="en-GB" w:eastAsia="en-GB"/>
        </w:rPr>
        <w:t xml:space="preserve">3GPP </w:t>
      </w:r>
      <w:bookmarkStart w:id="3" w:name="OLE_LINK50"/>
      <w:bookmarkStart w:id="4" w:name="OLE_LINK51"/>
      <w:bookmarkStart w:id="5" w:name="OLE_LINK52"/>
      <w:r w:rsidRPr="008B2810">
        <w:rPr>
          <w:rFonts w:ascii="Arial" w:hAnsi="Arial" w:cs="Arial"/>
          <w:b/>
          <w:bCs/>
          <w:noProof/>
          <w:sz w:val="22"/>
          <w:szCs w:val="22"/>
          <w:lang w:val="en-GB" w:eastAsia="en-GB"/>
        </w:rPr>
        <w:t>TSG</w:t>
      </w:r>
      <w:r w:rsidRPr="008B2810">
        <w:rPr>
          <w:rFonts w:ascii="Arial" w:hAnsi="Arial" w:cs="Arial"/>
          <w:b/>
          <w:sz w:val="22"/>
          <w:szCs w:val="22"/>
          <w:lang w:val="en-GB" w:eastAsia="en-GB"/>
        </w:rPr>
        <w:t>-RAN</w:t>
      </w:r>
      <w:r w:rsidRPr="008B2810">
        <w:rPr>
          <w:rFonts w:ascii="Arial" w:hAnsi="Arial" w:cs="Arial"/>
          <w:b/>
          <w:bCs/>
          <w:noProof/>
          <w:sz w:val="22"/>
          <w:szCs w:val="22"/>
          <w:lang w:val="en-GB" w:eastAsia="en-GB"/>
        </w:rPr>
        <w:t xml:space="preserve"> WG4</w:t>
      </w:r>
      <w:bookmarkEnd w:id="3"/>
      <w:bookmarkEnd w:id="4"/>
      <w:bookmarkEnd w:id="5"/>
      <w:r w:rsidRPr="008B2810">
        <w:rPr>
          <w:rFonts w:ascii="Arial" w:hAnsi="Arial" w:cs="Arial"/>
          <w:b/>
          <w:bCs/>
          <w:noProof/>
          <w:sz w:val="22"/>
          <w:szCs w:val="22"/>
          <w:lang w:val="en-GB" w:eastAsia="en-GB"/>
        </w:rPr>
        <w:t xml:space="preserve"> Meeting#</w:t>
      </w:r>
      <w:r w:rsidRPr="008B2810">
        <w:rPr>
          <w:rFonts w:ascii="Arial" w:hAnsi="Arial" w:cs="Arial"/>
          <w:b/>
          <w:sz w:val="22"/>
          <w:szCs w:val="22"/>
          <w:lang w:val="en-GB" w:eastAsia="en-GB"/>
        </w:rPr>
        <w:t>116-bis</w:t>
      </w:r>
      <w:r w:rsidRPr="008B2810">
        <w:rPr>
          <w:rFonts w:ascii="Arial" w:hAnsi="Arial" w:cs="Arial"/>
          <w:b/>
          <w:bCs/>
          <w:noProof/>
          <w:sz w:val="22"/>
          <w:szCs w:val="22"/>
          <w:lang w:val="en-GB" w:eastAsia="en-GB"/>
        </w:rPr>
        <w:tab/>
      </w:r>
      <w:r w:rsidRPr="008B2810">
        <w:rPr>
          <w:rFonts w:ascii="Arial" w:hAnsi="Arial" w:cs="Arial"/>
          <w:b/>
          <w:bCs/>
          <w:noProof/>
          <w:sz w:val="22"/>
          <w:szCs w:val="22"/>
          <w:lang w:val="en-GB" w:eastAsia="en-GB"/>
        </w:rPr>
        <w:tab/>
      </w:r>
      <w:r w:rsidRPr="008B2810">
        <w:rPr>
          <w:rFonts w:ascii="Arial" w:hAnsi="Arial" w:cs="Arial"/>
          <w:b/>
          <w:sz w:val="22"/>
          <w:szCs w:val="22"/>
          <w:lang w:val="en-GB" w:eastAsia="en-GB"/>
        </w:rPr>
        <w:t>R4-25XXXXX</w:t>
      </w:r>
    </w:p>
    <w:p w14:paraId="4BC836AF" w14:textId="5DF82E24" w:rsidR="008B2810" w:rsidRPr="008B2810" w:rsidRDefault="008B2810" w:rsidP="008B2810">
      <w:pPr>
        <w:widowControl w:val="0"/>
        <w:overflowPunct w:val="0"/>
        <w:autoSpaceDE w:val="0"/>
        <w:autoSpaceDN w:val="0"/>
        <w:adjustRightInd w:val="0"/>
        <w:textAlignment w:val="baseline"/>
        <w:rPr>
          <w:rFonts w:ascii="Arial" w:hAnsi="Arial"/>
          <w:b/>
          <w:noProof/>
          <w:sz w:val="22"/>
          <w:szCs w:val="22"/>
          <w:lang w:val="en-GB" w:eastAsia="en-GB"/>
        </w:rPr>
      </w:pPr>
      <w:r w:rsidRPr="008B2810">
        <w:rPr>
          <w:rFonts w:ascii="Arial" w:hAnsi="Arial"/>
          <w:b/>
          <w:noProof/>
          <w:sz w:val="22"/>
          <w:szCs w:val="22"/>
          <w:lang w:val="en-GB" w:eastAsia="en-GB"/>
        </w:rPr>
        <w:t xml:space="preserve">Prague, Czech Republic, </w:t>
      </w:r>
      <w:r w:rsidR="003A0279">
        <w:rPr>
          <w:rFonts w:ascii="Arial" w:hAnsi="Arial"/>
          <w:b/>
          <w:noProof/>
          <w:sz w:val="22"/>
          <w:szCs w:val="22"/>
          <w:lang w:val="en-GB" w:eastAsia="en-GB"/>
        </w:rPr>
        <w:t xml:space="preserve">October </w:t>
      </w:r>
      <w:r w:rsidRPr="008B2810">
        <w:rPr>
          <w:rFonts w:ascii="Arial" w:hAnsi="Arial"/>
          <w:b/>
          <w:noProof/>
          <w:sz w:val="22"/>
          <w:szCs w:val="22"/>
          <w:lang w:val="en-GB" w:eastAsia="en-GB"/>
        </w:rPr>
        <w:t xml:space="preserve">13 </w:t>
      </w:r>
      <w:r w:rsidR="003A0279">
        <w:rPr>
          <w:rFonts w:ascii="Arial" w:hAnsi="Arial"/>
          <w:b/>
          <w:noProof/>
          <w:sz w:val="22"/>
          <w:szCs w:val="22"/>
          <w:lang w:val="en-GB" w:eastAsia="en-GB"/>
        </w:rPr>
        <w:t>–</w:t>
      </w:r>
      <w:r w:rsidRPr="008B2810">
        <w:rPr>
          <w:rFonts w:ascii="Arial" w:hAnsi="Arial"/>
          <w:b/>
          <w:noProof/>
          <w:sz w:val="22"/>
          <w:szCs w:val="22"/>
          <w:lang w:val="en-GB" w:eastAsia="en-GB"/>
        </w:rPr>
        <w:t xml:space="preserve"> 17</w:t>
      </w:r>
      <w:r w:rsidR="003A0279">
        <w:rPr>
          <w:rFonts w:ascii="Arial" w:hAnsi="Arial"/>
          <w:b/>
          <w:noProof/>
          <w:sz w:val="22"/>
          <w:szCs w:val="22"/>
          <w:lang w:val="en-GB" w:eastAsia="en-GB"/>
        </w:rPr>
        <w:t>,</w:t>
      </w:r>
      <w:r w:rsidRPr="008B2810">
        <w:rPr>
          <w:rFonts w:ascii="Arial" w:hAnsi="Arial"/>
          <w:b/>
          <w:noProof/>
          <w:sz w:val="22"/>
          <w:szCs w:val="22"/>
          <w:lang w:val="en-GB" w:eastAsia="en-GB"/>
        </w:rPr>
        <w:t xml:space="preserve"> 2025</w:t>
      </w:r>
    </w:p>
    <w:p w14:paraId="5AE6B635" w14:textId="77777777" w:rsidR="008B2810" w:rsidRPr="008B2810" w:rsidRDefault="008B2810" w:rsidP="008B2810">
      <w:pPr>
        <w:overflowPunct w:val="0"/>
        <w:autoSpaceDE w:val="0"/>
        <w:autoSpaceDN w:val="0"/>
        <w:adjustRightInd w:val="0"/>
        <w:spacing w:after="180"/>
        <w:textAlignment w:val="baseline"/>
        <w:rPr>
          <w:rFonts w:ascii="Arial" w:hAnsi="Arial" w:cs="Arial"/>
          <w:sz w:val="20"/>
          <w:szCs w:val="20"/>
          <w:lang w:val="en-GB" w:eastAsia="en-GB"/>
        </w:rPr>
      </w:pPr>
    </w:p>
    <w:p w14:paraId="5FE8F8E7" w14:textId="318E509E"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8B2810">
        <w:rPr>
          <w:rFonts w:ascii="Arial" w:hAnsi="Arial" w:cs="Arial"/>
          <w:b/>
          <w:sz w:val="22"/>
          <w:szCs w:val="22"/>
          <w:lang w:val="en-GB" w:eastAsia="en-GB"/>
        </w:rPr>
        <w:t>Title:</w:t>
      </w:r>
      <w:r w:rsidRPr="008B2810">
        <w:rPr>
          <w:rFonts w:ascii="Arial" w:hAnsi="Arial" w:cs="Arial"/>
          <w:b/>
          <w:sz w:val="22"/>
          <w:szCs w:val="22"/>
          <w:lang w:val="en-GB" w:eastAsia="en-GB"/>
        </w:rPr>
        <w:tab/>
      </w:r>
      <w:r w:rsidRPr="008B2810">
        <w:rPr>
          <w:rFonts w:ascii="Arial" w:hAnsi="Arial" w:cs="Arial"/>
          <w:bCs/>
          <w:sz w:val="22"/>
          <w:szCs w:val="22"/>
          <w:lang w:val="en-GB" w:eastAsia="en-GB"/>
        </w:rPr>
        <w:t xml:space="preserve">Draft LS on enabling </w:t>
      </w:r>
      <w:r w:rsidR="006414F2">
        <w:rPr>
          <w:rFonts w:ascii="Arial" w:hAnsi="Arial" w:cs="Arial"/>
          <w:bCs/>
          <w:sz w:val="22"/>
          <w:szCs w:val="22"/>
          <w:lang w:val="en-GB" w:eastAsia="en-GB"/>
        </w:rPr>
        <w:t>uplink duty cycle and DPC</w:t>
      </w:r>
      <w:r w:rsidRPr="008B2810">
        <w:rPr>
          <w:rFonts w:ascii="Arial" w:hAnsi="Arial" w:cs="Arial"/>
          <w:bCs/>
          <w:sz w:val="22"/>
          <w:szCs w:val="22"/>
          <w:lang w:val="en-GB" w:eastAsia="en-GB"/>
        </w:rPr>
        <w:t xml:space="preserve"> reporting for </w:t>
      </w:r>
      <w:r w:rsidR="006414F2">
        <w:rPr>
          <w:rFonts w:ascii="Arial" w:hAnsi="Arial" w:cs="Arial"/>
          <w:bCs/>
          <w:sz w:val="22"/>
          <w:szCs w:val="22"/>
          <w:lang w:val="en-GB" w:eastAsia="en-GB"/>
        </w:rPr>
        <w:t>NR-</w:t>
      </w:r>
      <w:r w:rsidRPr="008B2810">
        <w:rPr>
          <w:rFonts w:ascii="Arial" w:hAnsi="Arial" w:cs="Arial"/>
          <w:bCs/>
          <w:sz w:val="22"/>
          <w:szCs w:val="22"/>
          <w:lang w:val="en-GB" w:eastAsia="en-GB"/>
        </w:rPr>
        <w:t>NTN HPUE</w:t>
      </w:r>
    </w:p>
    <w:p w14:paraId="07A1941B"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6" w:name="OLE_LINK57"/>
      <w:bookmarkStart w:id="7" w:name="OLE_LINK58"/>
      <w:r w:rsidRPr="008B2810">
        <w:rPr>
          <w:rFonts w:ascii="Arial" w:hAnsi="Arial" w:cs="Arial"/>
          <w:b/>
          <w:sz w:val="22"/>
          <w:szCs w:val="22"/>
          <w:lang w:val="en-GB" w:eastAsia="en-GB"/>
        </w:rPr>
        <w:t>Response to:</w:t>
      </w:r>
      <w:r w:rsidRPr="008B2810">
        <w:rPr>
          <w:rFonts w:ascii="Arial" w:hAnsi="Arial" w:cs="Arial"/>
          <w:b/>
          <w:bCs/>
          <w:sz w:val="22"/>
          <w:szCs w:val="22"/>
          <w:lang w:val="en-GB" w:eastAsia="en-GB"/>
        </w:rPr>
        <w:tab/>
      </w:r>
      <w:r w:rsidRPr="008B2810">
        <w:rPr>
          <w:rFonts w:ascii="Arial" w:hAnsi="Arial" w:cs="Arial"/>
          <w:sz w:val="22"/>
          <w:szCs w:val="22"/>
          <w:lang w:val="en-GB" w:eastAsia="en-GB"/>
        </w:rPr>
        <w:t>-</w:t>
      </w:r>
    </w:p>
    <w:p w14:paraId="5CBB8FA5"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8" w:name="OLE_LINK59"/>
      <w:bookmarkStart w:id="9" w:name="OLE_LINK60"/>
      <w:bookmarkStart w:id="10" w:name="OLE_LINK61"/>
      <w:bookmarkEnd w:id="6"/>
      <w:bookmarkEnd w:id="7"/>
      <w:r w:rsidRPr="008B2810">
        <w:rPr>
          <w:rFonts w:ascii="Arial" w:hAnsi="Arial" w:cs="Arial"/>
          <w:b/>
          <w:sz w:val="22"/>
          <w:szCs w:val="22"/>
          <w:lang w:val="en-GB" w:eastAsia="en-GB"/>
        </w:rPr>
        <w:t>Release:</w:t>
      </w:r>
      <w:r w:rsidRPr="008B2810">
        <w:rPr>
          <w:rFonts w:ascii="Arial" w:hAnsi="Arial" w:cs="Arial"/>
          <w:b/>
          <w:bCs/>
          <w:sz w:val="22"/>
          <w:szCs w:val="22"/>
          <w:lang w:val="en-GB" w:eastAsia="en-GB"/>
        </w:rPr>
        <w:tab/>
      </w:r>
      <w:r w:rsidRPr="008B2810">
        <w:rPr>
          <w:rFonts w:ascii="Arial" w:hAnsi="Arial" w:cs="Arial"/>
          <w:sz w:val="22"/>
          <w:szCs w:val="22"/>
          <w:lang w:val="en-GB" w:eastAsia="en-GB"/>
        </w:rPr>
        <w:t>Rel-19</w:t>
      </w:r>
    </w:p>
    <w:bookmarkEnd w:id="8"/>
    <w:bookmarkEnd w:id="9"/>
    <w:bookmarkEnd w:id="10"/>
    <w:p w14:paraId="2282A3DB"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8B2810">
        <w:rPr>
          <w:rFonts w:ascii="Arial" w:hAnsi="Arial" w:cs="Arial"/>
          <w:b/>
          <w:sz w:val="22"/>
          <w:szCs w:val="22"/>
          <w:lang w:val="en-GB" w:eastAsia="en-GB"/>
        </w:rPr>
        <w:t>Work Item:</w:t>
      </w:r>
      <w:r w:rsidRPr="008B2810">
        <w:rPr>
          <w:rFonts w:ascii="Arial" w:hAnsi="Arial" w:cs="Arial"/>
          <w:b/>
          <w:bCs/>
          <w:sz w:val="22"/>
          <w:szCs w:val="22"/>
          <w:lang w:val="en-GB" w:eastAsia="en-GB"/>
        </w:rPr>
        <w:tab/>
      </w:r>
      <w:proofErr w:type="spellStart"/>
      <w:r w:rsidRPr="008B2810">
        <w:rPr>
          <w:rFonts w:ascii="Arial" w:hAnsi="Arial" w:cs="Arial"/>
          <w:sz w:val="22"/>
          <w:szCs w:val="22"/>
          <w:lang w:val="en-GB" w:eastAsia="en-GB"/>
        </w:rPr>
        <w:t>NR_IoT_NTN_req_test_enh</w:t>
      </w:r>
      <w:proofErr w:type="spellEnd"/>
      <w:r w:rsidRPr="008B2810">
        <w:rPr>
          <w:rFonts w:ascii="Arial" w:hAnsi="Arial" w:cs="Arial"/>
          <w:sz w:val="22"/>
          <w:szCs w:val="22"/>
          <w:lang w:val="en-GB" w:eastAsia="en-GB"/>
        </w:rPr>
        <w:t>-Core</w:t>
      </w:r>
    </w:p>
    <w:p w14:paraId="08D4C627"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sz w:val="22"/>
          <w:szCs w:val="22"/>
          <w:lang w:val="en-GB" w:eastAsia="en-GB"/>
        </w:rPr>
      </w:pPr>
    </w:p>
    <w:p w14:paraId="65C2857B"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8B2810">
        <w:rPr>
          <w:rFonts w:ascii="Arial" w:hAnsi="Arial" w:cs="Arial"/>
          <w:b/>
          <w:sz w:val="22"/>
          <w:szCs w:val="22"/>
          <w:lang w:val="en-GB" w:eastAsia="en-GB"/>
        </w:rPr>
        <w:t>Source:</w:t>
      </w:r>
      <w:r w:rsidRPr="008B2810">
        <w:rPr>
          <w:rFonts w:ascii="Arial" w:hAnsi="Arial" w:cs="Arial"/>
          <w:b/>
          <w:sz w:val="22"/>
          <w:szCs w:val="22"/>
          <w:lang w:val="en-GB" w:eastAsia="en-GB"/>
        </w:rPr>
        <w:tab/>
      </w:r>
      <w:bookmarkStart w:id="11" w:name="OLE_LINK12"/>
      <w:bookmarkStart w:id="12" w:name="OLE_LINK13"/>
      <w:bookmarkStart w:id="13" w:name="OLE_LINK14"/>
      <w:r w:rsidRPr="008B2810">
        <w:rPr>
          <w:rFonts w:ascii="Arial" w:hAnsi="Arial" w:cs="Arial"/>
          <w:bCs/>
          <w:sz w:val="22"/>
          <w:szCs w:val="22"/>
          <w:lang w:val="en-GB" w:eastAsia="en-GB"/>
        </w:rPr>
        <w:t>Ericsson</w:t>
      </w:r>
      <w:bookmarkEnd w:id="11"/>
      <w:bookmarkEnd w:id="12"/>
      <w:bookmarkEnd w:id="13"/>
    </w:p>
    <w:p w14:paraId="7287AC2D"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8B2810">
        <w:rPr>
          <w:rFonts w:ascii="Arial" w:hAnsi="Arial" w:cs="Arial"/>
          <w:b/>
          <w:sz w:val="22"/>
          <w:szCs w:val="22"/>
          <w:lang w:val="en-GB" w:eastAsia="en-GB"/>
        </w:rPr>
        <w:t>To:</w:t>
      </w:r>
      <w:r w:rsidRPr="008B2810">
        <w:rPr>
          <w:rFonts w:ascii="Arial" w:hAnsi="Arial" w:cs="Arial"/>
          <w:b/>
          <w:bCs/>
          <w:sz w:val="22"/>
          <w:szCs w:val="22"/>
          <w:lang w:val="en-GB" w:eastAsia="en-GB"/>
        </w:rPr>
        <w:tab/>
      </w:r>
      <w:bookmarkStart w:id="14" w:name="OLE_LINK47"/>
      <w:bookmarkStart w:id="15" w:name="OLE_LINK48"/>
      <w:bookmarkStart w:id="16" w:name="OLE_LINK49"/>
      <w:bookmarkStart w:id="17" w:name="OLE_LINK42"/>
      <w:bookmarkStart w:id="18" w:name="OLE_LINK43"/>
      <w:bookmarkStart w:id="19" w:name="OLE_LINK44"/>
      <w:r w:rsidRPr="008B2810">
        <w:rPr>
          <w:rFonts w:ascii="Arial" w:hAnsi="Arial" w:cs="Arial"/>
          <w:sz w:val="22"/>
          <w:szCs w:val="22"/>
          <w:lang w:val="en-GB" w:eastAsia="en-GB"/>
        </w:rPr>
        <w:t>RAN2</w:t>
      </w:r>
      <w:bookmarkEnd w:id="14"/>
      <w:bookmarkEnd w:id="15"/>
      <w:bookmarkEnd w:id="16"/>
      <w:bookmarkEnd w:id="17"/>
      <w:bookmarkEnd w:id="18"/>
      <w:bookmarkEnd w:id="19"/>
    </w:p>
    <w:p w14:paraId="59E53B26"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20" w:name="OLE_LINK45"/>
      <w:bookmarkStart w:id="21" w:name="OLE_LINK46"/>
      <w:r w:rsidRPr="008B2810">
        <w:rPr>
          <w:rFonts w:ascii="Arial" w:hAnsi="Arial" w:cs="Arial"/>
          <w:b/>
          <w:sz w:val="22"/>
          <w:szCs w:val="22"/>
          <w:lang w:val="en-GB" w:eastAsia="en-GB"/>
        </w:rPr>
        <w:t>Cc:</w:t>
      </w:r>
      <w:r w:rsidRPr="008B2810">
        <w:rPr>
          <w:rFonts w:ascii="Arial" w:hAnsi="Arial" w:cs="Arial"/>
          <w:b/>
          <w:bCs/>
          <w:sz w:val="22"/>
          <w:szCs w:val="22"/>
          <w:lang w:val="en-GB" w:eastAsia="en-GB"/>
        </w:rPr>
        <w:tab/>
        <w:t>-</w:t>
      </w:r>
    </w:p>
    <w:bookmarkEnd w:id="20"/>
    <w:bookmarkEnd w:id="21"/>
    <w:p w14:paraId="4A1B03EF"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Cs/>
          <w:sz w:val="20"/>
          <w:szCs w:val="20"/>
          <w:lang w:val="en-GB" w:eastAsia="en-GB"/>
        </w:rPr>
      </w:pPr>
    </w:p>
    <w:p w14:paraId="0972CD95"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8B2810">
        <w:rPr>
          <w:rFonts w:ascii="Arial" w:hAnsi="Arial" w:cs="Arial"/>
          <w:b/>
          <w:sz w:val="22"/>
          <w:szCs w:val="22"/>
          <w:lang w:val="en-GB" w:eastAsia="en-GB"/>
        </w:rPr>
        <w:t>Contact person:</w:t>
      </w:r>
      <w:r w:rsidRPr="008B2810">
        <w:rPr>
          <w:rFonts w:ascii="Arial" w:hAnsi="Arial" w:cs="Arial"/>
          <w:b/>
          <w:bCs/>
          <w:sz w:val="22"/>
          <w:szCs w:val="22"/>
          <w:lang w:val="en-GB" w:eastAsia="en-GB"/>
        </w:rPr>
        <w:tab/>
      </w:r>
      <w:r w:rsidRPr="008B2810">
        <w:rPr>
          <w:rFonts w:ascii="Arial" w:hAnsi="Arial" w:cs="Arial"/>
          <w:sz w:val="22"/>
          <w:szCs w:val="22"/>
          <w:lang w:val="en-GB" w:eastAsia="en-GB"/>
        </w:rPr>
        <w:t>Stefan Cerovic</w:t>
      </w:r>
    </w:p>
    <w:p w14:paraId="144573DF" w14:textId="75AA2CF9" w:rsidR="008B2810" w:rsidRPr="008B2810" w:rsidRDefault="008B2810" w:rsidP="008B2810">
      <w:pPr>
        <w:overflowPunct w:val="0"/>
        <w:autoSpaceDE w:val="0"/>
        <w:autoSpaceDN w:val="0"/>
        <w:adjustRightInd w:val="0"/>
        <w:spacing w:after="60"/>
        <w:ind w:left="1985" w:hanging="1985"/>
        <w:textAlignment w:val="baseline"/>
        <w:rPr>
          <w:rFonts w:ascii="Arial" w:hAnsi="Arial" w:cs="Arial"/>
          <w:sz w:val="22"/>
          <w:szCs w:val="22"/>
          <w:lang w:val="en-GB" w:eastAsia="en-GB"/>
        </w:rPr>
      </w:pPr>
      <w:r w:rsidRPr="008B2810">
        <w:rPr>
          <w:rFonts w:ascii="Arial" w:hAnsi="Arial" w:cs="Arial"/>
          <w:b/>
          <w:bCs/>
          <w:sz w:val="22"/>
          <w:szCs w:val="22"/>
          <w:lang w:val="en-GB" w:eastAsia="en-GB"/>
        </w:rPr>
        <w:tab/>
      </w:r>
      <w:r w:rsidRPr="008B2810">
        <w:rPr>
          <w:rFonts w:ascii="Arial" w:hAnsi="Arial" w:cs="Arial"/>
          <w:sz w:val="22"/>
          <w:szCs w:val="22"/>
          <w:lang w:val="en-GB" w:eastAsia="en-GB"/>
        </w:rPr>
        <w:t>stefan.cerovic@ericsson.com</w:t>
      </w:r>
    </w:p>
    <w:p w14:paraId="477AE1F7"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8B2810">
        <w:rPr>
          <w:rFonts w:ascii="Arial" w:hAnsi="Arial" w:cs="Arial"/>
          <w:b/>
          <w:bCs/>
          <w:sz w:val="22"/>
          <w:szCs w:val="22"/>
          <w:lang w:val="en-GB" w:eastAsia="en-GB"/>
        </w:rPr>
        <w:tab/>
      </w:r>
    </w:p>
    <w:p w14:paraId="503BA429"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8B2810">
        <w:rPr>
          <w:rFonts w:ascii="Arial" w:hAnsi="Arial" w:cs="Arial"/>
          <w:b/>
          <w:sz w:val="22"/>
          <w:szCs w:val="22"/>
          <w:lang w:val="en-GB" w:eastAsia="en-GB"/>
        </w:rPr>
        <w:t>Send any reply LS to:</w:t>
      </w:r>
      <w:r w:rsidRPr="008B2810">
        <w:rPr>
          <w:rFonts w:ascii="Arial" w:hAnsi="Arial" w:cs="Arial"/>
          <w:b/>
          <w:sz w:val="22"/>
          <w:szCs w:val="22"/>
          <w:lang w:val="en-GB" w:eastAsia="en-GB"/>
        </w:rPr>
        <w:tab/>
        <w:t xml:space="preserve">3GPP Liaisons Coordinator, </w:t>
      </w:r>
      <w:hyperlink r:id="rId17" w:history="1">
        <w:r w:rsidRPr="008B2810">
          <w:rPr>
            <w:rFonts w:ascii="Arial" w:hAnsi="Arial" w:cs="Arial"/>
            <w:b/>
            <w:color w:val="0000FF"/>
            <w:sz w:val="22"/>
            <w:szCs w:val="22"/>
            <w:u w:val="single"/>
            <w:lang w:val="en-GB" w:eastAsia="en-GB"/>
          </w:rPr>
          <w:t>mailto:3GPPLiaison@etsi.org</w:t>
        </w:r>
      </w:hyperlink>
    </w:p>
    <w:p w14:paraId="1B159429"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
          <w:sz w:val="20"/>
          <w:szCs w:val="20"/>
          <w:lang w:val="en-GB" w:eastAsia="en-GB"/>
        </w:rPr>
      </w:pPr>
    </w:p>
    <w:p w14:paraId="25E1A583" w14:textId="77777777" w:rsidR="008B2810" w:rsidRPr="008B2810" w:rsidRDefault="008B2810" w:rsidP="008B2810">
      <w:pPr>
        <w:overflowPunct w:val="0"/>
        <w:autoSpaceDE w:val="0"/>
        <w:autoSpaceDN w:val="0"/>
        <w:adjustRightInd w:val="0"/>
        <w:spacing w:after="60"/>
        <w:ind w:left="1985" w:hanging="1985"/>
        <w:textAlignment w:val="baseline"/>
        <w:rPr>
          <w:rFonts w:ascii="Arial" w:hAnsi="Arial" w:cs="Arial"/>
          <w:bCs/>
          <w:sz w:val="20"/>
          <w:szCs w:val="20"/>
          <w:lang w:val="en-GB" w:eastAsia="en-GB"/>
        </w:rPr>
      </w:pPr>
      <w:r w:rsidRPr="008B2810">
        <w:rPr>
          <w:rFonts w:ascii="Arial" w:hAnsi="Arial" w:cs="Arial"/>
          <w:b/>
          <w:sz w:val="20"/>
          <w:szCs w:val="20"/>
          <w:lang w:val="en-GB" w:eastAsia="en-GB"/>
        </w:rPr>
        <w:t>Attachments:</w:t>
      </w:r>
      <w:r w:rsidRPr="008B2810">
        <w:rPr>
          <w:rFonts w:ascii="Arial" w:hAnsi="Arial" w:cs="Arial"/>
          <w:bCs/>
          <w:sz w:val="20"/>
          <w:szCs w:val="20"/>
          <w:lang w:val="en-GB" w:eastAsia="en-GB"/>
        </w:rPr>
        <w:tab/>
        <w:t>-</w:t>
      </w:r>
    </w:p>
    <w:p w14:paraId="5C976A68" w14:textId="77777777" w:rsidR="008B2810" w:rsidRPr="008B2810" w:rsidRDefault="008B2810" w:rsidP="008B2810">
      <w:pPr>
        <w:overflowPunct w:val="0"/>
        <w:autoSpaceDE w:val="0"/>
        <w:autoSpaceDN w:val="0"/>
        <w:adjustRightInd w:val="0"/>
        <w:spacing w:after="180"/>
        <w:textAlignment w:val="baseline"/>
        <w:rPr>
          <w:rFonts w:ascii="Arial" w:hAnsi="Arial" w:cs="Arial"/>
          <w:sz w:val="20"/>
          <w:szCs w:val="20"/>
          <w:lang w:val="en-GB" w:eastAsia="en-GB"/>
        </w:rPr>
      </w:pPr>
    </w:p>
    <w:p w14:paraId="37D9ED20" w14:textId="734B3211" w:rsidR="008B2810" w:rsidRPr="008B2810" w:rsidRDefault="008B2810" w:rsidP="008B2810">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eastAsia="en-GB"/>
        </w:rPr>
      </w:pPr>
      <w:r w:rsidRPr="008B2810">
        <w:rPr>
          <w:rFonts w:ascii="Arial" w:hAnsi="Arial"/>
          <w:sz w:val="36"/>
          <w:szCs w:val="20"/>
          <w:lang w:val="en-GB" w:eastAsia="en-GB"/>
        </w:rPr>
        <w:t>1</w:t>
      </w:r>
      <w:r>
        <w:rPr>
          <w:rFonts w:ascii="Arial" w:hAnsi="Arial"/>
          <w:sz w:val="36"/>
          <w:szCs w:val="20"/>
          <w:lang w:val="en-GB" w:eastAsia="en-GB"/>
        </w:rPr>
        <w:tab/>
      </w:r>
      <w:r>
        <w:rPr>
          <w:rFonts w:ascii="Arial" w:hAnsi="Arial"/>
          <w:sz w:val="36"/>
          <w:szCs w:val="20"/>
          <w:lang w:val="en-GB" w:eastAsia="en-GB"/>
        </w:rPr>
        <w:tab/>
      </w:r>
      <w:r>
        <w:rPr>
          <w:rFonts w:ascii="Arial" w:hAnsi="Arial"/>
          <w:sz w:val="36"/>
          <w:szCs w:val="20"/>
          <w:lang w:val="en-GB" w:eastAsia="en-GB"/>
        </w:rPr>
        <w:tab/>
      </w:r>
      <w:r>
        <w:rPr>
          <w:rFonts w:ascii="Arial" w:hAnsi="Arial"/>
          <w:sz w:val="36"/>
          <w:szCs w:val="20"/>
          <w:lang w:val="en-GB" w:eastAsia="en-GB"/>
        </w:rPr>
        <w:tab/>
      </w:r>
      <w:r w:rsidRPr="008B2810">
        <w:rPr>
          <w:rFonts w:ascii="Arial" w:hAnsi="Arial"/>
          <w:sz w:val="36"/>
          <w:szCs w:val="20"/>
          <w:lang w:val="en-GB" w:eastAsia="en-GB"/>
        </w:rPr>
        <w:t>Overall description</w:t>
      </w:r>
    </w:p>
    <w:p w14:paraId="1E685F35" w14:textId="2D2D5785" w:rsidR="006414F2" w:rsidRDefault="006414F2" w:rsidP="008B2810">
      <w:pPr>
        <w:overflowPunct w:val="0"/>
        <w:autoSpaceDE w:val="0"/>
        <w:autoSpaceDN w:val="0"/>
        <w:adjustRightInd w:val="0"/>
        <w:spacing w:after="180"/>
        <w:textAlignment w:val="baseline"/>
        <w:rPr>
          <w:sz w:val="20"/>
          <w:szCs w:val="20"/>
          <w:lang w:val="en-GB" w:eastAsia="en-GB"/>
        </w:rPr>
      </w:pPr>
      <w:r w:rsidRPr="006414F2">
        <w:rPr>
          <w:sz w:val="20"/>
          <w:szCs w:val="20"/>
          <w:lang w:val="en-GB" w:eastAsia="en-GB"/>
        </w:rPr>
        <w:t>In Rel-19</w:t>
      </w:r>
      <w:r>
        <w:rPr>
          <w:sz w:val="20"/>
          <w:szCs w:val="20"/>
          <w:lang w:val="en-GB" w:eastAsia="en-GB"/>
        </w:rPr>
        <w:t xml:space="preserve">, RAN4 has introduced the support for High Power UE (HPUE) for NR-NTN and IoT-NTN. For NR-NTN, power classes PC2 (26 dBm) and PC1 (31 dBm) </w:t>
      </w:r>
      <w:r w:rsidR="003C560F">
        <w:rPr>
          <w:sz w:val="20"/>
          <w:szCs w:val="20"/>
          <w:lang w:val="en-GB" w:eastAsia="en-GB"/>
        </w:rPr>
        <w:t>were</w:t>
      </w:r>
      <w:r>
        <w:rPr>
          <w:sz w:val="20"/>
          <w:szCs w:val="20"/>
          <w:lang w:val="en-GB" w:eastAsia="en-GB"/>
        </w:rPr>
        <w:t xml:space="preserve"> specified for example bands n256 and n255.</w:t>
      </w:r>
    </w:p>
    <w:p w14:paraId="045E4D21" w14:textId="77777777" w:rsidR="002931B5" w:rsidRDefault="00EC7A1B" w:rsidP="008B2810">
      <w:pPr>
        <w:overflowPunct w:val="0"/>
        <w:autoSpaceDE w:val="0"/>
        <w:autoSpaceDN w:val="0"/>
        <w:adjustRightInd w:val="0"/>
        <w:spacing w:after="180"/>
        <w:textAlignment w:val="baseline"/>
        <w:rPr>
          <w:sz w:val="20"/>
          <w:szCs w:val="20"/>
          <w:lang w:val="en-GB" w:eastAsia="en-GB"/>
        </w:rPr>
      </w:pPr>
      <w:r>
        <w:rPr>
          <w:sz w:val="20"/>
          <w:szCs w:val="20"/>
          <w:lang w:val="en-GB" w:eastAsia="en-GB"/>
        </w:rPr>
        <w:t xml:space="preserve">Regarding the provisions to facilitate SAR compliance for higher Power Classes, </w:t>
      </w:r>
      <w:r w:rsidR="002931B5">
        <w:rPr>
          <w:sz w:val="20"/>
          <w:szCs w:val="20"/>
          <w:lang w:val="en-GB" w:eastAsia="en-GB"/>
        </w:rPr>
        <w:t xml:space="preserve">RAN4 reached an agreement </w:t>
      </w:r>
      <w:r>
        <w:rPr>
          <w:sz w:val="20"/>
          <w:szCs w:val="20"/>
          <w:lang w:val="en-GB" w:eastAsia="en-GB"/>
        </w:rPr>
        <w:t xml:space="preserve">that NR TN solution shall be reused, i.e. P-MPR and the optional maximum uplink duty cycle reporting. </w:t>
      </w:r>
    </w:p>
    <w:p w14:paraId="041A97ED" w14:textId="27AFF5D6" w:rsidR="006414F2" w:rsidRPr="002931B5" w:rsidRDefault="002931B5" w:rsidP="008B2810">
      <w:pPr>
        <w:overflowPunct w:val="0"/>
        <w:autoSpaceDE w:val="0"/>
        <w:autoSpaceDN w:val="0"/>
        <w:adjustRightInd w:val="0"/>
        <w:spacing w:after="180"/>
        <w:textAlignment w:val="baseline"/>
        <w:rPr>
          <w:sz w:val="20"/>
          <w:szCs w:val="20"/>
          <w:lang w:val="en-GB" w:eastAsia="en-GB"/>
        </w:rPr>
      </w:pPr>
      <w:r w:rsidRPr="002931B5">
        <w:rPr>
          <w:sz w:val="20"/>
          <w:szCs w:val="20"/>
          <w:lang w:val="en-GB" w:eastAsia="en-GB"/>
        </w:rPr>
        <w:t xml:space="preserve">In Rel-18, RAN4 has introduced an optional </w:t>
      </w:r>
      <w:proofErr w:type="spellStart"/>
      <w:r w:rsidRPr="002931B5">
        <w:rPr>
          <w:sz w:val="20"/>
          <w:szCs w:val="20"/>
          <w:lang w:val="en-GB" w:eastAsia="en-GB"/>
        </w:rPr>
        <w:t>ΔP</w:t>
      </w:r>
      <w:r w:rsidRPr="002931B5">
        <w:rPr>
          <w:sz w:val="20"/>
          <w:szCs w:val="20"/>
          <w:vertAlign w:val="subscript"/>
          <w:lang w:val="en-GB" w:eastAsia="en-GB"/>
        </w:rPr>
        <w:t>PowerClass</w:t>
      </w:r>
      <w:proofErr w:type="spellEnd"/>
      <w:r w:rsidRPr="002931B5">
        <w:rPr>
          <w:sz w:val="20"/>
          <w:szCs w:val="20"/>
          <w:lang w:val="en-GB" w:eastAsia="en-GB"/>
        </w:rPr>
        <w:t xml:space="preserve"> </w:t>
      </w:r>
      <w:r w:rsidRPr="002931B5">
        <w:rPr>
          <w:rFonts w:eastAsia="SimSun"/>
          <w:sz w:val="20"/>
          <w:szCs w:val="20"/>
        </w:rPr>
        <w:t xml:space="preserve">(DPC) </w:t>
      </w:r>
      <w:r w:rsidRPr="002931B5">
        <w:rPr>
          <w:sz w:val="20"/>
          <w:szCs w:val="20"/>
          <w:lang w:val="en-GB" w:eastAsia="en-GB"/>
        </w:rPr>
        <w:t xml:space="preserve">reporting for TN </w:t>
      </w:r>
      <w:r w:rsidRPr="002931B5">
        <w:rPr>
          <w:rFonts w:eastAsia="SimSun"/>
          <w:sz w:val="20"/>
          <w:szCs w:val="20"/>
        </w:rPr>
        <w:t xml:space="preserve">in the PHR (Power Headroom Report) for improving network scheduling by providing the network with the actual power-capability state of a UE. The reporting is triggered only by uplink duty cycle exceedance or by return to the </w:t>
      </w:r>
      <w:proofErr w:type="spellStart"/>
      <w:r w:rsidRPr="002931B5">
        <w:rPr>
          <w:rFonts w:eastAsia="SimSun"/>
          <w:i/>
          <w:iCs/>
          <w:sz w:val="20"/>
          <w:szCs w:val="20"/>
        </w:rPr>
        <w:t>ue-PowerClass</w:t>
      </w:r>
      <w:proofErr w:type="spellEnd"/>
      <w:r w:rsidRPr="002931B5">
        <w:rPr>
          <w:rFonts w:eastAsia="SimSun"/>
          <w:sz w:val="20"/>
          <w:szCs w:val="20"/>
        </w:rPr>
        <w:t xml:space="preserve"> after the duty cycle exceedance</w:t>
      </w:r>
      <w:r>
        <w:rPr>
          <w:rFonts w:eastAsia="SimSun"/>
          <w:sz w:val="20"/>
          <w:szCs w:val="20"/>
        </w:rPr>
        <w:t>.</w:t>
      </w:r>
    </w:p>
    <w:p w14:paraId="7F5ABC23" w14:textId="15D695B1" w:rsidR="002931B5" w:rsidRDefault="002931B5" w:rsidP="008B2810">
      <w:pPr>
        <w:overflowPunct w:val="0"/>
        <w:autoSpaceDE w:val="0"/>
        <w:autoSpaceDN w:val="0"/>
        <w:adjustRightInd w:val="0"/>
        <w:spacing w:after="180"/>
        <w:textAlignment w:val="baseline"/>
        <w:rPr>
          <w:sz w:val="20"/>
          <w:szCs w:val="20"/>
          <w:lang w:val="en-GB" w:eastAsia="en-GB"/>
        </w:rPr>
      </w:pPr>
      <w:r>
        <w:rPr>
          <w:sz w:val="20"/>
          <w:szCs w:val="20"/>
          <w:lang w:val="en-GB" w:eastAsia="en-GB"/>
        </w:rPr>
        <w:t xml:space="preserve">RAN4 has also reached an agreement </w:t>
      </w:r>
      <w:r w:rsidR="003655B1">
        <w:rPr>
          <w:sz w:val="20"/>
          <w:szCs w:val="20"/>
          <w:lang w:val="en-GB" w:eastAsia="en-GB"/>
        </w:rPr>
        <w:t>that to support the maximum uplink duty cycle reporting and the DPC reporting, the following updates need to be potentially made:</w:t>
      </w:r>
    </w:p>
    <w:p w14:paraId="06E0BB88" w14:textId="72EEBB05" w:rsidR="003655B1" w:rsidRPr="003C560F" w:rsidRDefault="003655B1" w:rsidP="003655B1">
      <w:pPr>
        <w:pStyle w:val="ListParagraph"/>
        <w:numPr>
          <w:ilvl w:val="0"/>
          <w:numId w:val="30"/>
        </w:numPr>
        <w:spacing w:after="180"/>
        <w:ind w:firstLineChars="0"/>
        <w:rPr>
          <w:sz w:val="20"/>
          <w:szCs w:val="20"/>
          <w:lang w:val="en-GB" w:eastAsia="en-GB"/>
        </w:rPr>
      </w:pPr>
      <w:r w:rsidRPr="003C560F">
        <w:rPr>
          <w:sz w:val="20"/>
          <w:szCs w:val="20"/>
          <w:lang w:val="en-GB" w:eastAsia="en-GB"/>
        </w:rPr>
        <w:t xml:space="preserve">In TS38.306, the descriptions for </w:t>
      </w:r>
      <w:r w:rsidRPr="003C560F">
        <w:rPr>
          <w:i/>
          <w:iCs/>
          <w:sz w:val="20"/>
          <w:szCs w:val="20"/>
          <w:lang w:val="en-GB" w:eastAsia="en-GB"/>
        </w:rPr>
        <w:t>maxUplinkDutyCycle-PC2-FR1</w:t>
      </w:r>
      <w:r w:rsidR="006712D2" w:rsidRPr="003C560F">
        <w:rPr>
          <w:sz w:val="20"/>
          <w:szCs w:val="20"/>
          <w:lang w:val="en-GB" w:eastAsia="en-GB"/>
        </w:rPr>
        <w:t xml:space="preserve"> </w:t>
      </w:r>
      <w:r w:rsidRPr="003C560F">
        <w:rPr>
          <w:sz w:val="20"/>
          <w:szCs w:val="20"/>
          <w:lang w:val="en-GB" w:eastAsia="en-GB"/>
        </w:rPr>
        <w:t xml:space="preserve">and </w:t>
      </w:r>
      <w:r w:rsidRPr="003C560F">
        <w:rPr>
          <w:i/>
          <w:iCs/>
          <w:sz w:val="20"/>
          <w:szCs w:val="20"/>
          <w:lang w:val="en-GB" w:eastAsia="en-GB"/>
        </w:rPr>
        <w:t>deltaPowerClassReporting-r18</w:t>
      </w:r>
      <w:r w:rsidRPr="003C560F">
        <w:rPr>
          <w:sz w:val="20"/>
          <w:szCs w:val="20"/>
          <w:lang w:val="en-GB" w:eastAsia="en-GB"/>
        </w:rPr>
        <w:t xml:space="preserve"> should be updated to refer also to 38.101-5</w:t>
      </w:r>
      <w:r w:rsidR="003C560F" w:rsidRPr="003C560F">
        <w:rPr>
          <w:sz w:val="20"/>
          <w:szCs w:val="20"/>
          <w:lang w:val="en-GB"/>
        </w:rPr>
        <w:t>,</w:t>
      </w:r>
      <w:r w:rsidR="003C560F">
        <w:rPr>
          <w:sz w:val="20"/>
          <w:szCs w:val="20"/>
          <w:lang w:val="en-GB"/>
        </w:rPr>
        <w:t xml:space="preserve"> in which</w:t>
      </w:r>
      <w:r w:rsidR="003C560F" w:rsidRPr="003C560F">
        <w:rPr>
          <w:sz w:val="20"/>
          <w:szCs w:val="20"/>
          <w:lang w:val="en-GB"/>
        </w:rPr>
        <w:t xml:space="preserve"> </w:t>
      </w:r>
      <w:r w:rsidRPr="003C560F">
        <w:rPr>
          <w:sz w:val="20"/>
          <w:szCs w:val="20"/>
          <w:lang w:val="en-GB" w:eastAsia="en-GB"/>
        </w:rPr>
        <w:t xml:space="preserve">the support for NR-NTN PC2 and PC1 power classes is specified for the corresponding FR1-NTN bands. </w:t>
      </w:r>
    </w:p>
    <w:p w14:paraId="2B613366" w14:textId="11C4B09E" w:rsidR="003655B1" w:rsidRPr="003C560F" w:rsidRDefault="003655B1" w:rsidP="003655B1">
      <w:pPr>
        <w:pStyle w:val="ListParagraph"/>
        <w:numPr>
          <w:ilvl w:val="0"/>
          <w:numId w:val="30"/>
        </w:numPr>
        <w:spacing w:after="180"/>
        <w:ind w:firstLineChars="0"/>
        <w:rPr>
          <w:sz w:val="20"/>
          <w:szCs w:val="20"/>
          <w:lang w:val="en-GB" w:eastAsia="en-GB"/>
        </w:rPr>
      </w:pPr>
      <w:r w:rsidRPr="003C560F">
        <w:rPr>
          <w:sz w:val="20"/>
          <w:szCs w:val="20"/>
          <w:lang w:val="en-GB" w:eastAsia="en-GB"/>
        </w:rPr>
        <w:t xml:space="preserve">In TS38.321, the description of DPC field in the “Single Entry PHR MAC CE” should be updated to refer also to 38.101-5, as well as the </w:t>
      </w:r>
      <w:r w:rsidR="003C560F">
        <w:rPr>
          <w:sz w:val="20"/>
          <w:szCs w:val="20"/>
          <w:lang w:val="en-GB" w:eastAsia="en-GB"/>
        </w:rPr>
        <w:t xml:space="preserve">description of a </w:t>
      </w:r>
      <w:r w:rsidRPr="003C560F">
        <w:rPr>
          <w:sz w:val="20"/>
          <w:szCs w:val="20"/>
          <w:lang w:val="en-GB" w:eastAsia="en-GB"/>
        </w:rPr>
        <w:t xml:space="preserve">triggering event for Power Headroom Report (PHR) if </w:t>
      </w:r>
      <w:r w:rsidRPr="003C560F">
        <w:rPr>
          <w:i/>
          <w:iCs/>
          <w:sz w:val="20"/>
          <w:szCs w:val="20"/>
          <w:lang w:val="en-GB" w:eastAsia="en-GB"/>
        </w:rPr>
        <w:t>dpc-Reporting-FR1</w:t>
      </w:r>
      <w:r w:rsidRPr="003C560F">
        <w:rPr>
          <w:sz w:val="20"/>
          <w:szCs w:val="20"/>
          <w:lang w:val="en-GB" w:eastAsia="en-GB"/>
        </w:rPr>
        <w:t xml:space="preserve"> is configured.</w:t>
      </w:r>
    </w:p>
    <w:p w14:paraId="4727105E" w14:textId="7EB64499" w:rsidR="008B2810" w:rsidRPr="008B2810" w:rsidRDefault="008B2810" w:rsidP="008B2810">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eastAsia="en-GB"/>
        </w:rPr>
      </w:pPr>
      <w:r w:rsidRPr="008B2810">
        <w:rPr>
          <w:rFonts w:ascii="Arial" w:hAnsi="Arial"/>
          <w:sz w:val="36"/>
          <w:szCs w:val="20"/>
          <w:lang w:val="en-GB" w:eastAsia="en-GB"/>
        </w:rPr>
        <w:t>2</w:t>
      </w:r>
      <w:r>
        <w:rPr>
          <w:rFonts w:ascii="Arial" w:hAnsi="Arial"/>
          <w:sz w:val="36"/>
          <w:szCs w:val="20"/>
          <w:lang w:val="en-GB" w:eastAsia="en-GB"/>
        </w:rPr>
        <w:tab/>
      </w:r>
      <w:r>
        <w:rPr>
          <w:rFonts w:ascii="Arial" w:hAnsi="Arial"/>
          <w:sz w:val="36"/>
          <w:szCs w:val="20"/>
          <w:lang w:val="en-GB" w:eastAsia="en-GB"/>
        </w:rPr>
        <w:tab/>
      </w:r>
      <w:r>
        <w:rPr>
          <w:rFonts w:ascii="Arial" w:hAnsi="Arial"/>
          <w:sz w:val="36"/>
          <w:szCs w:val="20"/>
          <w:lang w:val="en-GB" w:eastAsia="en-GB"/>
        </w:rPr>
        <w:tab/>
      </w:r>
      <w:r>
        <w:rPr>
          <w:rFonts w:ascii="Arial" w:hAnsi="Arial"/>
          <w:sz w:val="36"/>
          <w:szCs w:val="20"/>
          <w:lang w:val="en-GB" w:eastAsia="en-GB"/>
        </w:rPr>
        <w:tab/>
      </w:r>
      <w:r w:rsidRPr="008B2810">
        <w:rPr>
          <w:rFonts w:ascii="Arial" w:hAnsi="Arial"/>
          <w:sz w:val="36"/>
          <w:szCs w:val="20"/>
          <w:lang w:val="en-GB" w:eastAsia="en-GB"/>
        </w:rPr>
        <w:t>Actions</w:t>
      </w:r>
    </w:p>
    <w:p w14:paraId="40ABBAD1" w14:textId="715DB680" w:rsidR="008B2810" w:rsidRPr="008B2810" w:rsidRDefault="008B2810" w:rsidP="008B2810">
      <w:pPr>
        <w:overflowPunct w:val="0"/>
        <w:autoSpaceDE w:val="0"/>
        <w:autoSpaceDN w:val="0"/>
        <w:adjustRightInd w:val="0"/>
        <w:spacing w:after="120"/>
        <w:ind w:left="1985" w:hanging="1985"/>
        <w:textAlignment w:val="baseline"/>
        <w:rPr>
          <w:rFonts w:ascii="Arial" w:hAnsi="Arial" w:cs="Arial"/>
          <w:b/>
          <w:sz w:val="20"/>
          <w:szCs w:val="20"/>
          <w:lang w:val="en-GB" w:eastAsia="en-GB"/>
        </w:rPr>
      </w:pPr>
      <w:r w:rsidRPr="008B2810">
        <w:rPr>
          <w:rFonts w:ascii="Arial" w:hAnsi="Arial" w:cs="Arial"/>
          <w:b/>
          <w:sz w:val="20"/>
          <w:szCs w:val="20"/>
          <w:lang w:val="en-GB" w:eastAsia="en-GB"/>
        </w:rPr>
        <w:t xml:space="preserve">To </w:t>
      </w:r>
      <w:r w:rsidR="003A0279" w:rsidRPr="003A0279">
        <w:rPr>
          <w:rFonts w:ascii="Arial" w:hAnsi="Arial" w:cs="Arial"/>
          <w:b/>
          <w:bCs/>
          <w:sz w:val="22"/>
          <w:szCs w:val="22"/>
          <w:lang w:val="en-GB" w:eastAsia="en-GB"/>
        </w:rPr>
        <w:t>RAN2</w:t>
      </w:r>
      <w:r w:rsidR="003A0279">
        <w:rPr>
          <w:rFonts w:ascii="Arial" w:hAnsi="Arial" w:cs="Arial"/>
          <w:b/>
          <w:bCs/>
          <w:sz w:val="22"/>
          <w:szCs w:val="22"/>
          <w:lang w:val="en-GB" w:eastAsia="en-GB"/>
        </w:rPr>
        <w:t xml:space="preserve"> group:</w:t>
      </w:r>
      <w:r w:rsidRPr="008B2810">
        <w:rPr>
          <w:rFonts w:ascii="Arial" w:hAnsi="Arial" w:cs="Arial"/>
          <w:b/>
          <w:sz w:val="20"/>
          <w:szCs w:val="20"/>
          <w:lang w:val="en-GB" w:eastAsia="en-GB"/>
        </w:rPr>
        <w:t xml:space="preserve"> </w:t>
      </w:r>
    </w:p>
    <w:p w14:paraId="4456546E" w14:textId="77777777" w:rsidR="003A0279" w:rsidRDefault="008B2810" w:rsidP="003A0279">
      <w:pPr>
        <w:overflowPunct w:val="0"/>
        <w:autoSpaceDE w:val="0"/>
        <w:autoSpaceDN w:val="0"/>
        <w:adjustRightInd w:val="0"/>
        <w:spacing w:after="120"/>
        <w:ind w:left="993" w:hanging="993"/>
        <w:textAlignment w:val="baseline"/>
        <w:rPr>
          <w:color w:val="0070C0"/>
          <w:sz w:val="20"/>
          <w:szCs w:val="20"/>
          <w:lang w:val="en-GB" w:eastAsia="en-GB"/>
        </w:rPr>
      </w:pPr>
      <w:r w:rsidRPr="008B2810">
        <w:rPr>
          <w:rFonts w:ascii="Arial" w:hAnsi="Arial" w:cs="Arial"/>
          <w:b/>
          <w:sz w:val="20"/>
          <w:szCs w:val="20"/>
          <w:lang w:val="en-GB" w:eastAsia="en-GB"/>
        </w:rPr>
        <w:lastRenderedPageBreak/>
        <w:t xml:space="preserve">ACTION: </w:t>
      </w:r>
      <w:r w:rsidRPr="008B2810">
        <w:rPr>
          <w:rFonts w:ascii="Arial" w:hAnsi="Arial" w:cs="Arial"/>
          <w:b/>
          <w:color w:val="0070C0"/>
          <w:sz w:val="20"/>
          <w:szCs w:val="20"/>
          <w:lang w:val="en-GB" w:eastAsia="en-GB"/>
        </w:rPr>
        <w:tab/>
      </w:r>
      <w:r w:rsidR="003A0279" w:rsidRPr="00F21387">
        <w:rPr>
          <w:sz w:val="20"/>
          <w:szCs w:val="20"/>
          <w:lang w:val="en-GB" w:eastAsia="en-GB"/>
        </w:rPr>
        <w:t>RAN4 respectfully</w:t>
      </w:r>
      <w:r w:rsidRPr="00F21387">
        <w:rPr>
          <w:sz w:val="20"/>
          <w:szCs w:val="20"/>
          <w:lang w:val="en-GB" w:eastAsia="en-GB"/>
        </w:rPr>
        <w:t xml:space="preserve"> asks</w:t>
      </w:r>
      <w:r w:rsidR="003A0279" w:rsidRPr="00F21387">
        <w:rPr>
          <w:sz w:val="20"/>
          <w:szCs w:val="20"/>
          <w:lang w:val="en-GB" w:eastAsia="en-GB"/>
        </w:rPr>
        <w:t xml:space="preserve"> RAN2 to take the provided information into account and introduce necessary updates in TS38.306 and TS38.321 specifications to enable the maximum uplink duty cycle reporting and the DPC reporting for NR-NTN HPUE.</w:t>
      </w:r>
    </w:p>
    <w:p w14:paraId="7D7B058C" w14:textId="77777777" w:rsidR="008B2810" w:rsidRPr="008B2810" w:rsidRDefault="008B2810" w:rsidP="003A0279">
      <w:pPr>
        <w:overflowPunct w:val="0"/>
        <w:autoSpaceDE w:val="0"/>
        <w:autoSpaceDN w:val="0"/>
        <w:adjustRightInd w:val="0"/>
        <w:spacing w:after="120"/>
        <w:textAlignment w:val="baseline"/>
        <w:rPr>
          <w:rFonts w:ascii="Arial" w:hAnsi="Arial" w:cs="Arial"/>
          <w:sz w:val="20"/>
          <w:szCs w:val="20"/>
          <w:lang w:val="en-GB" w:eastAsia="en-GB"/>
        </w:rPr>
      </w:pPr>
    </w:p>
    <w:p w14:paraId="7390CAC9" w14:textId="7165F3DC" w:rsidR="008B2810" w:rsidRPr="00F21387" w:rsidRDefault="008B2810" w:rsidP="008B2810">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36"/>
          <w:lang w:val="en-GB" w:eastAsia="en-GB"/>
        </w:rPr>
      </w:pPr>
      <w:r w:rsidRPr="00F21387">
        <w:rPr>
          <w:rFonts w:ascii="Arial" w:hAnsi="Arial"/>
          <w:sz w:val="36"/>
          <w:szCs w:val="36"/>
          <w:lang w:val="en-GB" w:eastAsia="en-GB"/>
        </w:rPr>
        <w:t>3</w:t>
      </w:r>
      <w:r w:rsidRPr="00F21387">
        <w:rPr>
          <w:rFonts w:ascii="Arial" w:hAnsi="Arial"/>
          <w:sz w:val="36"/>
          <w:szCs w:val="36"/>
          <w:lang w:val="en-GB" w:eastAsia="en-GB"/>
        </w:rPr>
        <w:tab/>
      </w:r>
      <w:r w:rsidRPr="00F21387">
        <w:rPr>
          <w:rFonts w:ascii="Arial" w:hAnsi="Arial"/>
          <w:sz w:val="36"/>
          <w:szCs w:val="36"/>
          <w:lang w:val="en-GB" w:eastAsia="en-GB"/>
        </w:rPr>
        <w:tab/>
      </w:r>
      <w:r w:rsidRPr="00F21387">
        <w:rPr>
          <w:rFonts w:ascii="Arial" w:hAnsi="Arial"/>
          <w:sz w:val="36"/>
          <w:szCs w:val="36"/>
          <w:lang w:val="en-GB" w:eastAsia="en-GB"/>
        </w:rPr>
        <w:tab/>
      </w:r>
      <w:r w:rsidRPr="00F21387">
        <w:rPr>
          <w:rFonts w:ascii="Arial" w:hAnsi="Arial"/>
          <w:sz w:val="36"/>
          <w:szCs w:val="36"/>
          <w:lang w:val="en-GB" w:eastAsia="en-GB"/>
        </w:rPr>
        <w:tab/>
        <w:t xml:space="preserve">Dates of next </w:t>
      </w:r>
      <w:r w:rsidRPr="00F21387">
        <w:rPr>
          <w:rFonts w:ascii="Arial" w:hAnsi="Arial" w:cs="Arial"/>
          <w:bCs/>
          <w:sz w:val="36"/>
          <w:szCs w:val="36"/>
          <w:lang w:val="en-GB" w:eastAsia="en-GB"/>
        </w:rPr>
        <w:t xml:space="preserve">TSG </w:t>
      </w:r>
      <w:r w:rsidR="003A0279" w:rsidRPr="00F21387">
        <w:rPr>
          <w:rFonts w:ascii="Arial" w:hAnsi="Arial" w:cs="Arial"/>
          <w:sz w:val="36"/>
          <w:szCs w:val="36"/>
          <w:lang w:val="en-GB" w:eastAsia="en-GB"/>
        </w:rPr>
        <w:t>RAN</w:t>
      </w:r>
      <w:r w:rsidRPr="00F21387">
        <w:rPr>
          <w:rFonts w:ascii="Arial" w:hAnsi="Arial" w:cs="Arial"/>
          <w:bCs/>
          <w:sz w:val="36"/>
          <w:szCs w:val="36"/>
          <w:lang w:val="en-GB" w:eastAsia="en-GB"/>
        </w:rPr>
        <w:t xml:space="preserve"> WG</w:t>
      </w:r>
      <w:r w:rsidR="003A0279" w:rsidRPr="00F21387">
        <w:rPr>
          <w:rFonts w:ascii="Arial" w:hAnsi="Arial" w:cs="Arial"/>
          <w:bCs/>
          <w:sz w:val="36"/>
          <w:szCs w:val="36"/>
          <w:lang w:val="en-GB" w:eastAsia="en-GB"/>
        </w:rPr>
        <w:t>4</w:t>
      </w:r>
      <w:r w:rsidRPr="00F21387">
        <w:rPr>
          <w:rFonts w:ascii="Arial" w:hAnsi="Arial"/>
          <w:sz w:val="36"/>
          <w:szCs w:val="36"/>
          <w:lang w:val="en-GB" w:eastAsia="en-GB"/>
        </w:rPr>
        <w:t xml:space="preserve"> meetings</w:t>
      </w:r>
    </w:p>
    <w:p w14:paraId="14C075D6" w14:textId="143A6AD5" w:rsidR="008B2810" w:rsidRPr="00F21387" w:rsidRDefault="003A0279" w:rsidP="008B2810">
      <w:pPr>
        <w:overflowPunct w:val="0"/>
        <w:autoSpaceDE w:val="0"/>
        <w:autoSpaceDN w:val="0"/>
        <w:adjustRightInd w:val="0"/>
        <w:spacing w:after="180"/>
        <w:textAlignment w:val="baseline"/>
        <w:rPr>
          <w:sz w:val="20"/>
          <w:szCs w:val="20"/>
          <w:lang w:val="en-GB" w:eastAsia="en-GB"/>
        </w:rPr>
      </w:pPr>
      <w:bookmarkStart w:id="22" w:name="OLE_LINK55"/>
      <w:bookmarkStart w:id="23" w:name="OLE_LINK56"/>
      <w:bookmarkStart w:id="24" w:name="OLE_LINK53"/>
      <w:bookmarkStart w:id="25" w:name="OLE_LINK54"/>
      <w:r w:rsidRPr="00F21387">
        <w:rPr>
          <w:sz w:val="20"/>
          <w:szCs w:val="20"/>
          <w:lang w:val="en-GB" w:eastAsia="en-GB"/>
        </w:rPr>
        <w:t>TSG-RAN4 #117</w:t>
      </w:r>
      <w:r w:rsidRPr="00F21387">
        <w:rPr>
          <w:sz w:val="20"/>
          <w:szCs w:val="20"/>
          <w:lang w:val="en-GB" w:eastAsia="en-GB"/>
        </w:rPr>
        <w:tab/>
      </w:r>
      <w:r w:rsidR="008B2810" w:rsidRPr="00F21387">
        <w:rPr>
          <w:sz w:val="20"/>
          <w:szCs w:val="20"/>
          <w:lang w:val="en-GB" w:eastAsia="en-GB"/>
        </w:rPr>
        <w:tab/>
      </w:r>
      <w:r w:rsidRPr="00F21387">
        <w:rPr>
          <w:sz w:val="20"/>
          <w:szCs w:val="20"/>
          <w:lang w:val="en-GB" w:eastAsia="en-GB"/>
        </w:rPr>
        <w:t>November 17</w:t>
      </w:r>
      <w:r w:rsidR="008B2810" w:rsidRPr="00F21387">
        <w:rPr>
          <w:sz w:val="20"/>
          <w:szCs w:val="20"/>
          <w:lang w:val="en-GB" w:eastAsia="en-GB"/>
        </w:rPr>
        <w:t xml:space="preserve"> </w:t>
      </w:r>
      <w:r w:rsidRPr="00F21387">
        <w:rPr>
          <w:sz w:val="20"/>
          <w:szCs w:val="20"/>
          <w:lang w:val="en-GB" w:eastAsia="en-GB"/>
        </w:rPr>
        <w:t>–</w:t>
      </w:r>
      <w:r w:rsidR="008B2810" w:rsidRPr="00F21387">
        <w:rPr>
          <w:sz w:val="20"/>
          <w:szCs w:val="20"/>
          <w:lang w:val="en-GB" w:eastAsia="en-GB"/>
        </w:rPr>
        <w:t xml:space="preserve"> </w:t>
      </w:r>
      <w:r w:rsidRPr="00F21387">
        <w:rPr>
          <w:sz w:val="20"/>
          <w:szCs w:val="20"/>
          <w:lang w:val="en-GB" w:eastAsia="en-GB"/>
        </w:rPr>
        <w:t>21, 2025</w:t>
      </w:r>
      <w:r w:rsidR="008B2810" w:rsidRPr="00F21387">
        <w:rPr>
          <w:sz w:val="20"/>
          <w:szCs w:val="20"/>
          <w:lang w:val="en-GB" w:eastAsia="en-GB"/>
        </w:rPr>
        <w:tab/>
      </w:r>
      <w:r w:rsidRPr="00F21387">
        <w:rPr>
          <w:sz w:val="20"/>
          <w:szCs w:val="20"/>
          <w:lang w:val="en-GB" w:eastAsia="en-GB"/>
        </w:rPr>
        <w:t>Dallas</w:t>
      </w:r>
      <w:r w:rsidR="008B2810" w:rsidRPr="00F21387">
        <w:rPr>
          <w:sz w:val="20"/>
          <w:szCs w:val="20"/>
          <w:lang w:val="en-GB" w:eastAsia="en-GB"/>
        </w:rPr>
        <w:t xml:space="preserve">, </w:t>
      </w:r>
      <w:r w:rsidRPr="00F21387">
        <w:rPr>
          <w:sz w:val="20"/>
          <w:szCs w:val="20"/>
          <w:lang w:val="en-GB" w:eastAsia="en-GB"/>
        </w:rPr>
        <w:t>US</w:t>
      </w:r>
      <w:bookmarkEnd w:id="22"/>
      <w:bookmarkEnd w:id="23"/>
    </w:p>
    <w:p w14:paraId="36754D1D" w14:textId="60D4918C" w:rsidR="008B2810" w:rsidRPr="008B2810" w:rsidRDefault="003A0279" w:rsidP="008B2810">
      <w:pPr>
        <w:overflowPunct w:val="0"/>
        <w:autoSpaceDE w:val="0"/>
        <w:autoSpaceDN w:val="0"/>
        <w:adjustRightInd w:val="0"/>
        <w:spacing w:after="180"/>
        <w:textAlignment w:val="baseline"/>
        <w:rPr>
          <w:sz w:val="20"/>
          <w:szCs w:val="20"/>
          <w:lang w:val="en-GB" w:eastAsia="en-GB"/>
        </w:rPr>
      </w:pPr>
      <w:r w:rsidRPr="00F21387">
        <w:rPr>
          <w:sz w:val="20"/>
          <w:szCs w:val="20"/>
          <w:lang w:val="en-GB" w:eastAsia="en-GB"/>
        </w:rPr>
        <w:t>TSG-RAN4 #118</w:t>
      </w:r>
      <w:r w:rsidRPr="00F21387">
        <w:rPr>
          <w:sz w:val="20"/>
          <w:szCs w:val="20"/>
          <w:lang w:val="en-GB" w:eastAsia="en-GB"/>
        </w:rPr>
        <w:tab/>
      </w:r>
      <w:r w:rsidR="008B2810" w:rsidRPr="00F21387">
        <w:rPr>
          <w:sz w:val="20"/>
          <w:szCs w:val="20"/>
          <w:lang w:val="en-GB" w:eastAsia="en-GB"/>
        </w:rPr>
        <w:tab/>
      </w:r>
      <w:r w:rsidR="00F21387" w:rsidRPr="00F21387">
        <w:rPr>
          <w:sz w:val="20"/>
          <w:szCs w:val="20"/>
          <w:lang w:val="en-GB" w:eastAsia="en-GB"/>
        </w:rPr>
        <w:t>February 9 – 13, 2026</w:t>
      </w:r>
      <w:r w:rsidR="008B2810" w:rsidRPr="00F21387">
        <w:rPr>
          <w:sz w:val="20"/>
          <w:szCs w:val="20"/>
          <w:lang w:val="en-GB" w:eastAsia="en-GB"/>
        </w:rPr>
        <w:tab/>
      </w:r>
      <w:r w:rsidR="00F21387" w:rsidRPr="00F21387">
        <w:rPr>
          <w:sz w:val="20"/>
          <w:szCs w:val="20"/>
          <w:lang w:val="en-GB" w:eastAsia="en-GB"/>
        </w:rPr>
        <w:tab/>
      </w:r>
      <w:r w:rsidRPr="00F21387">
        <w:rPr>
          <w:sz w:val="20"/>
          <w:szCs w:val="20"/>
          <w:lang w:val="en-GB" w:eastAsia="en-GB"/>
        </w:rPr>
        <w:t>Gothenburg Metropolitan Area</w:t>
      </w:r>
      <w:r w:rsidR="008B2810" w:rsidRPr="00F21387">
        <w:rPr>
          <w:sz w:val="20"/>
          <w:szCs w:val="20"/>
          <w:lang w:val="en-GB" w:eastAsia="en-GB"/>
        </w:rPr>
        <w:t xml:space="preserve">, </w:t>
      </w:r>
      <w:r w:rsidRPr="00F21387">
        <w:rPr>
          <w:sz w:val="20"/>
          <w:szCs w:val="20"/>
          <w:lang w:val="en-GB" w:eastAsia="en-GB"/>
        </w:rPr>
        <w:t>Sweden</w:t>
      </w:r>
    </w:p>
    <w:bookmarkEnd w:id="24"/>
    <w:bookmarkEnd w:id="25"/>
    <w:p w14:paraId="4D1C181E" w14:textId="77777777" w:rsidR="008B2810" w:rsidRPr="008B2810" w:rsidRDefault="008B2810" w:rsidP="008B2810">
      <w:pPr>
        <w:overflowPunct w:val="0"/>
        <w:autoSpaceDE w:val="0"/>
        <w:autoSpaceDN w:val="0"/>
        <w:adjustRightInd w:val="0"/>
        <w:spacing w:after="180"/>
        <w:textAlignment w:val="baseline"/>
        <w:rPr>
          <w:sz w:val="20"/>
          <w:szCs w:val="20"/>
          <w:lang w:val="en-GB" w:eastAsia="en-GB"/>
        </w:rPr>
      </w:pPr>
    </w:p>
    <w:p w14:paraId="1C5F954D" w14:textId="77777777" w:rsidR="008B2810" w:rsidRPr="008B2810" w:rsidRDefault="008B2810" w:rsidP="008B2810">
      <w:pPr>
        <w:rPr>
          <w:sz w:val="21"/>
          <w:szCs w:val="21"/>
          <w:lang w:val="en-GB" w:eastAsia="en-US"/>
        </w:rPr>
      </w:pPr>
    </w:p>
    <w:sectPr w:rsidR="008B2810" w:rsidRPr="008B281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69A8" w14:textId="77777777" w:rsidR="00A2717A" w:rsidRDefault="00A2717A" w:rsidP="00CF21FF">
      <w:r>
        <w:separator/>
      </w:r>
    </w:p>
  </w:endnote>
  <w:endnote w:type="continuationSeparator" w:id="0">
    <w:p w14:paraId="309CE638" w14:textId="77777777" w:rsidR="00A2717A" w:rsidRDefault="00A2717A" w:rsidP="00CF21FF">
      <w:r>
        <w:continuationSeparator/>
      </w:r>
    </w:p>
  </w:endnote>
  <w:endnote w:type="continuationNotice" w:id="1">
    <w:p w14:paraId="32407B2E" w14:textId="77777777" w:rsidR="00A2717A" w:rsidRDefault="00A27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7C496" w14:textId="77777777" w:rsidR="00A2717A" w:rsidRDefault="00A2717A" w:rsidP="00CF21FF">
      <w:r>
        <w:separator/>
      </w:r>
    </w:p>
  </w:footnote>
  <w:footnote w:type="continuationSeparator" w:id="0">
    <w:p w14:paraId="4ACC0F62" w14:textId="77777777" w:rsidR="00A2717A" w:rsidRDefault="00A2717A" w:rsidP="00CF21FF">
      <w:r>
        <w:continuationSeparator/>
      </w:r>
    </w:p>
  </w:footnote>
  <w:footnote w:type="continuationNotice" w:id="1">
    <w:p w14:paraId="1A862655" w14:textId="77777777" w:rsidR="00A2717A" w:rsidRDefault="00A271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F325E"/>
    <w:multiLevelType w:val="hybridMultilevel"/>
    <w:tmpl w:val="06F65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7761D"/>
    <w:multiLevelType w:val="hybridMultilevel"/>
    <w:tmpl w:val="0C1C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5F3049"/>
    <w:multiLevelType w:val="hybridMultilevel"/>
    <w:tmpl w:val="4E3CA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5268FC"/>
    <w:multiLevelType w:val="hybridMultilevel"/>
    <w:tmpl w:val="2E6087C0"/>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94D96"/>
    <w:multiLevelType w:val="hybridMultilevel"/>
    <w:tmpl w:val="A0068B70"/>
    <w:lvl w:ilvl="0" w:tplc="FFFFFFFF">
      <w:start w:val="1"/>
      <w:numFmt w:val="lowerLetter"/>
      <w:lvlText w:val="(%1)"/>
      <w:lvlJc w:val="left"/>
      <w:pPr>
        <w:ind w:left="2920" w:hanging="360"/>
      </w:pPr>
      <w:rPr>
        <w:rFonts w:hint="default"/>
      </w:rPr>
    </w:lvl>
    <w:lvl w:ilvl="1" w:tplc="FFFFFFFF" w:tentative="1">
      <w:start w:val="1"/>
      <w:numFmt w:val="lowerLetter"/>
      <w:lvlText w:val="%2."/>
      <w:lvlJc w:val="left"/>
      <w:pPr>
        <w:ind w:left="3640" w:hanging="360"/>
      </w:pPr>
    </w:lvl>
    <w:lvl w:ilvl="2" w:tplc="FFFFFFFF" w:tentative="1">
      <w:start w:val="1"/>
      <w:numFmt w:val="lowerRoman"/>
      <w:lvlText w:val="%3."/>
      <w:lvlJc w:val="right"/>
      <w:pPr>
        <w:ind w:left="4360" w:hanging="180"/>
      </w:pPr>
    </w:lvl>
    <w:lvl w:ilvl="3" w:tplc="FFFFFFFF" w:tentative="1">
      <w:start w:val="1"/>
      <w:numFmt w:val="decimal"/>
      <w:lvlText w:val="%4."/>
      <w:lvlJc w:val="left"/>
      <w:pPr>
        <w:ind w:left="5080" w:hanging="360"/>
      </w:pPr>
    </w:lvl>
    <w:lvl w:ilvl="4" w:tplc="FFFFFFFF" w:tentative="1">
      <w:start w:val="1"/>
      <w:numFmt w:val="lowerLetter"/>
      <w:lvlText w:val="%5."/>
      <w:lvlJc w:val="left"/>
      <w:pPr>
        <w:ind w:left="5800" w:hanging="360"/>
      </w:pPr>
    </w:lvl>
    <w:lvl w:ilvl="5" w:tplc="FFFFFFFF" w:tentative="1">
      <w:start w:val="1"/>
      <w:numFmt w:val="lowerRoman"/>
      <w:lvlText w:val="%6."/>
      <w:lvlJc w:val="right"/>
      <w:pPr>
        <w:ind w:left="6520" w:hanging="180"/>
      </w:pPr>
    </w:lvl>
    <w:lvl w:ilvl="6" w:tplc="FFFFFFFF" w:tentative="1">
      <w:start w:val="1"/>
      <w:numFmt w:val="decimal"/>
      <w:lvlText w:val="%7."/>
      <w:lvlJc w:val="left"/>
      <w:pPr>
        <w:ind w:left="7240" w:hanging="360"/>
      </w:pPr>
    </w:lvl>
    <w:lvl w:ilvl="7" w:tplc="FFFFFFFF" w:tentative="1">
      <w:start w:val="1"/>
      <w:numFmt w:val="lowerLetter"/>
      <w:lvlText w:val="%8."/>
      <w:lvlJc w:val="left"/>
      <w:pPr>
        <w:ind w:left="7960" w:hanging="360"/>
      </w:pPr>
    </w:lvl>
    <w:lvl w:ilvl="8" w:tplc="FFFFFFFF" w:tentative="1">
      <w:start w:val="1"/>
      <w:numFmt w:val="lowerRoman"/>
      <w:lvlText w:val="%9."/>
      <w:lvlJc w:val="right"/>
      <w:pPr>
        <w:ind w:left="8680"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EB7706"/>
    <w:multiLevelType w:val="hybridMultilevel"/>
    <w:tmpl w:val="D1427662"/>
    <w:lvl w:ilvl="0" w:tplc="5F908D9A">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6"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D5D3976"/>
    <w:multiLevelType w:val="hybridMultilevel"/>
    <w:tmpl w:val="A0068B70"/>
    <w:lvl w:ilvl="0" w:tplc="3EF6B328">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20"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13"/>
  </w:num>
  <w:num w:numId="2" w16cid:durableId="206456521">
    <w:abstractNumId w:val="17"/>
  </w:num>
  <w:num w:numId="3" w16cid:durableId="2114860448">
    <w:abstractNumId w:val="3"/>
  </w:num>
  <w:num w:numId="4" w16cid:durableId="236524273">
    <w:abstractNumId w:val="18"/>
  </w:num>
  <w:num w:numId="5" w16cid:durableId="124935407">
    <w:abstractNumId w:val="21"/>
  </w:num>
  <w:num w:numId="6" w16cid:durableId="910846781">
    <w:abstractNumId w:val="24"/>
  </w:num>
  <w:num w:numId="7" w16cid:durableId="730082185">
    <w:abstractNumId w:val="23"/>
  </w:num>
  <w:num w:numId="8" w16cid:durableId="575479695">
    <w:abstractNumId w:val="16"/>
  </w:num>
  <w:num w:numId="9" w16cid:durableId="1112823213">
    <w:abstractNumId w:val="14"/>
  </w:num>
  <w:num w:numId="10" w16cid:durableId="614143105">
    <w:abstractNumId w:val="22"/>
  </w:num>
  <w:num w:numId="11" w16cid:durableId="1213073752">
    <w:abstractNumId w:val="12"/>
  </w:num>
  <w:num w:numId="12" w16cid:durableId="341251335">
    <w:abstractNumId w:val="25"/>
  </w:num>
  <w:num w:numId="13" w16cid:durableId="338388040">
    <w:abstractNumId w:val="26"/>
  </w:num>
  <w:num w:numId="14" w16cid:durableId="683022094">
    <w:abstractNumId w:val="4"/>
  </w:num>
  <w:num w:numId="15" w16cid:durableId="598368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5"/>
  </w:num>
  <w:num w:numId="18" w16cid:durableId="1891309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20"/>
  </w:num>
  <w:num w:numId="20" w16cid:durableId="15349896">
    <w:abstractNumId w:val="27"/>
  </w:num>
  <w:num w:numId="21" w16cid:durableId="724373019">
    <w:abstractNumId w:val="11"/>
  </w:num>
  <w:num w:numId="22" w16cid:durableId="1839881142">
    <w:abstractNumId w:val="7"/>
  </w:num>
  <w:num w:numId="23" w16cid:durableId="240726457">
    <w:abstractNumId w:val="13"/>
  </w:num>
  <w:num w:numId="24" w16cid:durableId="1017077059">
    <w:abstractNumId w:val="9"/>
  </w:num>
  <w:num w:numId="25" w16cid:durableId="2028672868">
    <w:abstractNumId w:val="1"/>
  </w:num>
  <w:num w:numId="26" w16cid:durableId="207763560">
    <w:abstractNumId w:val="15"/>
  </w:num>
  <w:num w:numId="27" w16cid:durableId="1251548132">
    <w:abstractNumId w:val="19"/>
  </w:num>
  <w:num w:numId="28" w16cid:durableId="702941417">
    <w:abstractNumId w:val="10"/>
  </w:num>
  <w:num w:numId="29" w16cid:durableId="353111904">
    <w:abstractNumId w:val="8"/>
  </w:num>
  <w:num w:numId="30" w16cid:durableId="62011515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983"/>
    <w:rsid w:val="0003529E"/>
    <w:rsid w:val="000359BA"/>
    <w:rsid w:val="00035C50"/>
    <w:rsid w:val="000361EE"/>
    <w:rsid w:val="0003635E"/>
    <w:rsid w:val="00036B71"/>
    <w:rsid w:val="00036C06"/>
    <w:rsid w:val="0003740A"/>
    <w:rsid w:val="000401B2"/>
    <w:rsid w:val="0004032B"/>
    <w:rsid w:val="00040FC8"/>
    <w:rsid w:val="00041632"/>
    <w:rsid w:val="000417D6"/>
    <w:rsid w:val="00042572"/>
    <w:rsid w:val="000426F8"/>
    <w:rsid w:val="000446A8"/>
    <w:rsid w:val="00044A35"/>
    <w:rsid w:val="00045475"/>
    <w:rsid w:val="000457A1"/>
    <w:rsid w:val="00045F5F"/>
    <w:rsid w:val="0004603A"/>
    <w:rsid w:val="00046472"/>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2B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167E"/>
    <w:rsid w:val="0007205E"/>
    <w:rsid w:val="0007382E"/>
    <w:rsid w:val="00073EA6"/>
    <w:rsid w:val="000743DB"/>
    <w:rsid w:val="00074727"/>
    <w:rsid w:val="0007527E"/>
    <w:rsid w:val="000752BE"/>
    <w:rsid w:val="000766AC"/>
    <w:rsid w:val="000766E1"/>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6EE1"/>
    <w:rsid w:val="00097027"/>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518"/>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5E29"/>
    <w:rsid w:val="000D6467"/>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4123"/>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733"/>
    <w:rsid w:val="00142BB9"/>
    <w:rsid w:val="00142BF3"/>
    <w:rsid w:val="00143850"/>
    <w:rsid w:val="00143B82"/>
    <w:rsid w:val="00144F96"/>
    <w:rsid w:val="00145338"/>
    <w:rsid w:val="00145A99"/>
    <w:rsid w:val="00145B83"/>
    <w:rsid w:val="001464B5"/>
    <w:rsid w:val="00146EE4"/>
    <w:rsid w:val="001471CF"/>
    <w:rsid w:val="00147B33"/>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6F57"/>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6DCA"/>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985"/>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497B"/>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48B"/>
    <w:rsid w:val="00214699"/>
    <w:rsid w:val="00214997"/>
    <w:rsid w:val="00214CCD"/>
    <w:rsid w:val="00214E55"/>
    <w:rsid w:val="00214FBD"/>
    <w:rsid w:val="0021692A"/>
    <w:rsid w:val="00217592"/>
    <w:rsid w:val="00217E51"/>
    <w:rsid w:val="00220054"/>
    <w:rsid w:val="0022045C"/>
    <w:rsid w:val="0022176A"/>
    <w:rsid w:val="00221E08"/>
    <w:rsid w:val="00222897"/>
    <w:rsid w:val="00222B0C"/>
    <w:rsid w:val="002230A5"/>
    <w:rsid w:val="002232E4"/>
    <w:rsid w:val="002239CB"/>
    <w:rsid w:val="00223F0F"/>
    <w:rsid w:val="00224672"/>
    <w:rsid w:val="002252A8"/>
    <w:rsid w:val="00226B8E"/>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1B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ED"/>
    <w:rsid w:val="002A0EDF"/>
    <w:rsid w:val="002A1339"/>
    <w:rsid w:val="002A1356"/>
    <w:rsid w:val="002A1A8C"/>
    <w:rsid w:val="002A2520"/>
    <w:rsid w:val="002A3834"/>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4E20"/>
    <w:rsid w:val="002C652B"/>
    <w:rsid w:val="002C6913"/>
    <w:rsid w:val="002C6C1C"/>
    <w:rsid w:val="002C7713"/>
    <w:rsid w:val="002D035E"/>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5B1"/>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24C"/>
    <w:rsid w:val="00384819"/>
    <w:rsid w:val="003851A8"/>
    <w:rsid w:val="003851CF"/>
    <w:rsid w:val="003866F7"/>
    <w:rsid w:val="003866FA"/>
    <w:rsid w:val="003868EA"/>
    <w:rsid w:val="00387592"/>
    <w:rsid w:val="00391493"/>
    <w:rsid w:val="0039152E"/>
    <w:rsid w:val="0039209E"/>
    <w:rsid w:val="0039243A"/>
    <w:rsid w:val="0039303A"/>
    <w:rsid w:val="00393042"/>
    <w:rsid w:val="003933EB"/>
    <w:rsid w:val="00393763"/>
    <w:rsid w:val="00393D58"/>
    <w:rsid w:val="00394AD5"/>
    <w:rsid w:val="00394B72"/>
    <w:rsid w:val="00394C8B"/>
    <w:rsid w:val="003955E9"/>
    <w:rsid w:val="0039642D"/>
    <w:rsid w:val="00396E0D"/>
    <w:rsid w:val="00396E2A"/>
    <w:rsid w:val="00397543"/>
    <w:rsid w:val="003A0279"/>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560F"/>
    <w:rsid w:val="003C6893"/>
    <w:rsid w:val="003C6DE2"/>
    <w:rsid w:val="003C7350"/>
    <w:rsid w:val="003C780D"/>
    <w:rsid w:val="003C79C2"/>
    <w:rsid w:val="003C7A90"/>
    <w:rsid w:val="003D1A28"/>
    <w:rsid w:val="003D1EFD"/>
    <w:rsid w:val="003D28BF"/>
    <w:rsid w:val="003D2AD4"/>
    <w:rsid w:val="003D2C82"/>
    <w:rsid w:val="003D2EB2"/>
    <w:rsid w:val="003D40BB"/>
    <w:rsid w:val="003D4215"/>
    <w:rsid w:val="003D47F7"/>
    <w:rsid w:val="003D4C47"/>
    <w:rsid w:val="003D6318"/>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702C"/>
    <w:rsid w:val="00407661"/>
    <w:rsid w:val="00410314"/>
    <w:rsid w:val="00410E7B"/>
    <w:rsid w:val="00411029"/>
    <w:rsid w:val="00411A53"/>
    <w:rsid w:val="00412063"/>
    <w:rsid w:val="0041260B"/>
    <w:rsid w:val="0041281F"/>
    <w:rsid w:val="00412EB1"/>
    <w:rsid w:val="00413562"/>
    <w:rsid w:val="0041377E"/>
    <w:rsid w:val="00413DDE"/>
    <w:rsid w:val="00414118"/>
    <w:rsid w:val="004157BC"/>
    <w:rsid w:val="00415B0A"/>
    <w:rsid w:val="00416084"/>
    <w:rsid w:val="0041622E"/>
    <w:rsid w:val="00416902"/>
    <w:rsid w:val="00417599"/>
    <w:rsid w:val="004176A5"/>
    <w:rsid w:val="00417A97"/>
    <w:rsid w:val="00420945"/>
    <w:rsid w:val="0042119C"/>
    <w:rsid w:val="00422605"/>
    <w:rsid w:val="00422DEA"/>
    <w:rsid w:val="004231B5"/>
    <w:rsid w:val="00423232"/>
    <w:rsid w:val="00424C9E"/>
    <w:rsid w:val="00424F8C"/>
    <w:rsid w:val="00425F92"/>
    <w:rsid w:val="004261CB"/>
    <w:rsid w:val="00426275"/>
    <w:rsid w:val="004271BA"/>
    <w:rsid w:val="004273AD"/>
    <w:rsid w:val="00430220"/>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8B9"/>
    <w:rsid w:val="00463EC5"/>
    <w:rsid w:val="004642AE"/>
    <w:rsid w:val="0046490D"/>
    <w:rsid w:val="0046506B"/>
    <w:rsid w:val="00467440"/>
    <w:rsid w:val="00467611"/>
    <w:rsid w:val="00471125"/>
    <w:rsid w:val="00471BCD"/>
    <w:rsid w:val="00472268"/>
    <w:rsid w:val="00474118"/>
    <w:rsid w:val="0047437A"/>
    <w:rsid w:val="0047463B"/>
    <w:rsid w:val="00474F04"/>
    <w:rsid w:val="00475295"/>
    <w:rsid w:val="00475618"/>
    <w:rsid w:val="00475BE0"/>
    <w:rsid w:val="00480A7B"/>
    <w:rsid w:val="00480E42"/>
    <w:rsid w:val="00481DD8"/>
    <w:rsid w:val="00482724"/>
    <w:rsid w:val="00482829"/>
    <w:rsid w:val="004844DC"/>
    <w:rsid w:val="00484C5D"/>
    <w:rsid w:val="00484DF0"/>
    <w:rsid w:val="004852C8"/>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0F08"/>
    <w:rsid w:val="004C13BC"/>
    <w:rsid w:val="004C15FB"/>
    <w:rsid w:val="004C186B"/>
    <w:rsid w:val="004C187C"/>
    <w:rsid w:val="004C1F3B"/>
    <w:rsid w:val="004C327B"/>
    <w:rsid w:val="004C33AD"/>
    <w:rsid w:val="004C3C40"/>
    <w:rsid w:val="004C48B4"/>
    <w:rsid w:val="004C4F3C"/>
    <w:rsid w:val="004C54E5"/>
    <w:rsid w:val="004C5BFA"/>
    <w:rsid w:val="004C6186"/>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165D"/>
    <w:rsid w:val="00542AFB"/>
    <w:rsid w:val="0054348A"/>
    <w:rsid w:val="005444EF"/>
    <w:rsid w:val="0054516F"/>
    <w:rsid w:val="00545934"/>
    <w:rsid w:val="0054626D"/>
    <w:rsid w:val="00546F20"/>
    <w:rsid w:val="0054714B"/>
    <w:rsid w:val="00547A07"/>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3BF7"/>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2F2"/>
    <w:rsid w:val="005A1CA7"/>
    <w:rsid w:val="005A2945"/>
    <w:rsid w:val="005A3168"/>
    <w:rsid w:val="005A4929"/>
    <w:rsid w:val="005A5471"/>
    <w:rsid w:val="005A5625"/>
    <w:rsid w:val="005A655C"/>
    <w:rsid w:val="005A6D5C"/>
    <w:rsid w:val="005B025B"/>
    <w:rsid w:val="005B0DD5"/>
    <w:rsid w:val="005B1CEC"/>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2703"/>
    <w:rsid w:val="005D308E"/>
    <w:rsid w:val="005D363F"/>
    <w:rsid w:val="005D3A48"/>
    <w:rsid w:val="005D3ABE"/>
    <w:rsid w:val="005D4D13"/>
    <w:rsid w:val="005D4F71"/>
    <w:rsid w:val="005D505A"/>
    <w:rsid w:val="005D50B8"/>
    <w:rsid w:val="005D67FB"/>
    <w:rsid w:val="005D7648"/>
    <w:rsid w:val="005D7AF8"/>
    <w:rsid w:val="005D7EB9"/>
    <w:rsid w:val="005E17BF"/>
    <w:rsid w:val="005E1E7D"/>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938"/>
    <w:rsid w:val="00603A4A"/>
    <w:rsid w:val="00603A7F"/>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694"/>
    <w:rsid w:val="00623A68"/>
    <w:rsid w:val="00624A79"/>
    <w:rsid w:val="00625119"/>
    <w:rsid w:val="006255B1"/>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4F2"/>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49C3"/>
    <w:rsid w:val="00665E93"/>
    <w:rsid w:val="00666737"/>
    <w:rsid w:val="006670AC"/>
    <w:rsid w:val="0066769F"/>
    <w:rsid w:val="0067000B"/>
    <w:rsid w:val="00670273"/>
    <w:rsid w:val="006711F7"/>
    <w:rsid w:val="006712D2"/>
    <w:rsid w:val="00672307"/>
    <w:rsid w:val="0067373B"/>
    <w:rsid w:val="00673EB0"/>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8B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56EB"/>
    <w:rsid w:val="006D6177"/>
    <w:rsid w:val="006D62B5"/>
    <w:rsid w:val="006D75A6"/>
    <w:rsid w:val="006E01C1"/>
    <w:rsid w:val="006E0328"/>
    <w:rsid w:val="006E066D"/>
    <w:rsid w:val="006E0A32"/>
    <w:rsid w:val="006E0A73"/>
    <w:rsid w:val="006E0FEE"/>
    <w:rsid w:val="006E1652"/>
    <w:rsid w:val="006E1E5F"/>
    <w:rsid w:val="006E2341"/>
    <w:rsid w:val="006E28C0"/>
    <w:rsid w:val="006E3B78"/>
    <w:rsid w:val="006E501E"/>
    <w:rsid w:val="006E5EEA"/>
    <w:rsid w:val="006E6558"/>
    <w:rsid w:val="006E6C11"/>
    <w:rsid w:val="006E6C91"/>
    <w:rsid w:val="006F0160"/>
    <w:rsid w:val="006F1AD4"/>
    <w:rsid w:val="006F2683"/>
    <w:rsid w:val="006F2732"/>
    <w:rsid w:val="006F372C"/>
    <w:rsid w:val="006F3DDC"/>
    <w:rsid w:val="006F4BD1"/>
    <w:rsid w:val="006F580B"/>
    <w:rsid w:val="006F5AD5"/>
    <w:rsid w:val="006F5B58"/>
    <w:rsid w:val="006F5C2D"/>
    <w:rsid w:val="006F5FCF"/>
    <w:rsid w:val="006F75E9"/>
    <w:rsid w:val="006F7C0C"/>
    <w:rsid w:val="00700755"/>
    <w:rsid w:val="0070076F"/>
    <w:rsid w:val="007010AD"/>
    <w:rsid w:val="00701F9D"/>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1508"/>
    <w:rsid w:val="00721810"/>
    <w:rsid w:val="00722E23"/>
    <w:rsid w:val="00723025"/>
    <w:rsid w:val="00723CD7"/>
    <w:rsid w:val="00726222"/>
    <w:rsid w:val="0073023E"/>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5698"/>
    <w:rsid w:val="0074699E"/>
    <w:rsid w:val="00747809"/>
    <w:rsid w:val="00747C9C"/>
    <w:rsid w:val="00751861"/>
    <w:rsid w:val="007520B4"/>
    <w:rsid w:val="00752E6B"/>
    <w:rsid w:val="00753D16"/>
    <w:rsid w:val="00753E1C"/>
    <w:rsid w:val="00754960"/>
    <w:rsid w:val="00754CD7"/>
    <w:rsid w:val="00754D65"/>
    <w:rsid w:val="00755189"/>
    <w:rsid w:val="00756E39"/>
    <w:rsid w:val="00756EB6"/>
    <w:rsid w:val="0076074C"/>
    <w:rsid w:val="007609D3"/>
    <w:rsid w:val="00760BDD"/>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E90"/>
    <w:rsid w:val="007B5A43"/>
    <w:rsid w:val="007B5AC6"/>
    <w:rsid w:val="007B709B"/>
    <w:rsid w:val="007B7407"/>
    <w:rsid w:val="007B7444"/>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DB"/>
    <w:rsid w:val="007E42BE"/>
    <w:rsid w:val="007E47FF"/>
    <w:rsid w:val="007E58DA"/>
    <w:rsid w:val="007E6739"/>
    <w:rsid w:val="007E7062"/>
    <w:rsid w:val="007E7807"/>
    <w:rsid w:val="007E7C5B"/>
    <w:rsid w:val="007F0375"/>
    <w:rsid w:val="007F04FC"/>
    <w:rsid w:val="007F0E1E"/>
    <w:rsid w:val="007F0E2B"/>
    <w:rsid w:val="007F12DE"/>
    <w:rsid w:val="007F1507"/>
    <w:rsid w:val="007F206B"/>
    <w:rsid w:val="007F24F1"/>
    <w:rsid w:val="007F29A7"/>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6D0"/>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652E"/>
    <w:rsid w:val="00876B98"/>
    <w:rsid w:val="00876D16"/>
    <w:rsid w:val="00877BC6"/>
    <w:rsid w:val="008811C1"/>
    <w:rsid w:val="0088147F"/>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B51"/>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0AE2"/>
    <w:rsid w:val="008B1AEC"/>
    <w:rsid w:val="008B2810"/>
    <w:rsid w:val="008B3194"/>
    <w:rsid w:val="008B446A"/>
    <w:rsid w:val="008B4506"/>
    <w:rsid w:val="008B5AE7"/>
    <w:rsid w:val="008B5E43"/>
    <w:rsid w:val="008B5EB3"/>
    <w:rsid w:val="008B618D"/>
    <w:rsid w:val="008B7DFE"/>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70C6"/>
    <w:rsid w:val="008D79B6"/>
    <w:rsid w:val="008D7F95"/>
    <w:rsid w:val="008E0CD1"/>
    <w:rsid w:val="008E1281"/>
    <w:rsid w:val="008E1F60"/>
    <w:rsid w:val="008E21A6"/>
    <w:rsid w:val="008E25B6"/>
    <w:rsid w:val="008E307E"/>
    <w:rsid w:val="008E3F58"/>
    <w:rsid w:val="008E4A66"/>
    <w:rsid w:val="008E4AB0"/>
    <w:rsid w:val="008E4EE3"/>
    <w:rsid w:val="008E5A5B"/>
    <w:rsid w:val="008E6119"/>
    <w:rsid w:val="008E657F"/>
    <w:rsid w:val="008E7830"/>
    <w:rsid w:val="008E79CD"/>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99F"/>
    <w:rsid w:val="00901D8E"/>
    <w:rsid w:val="00902C07"/>
    <w:rsid w:val="00903FD3"/>
    <w:rsid w:val="00905804"/>
    <w:rsid w:val="00905A61"/>
    <w:rsid w:val="00905A6B"/>
    <w:rsid w:val="00907628"/>
    <w:rsid w:val="009076A7"/>
    <w:rsid w:val="009101E2"/>
    <w:rsid w:val="00910918"/>
    <w:rsid w:val="00910C0D"/>
    <w:rsid w:val="00911459"/>
    <w:rsid w:val="009118AB"/>
    <w:rsid w:val="00912541"/>
    <w:rsid w:val="00913153"/>
    <w:rsid w:val="00913787"/>
    <w:rsid w:val="00913801"/>
    <w:rsid w:val="00915D73"/>
    <w:rsid w:val="00915E78"/>
    <w:rsid w:val="00916077"/>
    <w:rsid w:val="009163AA"/>
    <w:rsid w:val="00916B13"/>
    <w:rsid w:val="009170A2"/>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C7F"/>
    <w:rsid w:val="0094330C"/>
    <w:rsid w:val="009443EB"/>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3A17"/>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79A"/>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BDB"/>
    <w:rsid w:val="009F0650"/>
    <w:rsid w:val="009F099E"/>
    <w:rsid w:val="009F0BD1"/>
    <w:rsid w:val="009F0F9E"/>
    <w:rsid w:val="009F14E0"/>
    <w:rsid w:val="009F18A6"/>
    <w:rsid w:val="009F1E67"/>
    <w:rsid w:val="009F319D"/>
    <w:rsid w:val="009F3F02"/>
    <w:rsid w:val="009F42FA"/>
    <w:rsid w:val="009F4593"/>
    <w:rsid w:val="009F47E0"/>
    <w:rsid w:val="009F5022"/>
    <w:rsid w:val="009F555C"/>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19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717A"/>
    <w:rsid w:val="00A271AA"/>
    <w:rsid w:val="00A272B1"/>
    <w:rsid w:val="00A2734D"/>
    <w:rsid w:val="00A278E4"/>
    <w:rsid w:val="00A27F5F"/>
    <w:rsid w:val="00A309CF"/>
    <w:rsid w:val="00A31691"/>
    <w:rsid w:val="00A32EE2"/>
    <w:rsid w:val="00A32FDE"/>
    <w:rsid w:val="00A33DDF"/>
    <w:rsid w:val="00A33EB0"/>
    <w:rsid w:val="00A34547"/>
    <w:rsid w:val="00A35A92"/>
    <w:rsid w:val="00A36AFF"/>
    <w:rsid w:val="00A376B7"/>
    <w:rsid w:val="00A4011D"/>
    <w:rsid w:val="00A410BB"/>
    <w:rsid w:val="00A41A5B"/>
    <w:rsid w:val="00A41BF5"/>
    <w:rsid w:val="00A429C5"/>
    <w:rsid w:val="00A43434"/>
    <w:rsid w:val="00A44778"/>
    <w:rsid w:val="00A46759"/>
    <w:rsid w:val="00A469E7"/>
    <w:rsid w:val="00A46F1B"/>
    <w:rsid w:val="00A47509"/>
    <w:rsid w:val="00A4773A"/>
    <w:rsid w:val="00A478CD"/>
    <w:rsid w:val="00A47F6F"/>
    <w:rsid w:val="00A501C4"/>
    <w:rsid w:val="00A50334"/>
    <w:rsid w:val="00A51678"/>
    <w:rsid w:val="00A52071"/>
    <w:rsid w:val="00A53412"/>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8F"/>
    <w:rsid w:val="00A67E69"/>
    <w:rsid w:val="00A7147D"/>
    <w:rsid w:val="00A7216B"/>
    <w:rsid w:val="00A72E9C"/>
    <w:rsid w:val="00A73522"/>
    <w:rsid w:val="00A73B3F"/>
    <w:rsid w:val="00A73DC4"/>
    <w:rsid w:val="00A7537A"/>
    <w:rsid w:val="00A75D2E"/>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371"/>
    <w:rsid w:val="00A92513"/>
    <w:rsid w:val="00A92DA7"/>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F06"/>
    <w:rsid w:val="00AB2AFA"/>
    <w:rsid w:val="00AB31ED"/>
    <w:rsid w:val="00AB37C0"/>
    <w:rsid w:val="00AB3DDB"/>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46E1"/>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47ED"/>
    <w:rsid w:val="00B1487B"/>
    <w:rsid w:val="00B15386"/>
    <w:rsid w:val="00B1551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0D22"/>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0C9E"/>
    <w:rsid w:val="00B51799"/>
    <w:rsid w:val="00B520D2"/>
    <w:rsid w:val="00B5288F"/>
    <w:rsid w:val="00B53643"/>
    <w:rsid w:val="00B54A88"/>
    <w:rsid w:val="00B5551F"/>
    <w:rsid w:val="00B5697D"/>
    <w:rsid w:val="00B56F08"/>
    <w:rsid w:val="00B57265"/>
    <w:rsid w:val="00B6135E"/>
    <w:rsid w:val="00B633AE"/>
    <w:rsid w:val="00B643F5"/>
    <w:rsid w:val="00B64480"/>
    <w:rsid w:val="00B66067"/>
    <w:rsid w:val="00B66077"/>
    <w:rsid w:val="00B66431"/>
    <w:rsid w:val="00B665D2"/>
    <w:rsid w:val="00B66816"/>
    <w:rsid w:val="00B67031"/>
    <w:rsid w:val="00B6737C"/>
    <w:rsid w:val="00B67477"/>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6DB5"/>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28DE"/>
    <w:rsid w:val="00BC44FE"/>
    <w:rsid w:val="00BC5982"/>
    <w:rsid w:val="00BC5EB8"/>
    <w:rsid w:val="00BC60BF"/>
    <w:rsid w:val="00BC60C2"/>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4EC5"/>
    <w:rsid w:val="00C34F76"/>
    <w:rsid w:val="00C35AA7"/>
    <w:rsid w:val="00C36765"/>
    <w:rsid w:val="00C36D31"/>
    <w:rsid w:val="00C370E0"/>
    <w:rsid w:val="00C37FEA"/>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5EE9"/>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67F10"/>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2EF"/>
    <w:rsid w:val="00CC3768"/>
    <w:rsid w:val="00CC3E45"/>
    <w:rsid w:val="00CC46CC"/>
    <w:rsid w:val="00CC51D9"/>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62D8"/>
    <w:rsid w:val="00D2660A"/>
    <w:rsid w:val="00D26667"/>
    <w:rsid w:val="00D309FF"/>
    <w:rsid w:val="00D30CF6"/>
    <w:rsid w:val="00D30FA8"/>
    <w:rsid w:val="00D31054"/>
    <w:rsid w:val="00D3188C"/>
    <w:rsid w:val="00D32CC3"/>
    <w:rsid w:val="00D33290"/>
    <w:rsid w:val="00D33334"/>
    <w:rsid w:val="00D33870"/>
    <w:rsid w:val="00D3462A"/>
    <w:rsid w:val="00D3501C"/>
    <w:rsid w:val="00D35AF1"/>
    <w:rsid w:val="00D35B01"/>
    <w:rsid w:val="00D35F9B"/>
    <w:rsid w:val="00D3671A"/>
    <w:rsid w:val="00D367AD"/>
    <w:rsid w:val="00D36B69"/>
    <w:rsid w:val="00D37065"/>
    <w:rsid w:val="00D37601"/>
    <w:rsid w:val="00D37BB6"/>
    <w:rsid w:val="00D408DD"/>
    <w:rsid w:val="00D40955"/>
    <w:rsid w:val="00D40FCB"/>
    <w:rsid w:val="00D414CE"/>
    <w:rsid w:val="00D416A5"/>
    <w:rsid w:val="00D418ED"/>
    <w:rsid w:val="00D42880"/>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21A"/>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27B8"/>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68"/>
    <w:rsid w:val="00DD531C"/>
    <w:rsid w:val="00DD54B8"/>
    <w:rsid w:val="00DD5B35"/>
    <w:rsid w:val="00DE01CD"/>
    <w:rsid w:val="00DE02F9"/>
    <w:rsid w:val="00DE0A8A"/>
    <w:rsid w:val="00DE111D"/>
    <w:rsid w:val="00DE1619"/>
    <w:rsid w:val="00DE2883"/>
    <w:rsid w:val="00DE2B75"/>
    <w:rsid w:val="00DE3160"/>
    <w:rsid w:val="00DE31F0"/>
    <w:rsid w:val="00DE38CE"/>
    <w:rsid w:val="00DE38E7"/>
    <w:rsid w:val="00DE3D1C"/>
    <w:rsid w:val="00DE45D9"/>
    <w:rsid w:val="00DE4E12"/>
    <w:rsid w:val="00DE5174"/>
    <w:rsid w:val="00DE58F6"/>
    <w:rsid w:val="00DE6A41"/>
    <w:rsid w:val="00DE701B"/>
    <w:rsid w:val="00DE7F9E"/>
    <w:rsid w:val="00DF063B"/>
    <w:rsid w:val="00DF1371"/>
    <w:rsid w:val="00DF1D58"/>
    <w:rsid w:val="00DF2286"/>
    <w:rsid w:val="00DF2E23"/>
    <w:rsid w:val="00DF3816"/>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0F5"/>
    <w:rsid w:val="00E35F97"/>
    <w:rsid w:val="00E3639C"/>
    <w:rsid w:val="00E363E5"/>
    <w:rsid w:val="00E3672B"/>
    <w:rsid w:val="00E3685C"/>
    <w:rsid w:val="00E368F6"/>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B00"/>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2B3"/>
    <w:rsid w:val="00E726EB"/>
    <w:rsid w:val="00E72CF1"/>
    <w:rsid w:val="00E73EE2"/>
    <w:rsid w:val="00E740B8"/>
    <w:rsid w:val="00E740CF"/>
    <w:rsid w:val="00E74128"/>
    <w:rsid w:val="00E74854"/>
    <w:rsid w:val="00E74A56"/>
    <w:rsid w:val="00E751E1"/>
    <w:rsid w:val="00E7595F"/>
    <w:rsid w:val="00E75BD0"/>
    <w:rsid w:val="00E76942"/>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1B"/>
    <w:rsid w:val="00EC7AD7"/>
    <w:rsid w:val="00ED0AB7"/>
    <w:rsid w:val="00ED0D44"/>
    <w:rsid w:val="00ED12E6"/>
    <w:rsid w:val="00ED2197"/>
    <w:rsid w:val="00ED225A"/>
    <w:rsid w:val="00ED225E"/>
    <w:rsid w:val="00ED2C81"/>
    <w:rsid w:val="00ED3067"/>
    <w:rsid w:val="00ED383A"/>
    <w:rsid w:val="00ED3A2B"/>
    <w:rsid w:val="00ED3F40"/>
    <w:rsid w:val="00ED4F23"/>
    <w:rsid w:val="00ED5A49"/>
    <w:rsid w:val="00ED6DFF"/>
    <w:rsid w:val="00ED79A6"/>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0C7"/>
    <w:rsid w:val="00EE6EFA"/>
    <w:rsid w:val="00EE79E9"/>
    <w:rsid w:val="00EF08EB"/>
    <w:rsid w:val="00EF0F3D"/>
    <w:rsid w:val="00EF15CD"/>
    <w:rsid w:val="00EF1EC5"/>
    <w:rsid w:val="00EF25AD"/>
    <w:rsid w:val="00EF2F72"/>
    <w:rsid w:val="00EF4136"/>
    <w:rsid w:val="00EF498E"/>
    <w:rsid w:val="00EF4C88"/>
    <w:rsid w:val="00EF55EB"/>
    <w:rsid w:val="00EF5DF0"/>
    <w:rsid w:val="00EF7329"/>
    <w:rsid w:val="00EF73CC"/>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0DB"/>
    <w:rsid w:val="00F132D2"/>
    <w:rsid w:val="00F13D00"/>
    <w:rsid w:val="00F13D05"/>
    <w:rsid w:val="00F15FFE"/>
    <w:rsid w:val="00F162CC"/>
    <w:rsid w:val="00F1679D"/>
    <w:rsid w:val="00F1682C"/>
    <w:rsid w:val="00F204CF"/>
    <w:rsid w:val="00F20A9E"/>
    <w:rsid w:val="00F20B91"/>
    <w:rsid w:val="00F21139"/>
    <w:rsid w:val="00F21387"/>
    <w:rsid w:val="00F214F9"/>
    <w:rsid w:val="00F22810"/>
    <w:rsid w:val="00F23AFC"/>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35E2"/>
    <w:rsid w:val="00F338F8"/>
    <w:rsid w:val="00F33AD5"/>
    <w:rsid w:val="00F33B72"/>
    <w:rsid w:val="00F33D70"/>
    <w:rsid w:val="00F33FFB"/>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0BB"/>
    <w:rsid w:val="00F71B83"/>
    <w:rsid w:val="00F723F6"/>
    <w:rsid w:val="00F729E7"/>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760"/>
    <w:rsid w:val="00FB6BC5"/>
    <w:rsid w:val="00FB6F17"/>
    <w:rsid w:val="00FB7170"/>
    <w:rsid w:val="00FB7291"/>
    <w:rsid w:val="00FB74E9"/>
    <w:rsid w:val="00FB79DF"/>
    <w:rsid w:val="00FB79E1"/>
    <w:rsid w:val="00FC051F"/>
    <w:rsid w:val="00FC06FF"/>
    <w:rsid w:val="00FC1B63"/>
    <w:rsid w:val="00FC1E06"/>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06CB"/>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841CFC8D-F9D3-4193-9E5A-D2F0D697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60F"/>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semiHidden/>
    <w:rsid w:val="002658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9b239327-9e80-40e4-b1b7-4394fed77a33"/>
    <ds:schemaRef ds:uri="http://schemas.microsoft.com/office/2006/documentManagement/types"/>
    <ds:schemaRef ds:uri="http://schemas.microsoft.com/sharepoint/v3"/>
    <ds:schemaRef ds:uri="http://purl.org/dc/dcmitype/"/>
    <ds:schemaRef ds:uri="2f282d3b-eb4a-4b09-b61f-b9593442e286"/>
    <ds:schemaRef ds:uri="http://purl.org/dc/terms/"/>
    <ds:schemaRef ds:uri="http://schemas.openxmlformats.org/package/2006/metadata/core-properties"/>
    <ds:schemaRef ds:uri="http://purl.org/dc/elements/1.1/"/>
    <ds:schemaRef ds:uri="http://schemas.microsoft.com/office/infopath/2007/PartnerControls"/>
    <ds:schemaRef ds:uri="d8762117-8292-4133-b1c7-eab5c6487cfd"/>
    <ds:schemaRef ds:uri="http://www.w3.org/XML/1998/namespace"/>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6737B8A9-7370-433E-9067-380CE209C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621</TotalTime>
  <Pages>6</Pages>
  <Words>1875</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Stefan Cerovic</cp:lastModifiedBy>
  <cp:revision>87</cp:revision>
  <cp:lastPrinted>2022-08-19T18:29:00Z</cp:lastPrinted>
  <dcterms:created xsi:type="dcterms:W3CDTF">2024-10-31T18:57:00Z</dcterms:created>
  <dcterms:modified xsi:type="dcterms:W3CDTF">2025-10-03T23:36:00Z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