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39126" w14:textId="606FD31B" w:rsidR="00F1537E" w:rsidRPr="00F1537E" w:rsidRDefault="00F1537E" w:rsidP="00F1537E">
      <w:pPr>
        <w:rPr>
          <w:rFonts w:ascii="Arial" w:hAnsi="Arial" w:cs="Arial"/>
          <w:b/>
          <w:noProof/>
          <w:kern w:val="0"/>
          <w:sz w:val="24"/>
          <w:szCs w:val="24"/>
        </w:rPr>
      </w:pPr>
      <w:bookmarkStart w:id="0" w:name="OLE_LINK5"/>
      <w:r w:rsidRPr="00F1537E">
        <w:rPr>
          <w:rFonts w:ascii="Arial" w:hAnsi="Arial" w:cs="Arial"/>
          <w:b/>
          <w:noProof/>
          <w:kern w:val="0"/>
          <w:sz w:val="24"/>
          <w:szCs w:val="24"/>
          <w:lang w:eastAsia="ja-JP"/>
        </w:rPr>
        <w:t>3GPP TSG-RAN WG4 Meeting #116</w:t>
      </w:r>
      <w:r w:rsidR="00E60EA5">
        <w:rPr>
          <w:rFonts w:ascii="Arial" w:hAnsi="Arial" w:cs="Arial" w:hint="eastAsia"/>
          <w:b/>
          <w:noProof/>
          <w:kern w:val="0"/>
          <w:sz w:val="24"/>
          <w:szCs w:val="24"/>
        </w:rPr>
        <w:t>bis</w:t>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t xml:space="preserve">                        </w:t>
      </w:r>
      <w:r w:rsidR="00622F1C" w:rsidRPr="00622F1C">
        <w:rPr>
          <w:rFonts w:ascii="Arial" w:hAnsi="Arial" w:cs="Arial" w:hint="eastAsia"/>
          <w:b/>
          <w:noProof/>
          <w:kern w:val="0"/>
          <w:sz w:val="24"/>
          <w:szCs w:val="24"/>
          <w:lang w:eastAsia="ja-JP"/>
        </w:rPr>
        <w:t>R4-2513744</w:t>
      </w:r>
    </w:p>
    <w:p w14:paraId="45659A4D" w14:textId="6B029CD9" w:rsidR="00DB6A7A" w:rsidRDefault="00E60EA5" w:rsidP="00F1537E">
      <w:pPr>
        <w:rPr>
          <w:rFonts w:ascii="Arial" w:hAnsi="Arial" w:cs="Arial"/>
          <w:b/>
          <w:noProof/>
          <w:kern w:val="0"/>
          <w:sz w:val="24"/>
          <w:szCs w:val="24"/>
          <w:lang w:eastAsia="ja-JP"/>
        </w:rPr>
      </w:pPr>
      <w:bookmarkStart w:id="1" w:name="_Hlk210148647"/>
      <w:r>
        <w:rPr>
          <w:rFonts w:ascii="Arial" w:hAnsi="Arial" w:cs="Arial" w:hint="eastAsia"/>
          <w:b/>
          <w:noProof/>
          <w:kern w:val="0"/>
          <w:sz w:val="24"/>
          <w:szCs w:val="24"/>
        </w:rPr>
        <w:t>Prague</w:t>
      </w:r>
      <w:r w:rsidR="00F1537E"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CZ</w:t>
      </w:r>
      <w:r w:rsidR="00F1537E"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October</w:t>
      </w:r>
      <w:r w:rsidR="00F1537E"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13rd</w:t>
      </w:r>
      <w:r w:rsidR="00F1537E" w:rsidRPr="00F1537E">
        <w:rPr>
          <w:rFonts w:ascii="Arial" w:hAnsi="Arial" w:cs="Arial"/>
          <w:b/>
          <w:noProof/>
          <w:kern w:val="0"/>
          <w:sz w:val="24"/>
          <w:szCs w:val="24"/>
          <w:lang w:eastAsia="ja-JP"/>
        </w:rPr>
        <w:t xml:space="preserve"> – </w:t>
      </w:r>
      <w:r>
        <w:rPr>
          <w:rFonts w:ascii="Arial" w:hAnsi="Arial" w:cs="Arial" w:hint="eastAsia"/>
          <w:b/>
          <w:noProof/>
          <w:kern w:val="0"/>
          <w:sz w:val="24"/>
          <w:szCs w:val="24"/>
        </w:rPr>
        <w:t>17</w:t>
      </w:r>
      <w:r w:rsidR="00F1537E" w:rsidRPr="00F1537E">
        <w:rPr>
          <w:rFonts w:ascii="Arial" w:hAnsi="Arial" w:cs="Arial"/>
          <w:b/>
          <w:noProof/>
          <w:kern w:val="0"/>
          <w:sz w:val="24"/>
          <w:szCs w:val="24"/>
          <w:lang w:eastAsia="ja-JP"/>
        </w:rPr>
        <w:t>th, 2025</w:t>
      </w:r>
      <w:bookmarkEnd w:id="0"/>
      <w:bookmarkEnd w:id="1"/>
    </w:p>
    <w:p w14:paraId="6161487E" w14:textId="77777777" w:rsidR="00F1537E" w:rsidRPr="00E60EA5" w:rsidRDefault="00F1537E" w:rsidP="00F1537E">
      <w:pPr>
        <w:rPr>
          <w:rFonts w:hint="eastAsia"/>
        </w:rPr>
      </w:pPr>
    </w:p>
    <w:p w14:paraId="65DD5CA1" w14:textId="691D9E59" w:rsidR="00DB6A7A" w:rsidRPr="00D44C3D"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7108D">
        <w:rPr>
          <w:rFonts w:ascii="Arial" w:eastAsiaTheme="minorEastAsia" w:hAnsi="Arial" w:cs="Arial" w:hint="eastAsia"/>
          <w:b/>
          <w:sz w:val="24"/>
          <w:szCs w:val="24"/>
        </w:rPr>
        <w:t>7.2.4</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35648B36"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0F4A81">
        <w:rPr>
          <w:rFonts w:ascii="Arial" w:hAnsi="Arial" w:cs="Arial" w:hint="eastAsia"/>
          <w:b/>
          <w:sz w:val="24"/>
          <w:szCs w:val="24"/>
        </w:rPr>
        <w:t xml:space="preserve">R20 SBFD </w:t>
      </w:r>
      <w:r w:rsidR="00366F66" w:rsidRPr="00366F66">
        <w:rPr>
          <w:rFonts w:ascii="Arial" w:hAnsi="Arial" w:cs="Arial" w:hint="eastAsia"/>
          <w:b/>
          <w:sz w:val="24"/>
          <w:szCs w:val="24"/>
        </w:rPr>
        <w:t>adjacent channel coexistence</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9D71C8B" w14:textId="2B9CFB8D" w:rsidR="00DB6A7A" w:rsidRDefault="009F1369" w:rsidP="00AE4421">
      <w:pPr>
        <w:spacing w:after="180"/>
        <w:rPr>
          <w:rFonts w:ascii="Times New Roman" w:hAnsi="Times New Roman"/>
          <w:sz w:val="20"/>
        </w:rPr>
      </w:pPr>
      <w:r>
        <w:rPr>
          <w:rFonts w:ascii="Times New Roman" w:hAnsi="Times New Roman" w:hint="eastAsia"/>
          <w:sz w:val="20"/>
        </w:rPr>
        <w:t>In RAN plenary #10</w:t>
      </w:r>
      <w:r w:rsidR="000F4A81">
        <w:rPr>
          <w:rFonts w:ascii="Times New Roman" w:hAnsi="Times New Roman" w:hint="eastAsia"/>
          <w:sz w:val="20"/>
        </w:rPr>
        <w:t>9</w:t>
      </w:r>
      <w:r>
        <w:rPr>
          <w:rFonts w:ascii="Times New Roman" w:hAnsi="Times New Roman" w:hint="eastAsia"/>
          <w:sz w:val="20"/>
        </w:rPr>
        <w:t xml:space="preserve"> meeting, </w:t>
      </w:r>
      <w:r w:rsidR="00E60EA5">
        <w:rPr>
          <w:rFonts w:ascii="Times New Roman" w:hAnsi="Times New Roman" w:hint="eastAsia"/>
          <w:sz w:val="20"/>
        </w:rPr>
        <w:t>the</w:t>
      </w:r>
      <w:r>
        <w:rPr>
          <w:rFonts w:ascii="Times New Roman" w:hAnsi="Times New Roman" w:hint="eastAsia"/>
          <w:sz w:val="20"/>
        </w:rPr>
        <w:t xml:space="preserve"> </w:t>
      </w:r>
      <w:r w:rsidR="000F4A81" w:rsidRPr="000F4A81">
        <w:rPr>
          <w:rFonts w:ascii="Times New Roman" w:hAnsi="Times New Roman"/>
          <w:sz w:val="20"/>
        </w:rPr>
        <w:t>New WID on NR base station (BS) RF requirement evolution for FR1 and testing phase 2</w:t>
      </w:r>
      <w:r w:rsidR="00E60EA5">
        <w:rPr>
          <w:rFonts w:ascii="Times New Roman" w:hAnsi="Times New Roman" w:hint="eastAsia"/>
          <w:sz w:val="20"/>
        </w:rPr>
        <w:t xml:space="preserve"> has been approved.</w:t>
      </w:r>
      <w:r w:rsidR="00AE4421">
        <w:rPr>
          <w:rFonts w:ascii="Times New Roman" w:hAnsi="Times New Roman" w:hint="eastAsia"/>
          <w:sz w:val="20"/>
        </w:rPr>
        <w:t xml:space="preserve"> </w:t>
      </w:r>
      <w:r w:rsidR="00F44FCE" w:rsidRPr="00F44FCE">
        <w:rPr>
          <w:rFonts w:ascii="Times New Roman" w:hAnsi="Times New Roman"/>
          <w:sz w:val="20"/>
        </w:rPr>
        <w:t xml:space="preserve">This </w:t>
      </w:r>
      <w:r w:rsidR="00F44FCE">
        <w:rPr>
          <w:rFonts w:ascii="Times New Roman" w:hAnsi="Times New Roman" w:hint="eastAsia"/>
          <w:sz w:val="20"/>
        </w:rPr>
        <w:t>WID</w:t>
      </w:r>
      <w:r w:rsidR="00F44FCE" w:rsidRPr="00F44FCE">
        <w:rPr>
          <w:rFonts w:ascii="Times New Roman" w:hAnsi="Times New Roman"/>
          <w:sz w:val="20"/>
        </w:rPr>
        <w:t xml:space="preserve"> contains two main objectives, one of which is "SBFD BS to SBFD BS adjacent channel co-existence". This document will present some general aspects regarding R20 SBFD.</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086CF088"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2"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3" w:name="_Hlk173950157"/>
      <w:r w:rsidR="000F4A81">
        <w:rPr>
          <w:rFonts w:ascii="Arial" w:eastAsia="Arial Unicode MS" w:hAnsi="Arial" w:hint="eastAsia"/>
          <w:bCs/>
          <w:sz w:val="30"/>
          <w:szCs w:val="32"/>
        </w:rPr>
        <w:t>General</w:t>
      </w:r>
      <w:r w:rsidR="002B591D">
        <w:rPr>
          <w:rFonts w:ascii="Arial" w:eastAsia="Arial Unicode MS" w:hAnsi="Arial" w:hint="eastAsia"/>
          <w:bCs/>
          <w:sz w:val="30"/>
          <w:szCs w:val="32"/>
        </w:rPr>
        <w:t xml:space="preserve"> consideration</w:t>
      </w:r>
    </w:p>
    <w:bookmarkEnd w:id="2"/>
    <w:p w14:paraId="1EE43E72" w14:textId="37C11025" w:rsidR="008019AC" w:rsidRDefault="00F44FCE" w:rsidP="007A441A">
      <w:pPr>
        <w:spacing w:after="180"/>
        <w:rPr>
          <w:rFonts w:ascii="Times New Roman" w:hAnsi="Times New Roman"/>
          <w:sz w:val="20"/>
          <w:szCs w:val="20"/>
        </w:rPr>
      </w:pPr>
      <w:r w:rsidRPr="00F44FCE">
        <w:rPr>
          <w:rFonts w:ascii="Times New Roman" w:hAnsi="Times New Roman"/>
          <w:sz w:val="20"/>
          <w:szCs w:val="20"/>
        </w:rPr>
        <w:t>The detailed description of the objective for SBFD in WID is as follows</w:t>
      </w:r>
      <w:r w:rsidR="000F4A81">
        <w:rPr>
          <w:rFonts w:ascii="Times New Roman" w:hAnsi="Times New Roman" w:hint="eastAsia"/>
          <w:sz w:val="20"/>
          <w:szCs w:val="20"/>
        </w:rPr>
        <w:t>：</w:t>
      </w:r>
    </w:p>
    <w:tbl>
      <w:tblPr>
        <w:tblStyle w:val="af3"/>
        <w:tblW w:w="0" w:type="auto"/>
        <w:tblLook w:val="04A0" w:firstRow="1" w:lastRow="0" w:firstColumn="1" w:lastColumn="0" w:noHBand="0" w:noVBand="1"/>
      </w:tblPr>
      <w:tblGrid>
        <w:gridCol w:w="9736"/>
      </w:tblGrid>
      <w:tr w:rsidR="008019AC" w14:paraId="12FB7915" w14:textId="77777777" w:rsidTr="00192EC7">
        <w:tc>
          <w:tcPr>
            <w:tcW w:w="9736" w:type="dxa"/>
          </w:tcPr>
          <w:p w14:paraId="3900554C" w14:textId="77777777" w:rsidR="000F4A81" w:rsidRPr="000F4A81" w:rsidRDefault="000F4A81" w:rsidP="000F4A81">
            <w:pPr>
              <w:rPr>
                <w:rFonts w:ascii="Times New Roman" w:hAnsi="Times New Roman"/>
                <w:b/>
                <w:sz w:val="20"/>
                <w:szCs w:val="20"/>
              </w:rPr>
            </w:pPr>
            <w:r w:rsidRPr="000F4A81">
              <w:rPr>
                <w:rFonts w:ascii="Times New Roman" w:hAnsi="Times New Roman"/>
                <w:b/>
                <w:sz w:val="20"/>
                <w:szCs w:val="20"/>
              </w:rPr>
              <w:t>SBFD BS to SBFD BS adjacent channel co-existence</w:t>
            </w:r>
          </w:p>
          <w:p w14:paraId="5CD514A2" w14:textId="77777777" w:rsidR="000F4A81" w:rsidRPr="000F4A81" w:rsidRDefault="000F4A81" w:rsidP="000F4A81">
            <w:pPr>
              <w:pStyle w:val="af6"/>
              <w:widowControl/>
              <w:numPr>
                <w:ilvl w:val="0"/>
                <w:numId w:val="15"/>
              </w:numPr>
              <w:overflowPunct w:val="0"/>
              <w:autoSpaceDE w:val="0"/>
              <w:autoSpaceDN w:val="0"/>
              <w:adjustRightInd w:val="0"/>
              <w:ind w:firstLineChars="0"/>
              <w:jc w:val="left"/>
              <w:textAlignment w:val="baseline"/>
              <w:rPr>
                <w:rFonts w:ascii="Times New Roman" w:hAnsi="Times New Roman"/>
                <w:color w:val="000000" w:themeColor="text1"/>
                <w:sz w:val="20"/>
                <w:szCs w:val="20"/>
                <w:lang w:eastAsia="zh-CN"/>
              </w:rPr>
            </w:pPr>
            <w:r w:rsidRPr="000F4A81">
              <w:rPr>
                <w:rFonts w:ascii="Times New Roman" w:hAnsi="Times New Roman"/>
                <w:color w:val="000000" w:themeColor="text1"/>
                <w:sz w:val="20"/>
                <w:szCs w:val="20"/>
                <w:lang w:eastAsia="zh-CN"/>
              </w:rPr>
              <w:t>SBFD BS to SBFD BS adjacent channel coexistence</w:t>
            </w:r>
          </w:p>
          <w:p w14:paraId="75856463" w14:textId="77777777" w:rsidR="000F4A81" w:rsidRPr="000F4A81" w:rsidRDefault="000F4A81" w:rsidP="000F4A81">
            <w:pPr>
              <w:pStyle w:val="af6"/>
              <w:widowControl/>
              <w:numPr>
                <w:ilvl w:val="1"/>
                <w:numId w:val="15"/>
              </w:numPr>
              <w:overflowPunct w:val="0"/>
              <w:autoSpaceDE w:val="0"/>
              <w:autoSpaceDN w:val="0"/>
              <w:adjustRightInd w:val="0"/>
              <w:ind w:left="993" w:firstLineChars="0"/>
              <w:jc w:val="left"/>
              <w:textAlignment w:val="baseline"/>
              <w:rPr>
                <w:rFonts w:ascii="Times New Roman" w:hAnsi="Times New Roman"/>
                <w:color w:val="000000" w:themeColor="text1"/>
                <w:sz w:val="20"/>
                <w:szCs w:val="20"/>
              </w:rPr>
            </w:pPr>
            <w:r w:rsidRPr="000F4A81">
              <w:rPr>
                <w:rFonts w:ascii="Times New Roman" w:hAnsi="Times New Roman"/>
                <w:color w:val="000000" w:themeColor="text1"/>
                <w:sz w:val="20"/>
                <w:szCs w:val="20"/>
              </w:rPr>
              <w:t xml:space="preserve">Focus on FR1 WA. </w:t>
            </w:r>
          </w:p>
          <w:p w14:paraId="19692C7E" w14:textId="77777777" w:rsidR="000F4A81" w:rsidRPr="000F4A81" w:rsidRDefault="000F4A81" w:rsidP="000F4A81">
            <w:pPr>
              <w:pStyle w:val="af6"/>
              <w:widowControl/>
              <w:numPr>
                <w:ilvl w:val="1"/>
                <w:numId w:val="15"/>
              </w:numPr>
              <w:overflowPunct w:val="0"/>
              <w:autoSpaceDE w:val="0"/>
              <w:autoSpaceDN w:val="0"/>
              <w:adjustRightInd w:val="0"/>
              <w:ind w:left="993" w:firstLineChars="0"/>
              <w:jc w:val="left"/>
              <w:textAlignment w:val="baseline"/>
              <w:rPr>
                <w:rFonts w:ascii="Times New Roman" w:hAnsi="Times New Roman"/>
                <w:color w:val="000000" w:themeColor="text1"/>
                <w:sz w:val="20"/>
                <w:szCs w:val="20"/>
              </w:rPr>
            </w:pPr>
            <w:r w:rsidRPr="000F4A81">
              <w:rPr>
                <w:rFonts w:ascii="Times New Roman" w:hAnsi="Times New Roman"/>
                <w:color w:val="000000" w:themeColor="text1"/>
                <w:sz w:val="20"/>
                <w:szCs w:val="20"/>
              </w:rPr>
              <w:t>Consider both scenarios including SBFD capable BS being co-located and non-collocated.</w:t>
            </w:r>
          </w:p>
          <w:p w14:paraId="72DCA16E" w14:textId="77777777" w:rsidR="000F4A81" w:rsidRPr="000F4A81" w:rsidRDefault="000F4A81" w:rsidP="000F4A81">
            <w:pPr>
              <w:pStyle w:val="af6"/>
              <w:widowControl/>
              <w:numPr>
                <w:ilvl w:val="1"/>
                <w:numId w:val="15"/>
              </w:numPr>
              <w:overflowPunct w:val="0"/>
              <w:autoSpaceDE w:val="0"/>
              <w:autoSpaceDN w:val="0"/>
              <w:adjustRightInd w:val="0"/>
              <w:ind w:left="993" w:firstLineChars="0"/>
              <w:jc w:val="left"/>
              <w:textAlignment w:val="baseline"/>
              <w:rPr>
                <w:rFonts w:ascii="Times New Roman" w:hAnsi="Times New Roman"/>
                <w:color w:val="000000" w:themeColor="text1"/>
                <w:sz w:val="20"/>
                <w:szCs w:val="20"/>
              </w:rPr>
            </w:pPr>
            <w:r w:rsidRPr="000F4A81">
              <w:rPr>
                <w:rFonts w:ascii="Times New Roman" w:hAnsi="Times New Roman"/>
                <w:color w:val="000000" w:themeColor="text1"/>
                <w:sz w:val="20"/>
                <w:szCs w:val="20"/>
              </w:rPr>
              <w:t xml:space="preserve">Focus on bands: n104, n79, n41. </w:t>
            </w:r>
          </w:p>
          <w:p w14:paraId="1529F9FE" w14:textId="77777777" w:rsidR="000F4A81" w:rsidRPr="000F4A81" w:rsidRDefault="000F4A81" w:rsidP="000F4A81">
            <w:pPr>
              <w:pStyle w:val="af6"/>
              <w:widowControl/>
              <w:numPr>
                <w:ilvl w:val="1"/>
                <w:numId w:val="15"/>
              </w:numPr>
              <w:overflowPunct w:val="0"/>
              <w:autoSpaceDE w:val="0"/>
              <w:autoSpaceDN w:val="0"/>
              <w:adjustRightInd w:val="0"/>
              <w:ind w:left="993" w:firstLineChars="0"/>
              <w:jc w:val="left"/>
              <w:textAlignment w:val="baseline"/>
              <w:rPr>
                <w:rFonts w:ascii="Times New Roman" w:hAnsi="Times New Roman"/>
                <w:color w:val="000000" w:themeColor="text1"/>
                <w:sz w:val="20"/>
                <w:szCs w:val="20"/>
              </w:rPr>
            </w:pPr>
            <w:r w:rsidRPr="000F4A81">
              <w:rPr>
                <w:rFonts w:ascii="Times New Roman" w:hAnsi="Times New Roman"/>
                <w:color w:val="000000" w:themeColor="text1"/>
                <w:sz w:val="20"/>
                <w:szCs w:val="20"/>
              </w:rPr>
              <w:t>Specify necessary (and if feasible) BS TX and RX RF requirement for SBFD-capable BS for the scenarios of SBFD BS to SBFD BS adjacent channel coexistence. The BS RF requirements include</w:t>
            </w:r>
          </w:p>
          <w:p w14:paraId="066830A9" w14:textId="77777777" w:rsidR="000F4A81" w:rsidRPr="000F4A81" w:rsidRDefault="000F4A81" w:rsidP="000F4A81">
            <w:pPr>
              <w:pStyle w:val="af6"/>
              <w:widowControl/>
              <w:numPr>
                <w:ilvl w:val="2"/>
                <w:numId w:val="15"/>
              </w:numPr>
              <w:overflowPunct w:val="0"/>
              <w:autoSpaceDE w:val="0"/>
              <w:autoSpaceDN w:val="0"/>
              <w:adjustRightInd w:val="0"/>
              <w:ind w:left="1418" w:firstLineChars="0"/>
              <w:jc w:val="left"/>
              <w:textAlignment w:val="baseline"/>
              <w:rPr>
                <w:rFonts w:ascii="Times New Roman" w:hAnsi="Times New Roman"/>
                <w:color w:val="000000" w:themeColor="text1"/>
                <w:sz w:val="20"/>
                <w:szCs w:val="20"/>
              </w:rPr>
            </w:pPr>
            <w:r w:rsidRPr="000F4A81">
              <w:rPr>
                <w:rFonts w:ascii="Times New Roman" w:hAnsi="Times New Roman"/>
                <w:color w:val="000000" w:themeColor="text1"/>
                <w:sz w:val="20"/>
                <w:szCs w:val="20"/>
              </w:rPr>
              <w:t>TX unwanted emission</w:t>
            </w:r>
          </w:p>
          <w:p w14:paraId="661F7D63" w14:textId="77777777" w:rsidR="000F4A81" w:rsidRPr="000F4A81" w:rsidRDefault="000F4A81" w:rsidP="000F4A81">
            <w:pPr>
              <w:pStyle w:val="af6"/>
              <w:widowControl/>
              <w:numPr>
                <w:ilvl w:val="2"/>
                <w:numId w:val="15"/>
              </w:numPr>
              <w:overflowPunct w:val="0"/>
              <w:autoSpaceDE w:val="0"/>
              <w:autoSpaceDN w:val="0"/>
              <w:adjustRightInd w:val="0"/>
              <w:ind w:left="1418" w:firstLineChars="0"/>
              <w:jc w:val="left"/>
              <w:textAlignment w:val="baseline"/>
              <w:rPr>
                <w:rFonts w:ascii="Times New Roman" w:hAnsi="Times New Roman"/>
                <w:color w:val="000000" w:themeColor="text1"/>
                <w:sz w:val="20"/>
                <w:szCs w:val="20"/>
              </w:rPr>
            </w:pPr>
            <w:r w:rsidRPr="000F4A81">
              <w:rPr>
                <w:rFonts w:ascii="Times New Roman" w:hAnsi="Times New Roman"/>
                <w:color w:val="000000" w:themeColor="text1"/>
                <w:sz w:val="20"/>
                <w:szCs w:val="20"/>
              </w:rPr>
              <w:t>RX in-band blocking</w:t>
            </w:r>
          </w:p>
          <w:p w14:paraId="611A2F6E" w14:textId="77777777" w:rsidR="000F4A81" w:rsidRPr="000F4A81" w:rsidRDefault="000F4A81" w:rsidP="000F4A81">
            <w:pPr>
              <w:pStyle w:val="af6"/>
              <w:widowControl/>
              <w:numPr>
                <w:ilvl w:val="1"/>
                <w:numId w:val="15"/>
              </w:numPr>
              <w:overflowPunct w:val="0"/>
              <w:autoSpaceDE w:val="0"/>
              <w:autoSpaceDN w:val="0"/>
              <w:adjustRightInd w:val="0"/>
              <w:ind w:left="993" w:firstLineChars="0"/>
              <w:jc w:val="left"/>
              <w:textAlignment w:val="baseline"/>
              <w:rPr>
                <w:rFonts w:ascii="Times New Roman" w:hAnsi="Times New Roman"/>
                <w:color w:val="000000" w:themeColor="text1"/>
                <w:sz w:val="20"/>
                <w:szCs w:val="20"/>
              </w:rPr>
            </w:pPr>
            <w:r w:rsidRPr="000F4A81">
              <w:rPr>
                <w:rFonts w:ascii="Times New Roman" w:hAnsi="Times New Roman"/>
                <w:color w:val="000000" w:themeColor="text1"/>
                <w:sz w:val="20"/>
                <w:szCs w:val="20"/>
              </w:rPr>
              <w:t>Note 1: whether to comply with requirements is declared by BS.</w:t>
            </w:r>
          </w:p>
          <w:p w14:paraId="6BF0E12D" w14:textId="7155FF68" w:rsidR="008019AC" w:rsidRPr="000F4A81" w:rsidRDefault="000F4A81" w:rsidP="000F4A81">
            <w:pPr>
              <w:pStyle w:val="af6"/>
              <w:widowControl/>
              <w:numPr>
                <w:ilvl w:val="1"/>
                <w:numId w:val="15"/>
              </w:numPr>
              <w:overflowPunct w:val="0"/>
              <w:autoSpaceDE w:val="0"/>
              <w:autoSpaceDN w:val="0"/>
              <w:adjustRightInd w:val="0"/>
              <w:spacing w:after="180"/>
              <w:ind w:left="998" w:firstLineChars="0" w:hanging="442"/>
              <w:jc w:val="left"/>
              <w:textAlignment w:val="baseline"/>
              <w:rPr>
                <w:rFonts w:hint="eastAsia"/>
                <w:color w:val="000000" w:themeColor="text1"/>
              </w:rPr>
            </w:pPr>
            <w:r w:rsidRPr="000F4A81">
              <w:rPr>
                <w:rFonts w:ascii="Times New Roman" w:hAnsi="Times New Roman"/>
                <w:color w:val="000000" w:themeColor="text1"/>
                <w:sz w:val="20"/>
                <w:szCs w:val="20"/>
              </w:rPr>
              <w:t>Note 2: The existing TDD requirements apply for non-SBFD BSs</w:t>
            </w:r>
          </w:p>
        </w:tc>
      </w:tr>
    </w:tbl>
    <w:p w14:paraId="3D5D1B9F" w14:textId="77777777" w:rsidR="008019AC" w:rsidRPr="008019AC" w:rsidRDefault="008019AC" w:rsidP="007A441A">
      <w:pPr>
        <w:spacing w:after="180"/>
        <w:rPr>
          <w:rFonts w:ascii="Times New Roman" w:hAnsi="Times New Roman"/>
          <w:sz w:val="20"/>
          <w:szCs w:val="20"/>
        </w:rPr>
      </w:pPr>
    </w:p>
    <w:p w14:paraId="78ABE1D0" w14:textId="2D219672" w:rsidR="00F44FCE" w:rsidRPr="00F44FCE" w:rsidRDefault="00F44FCE" w:rsidP="00F44FCE">
      <w:pPr>
        <w:spacing w:after="180"/>
        <w:rPr>
          <w:rFonts w:ascii="Times New Roman" w:hAnsi="Times New Roman"/>
          <w:sz w:val="20"/>
          <w:szCs w:val="20"/>
        </w:rPr>
      </w:pPr>
      <w:r w:rsidRPr="00F44FCE">
        <w:rPr>
          <w:rFonts w:ascii="Times New Roman" w:hAnsi="Times New Roman"/>
          <w:sz w:val="20"/>
          <w:szCs w:val="20"/>
        </w:rPr>
        <w:t>Both the co-located and non-co-located scenarios have been taken into consideration. In the Rel-19 study, the main focus was on the non</w:t>
      </w:r>
      <w:r>
        <w:rPr>
          <w:rFonts w:ascii="Times New Roman" w:hAnsi="Times New Roman" w:hint="eastAsia"/>
          <w:sz w:val="20"/>
          <w:szCs w:val="20"/>
        </w:rPr>
        <w:t>-</w:t>
      </w:r>
      <w:r w:rsidRPr="00F44FCE">
        <w:rPr>
          <w:rFonts w:ascii="Times New Roman" w:hAnsi="Times New Roman"/>
          <w:sz w:val="20"/>
          <w:szCs w:val="20"/>
        </w:rPr>
        <w:t>col</w:t>
      </w:r>
      <w:r>
        <w:rPr>
          <w:rFonts w:ascii="Times New Roman" w:hAnsi="Times New Roman" w:hint="eastAsia"/>
          <w:sz w:val="20"/>
          <w:szCs w:val="20"/>
        </w:rPr>
        <w:t>l</w:t>
      </w:r>
      <w:r w:rsidRPr="00F44FCE">
        <w:rPr>
          <w:rFonts w:ascii="Times New Roman" w:hAnsi="Times New Roman"/>
          <w:sz w:val="20"/>
          <w:szCs w:val="20"/>
        </w:rPr>
        <w:t>ocated scenario, but the co-located scenario is particularly important for operators, so the priority of the co-located scenario in this WID should be higher.</w:t>
      </w:r>
    </w:p>
    <w:p w14:paraId="1ED42711" w14:textId="189B7C81" w:rsidR="00A535D0" w:rsidRPr="00F44FCE" w:rsidRDefault="00F44FCE" w:rsidP="00F44FCE">
      <w:pPr>
        <w:spacing w:after="180"/>
        <w:rPr>
          <w:rFonts w:ascii="Times New Roman" w:hAnsi="Times New Roman"/>
          <w:b/>
          <w:bCs/>
          <w:sz w:val="20"/>
          <w:szCs w:val="20"/>
        </w:rPr>
      </w:pPr>
      <w:r w:rsidRPr="00F44FCE">
        <w:rPr>
          <w:rFonts w:ascii="Times New Roman" w:hAnsi="Times New Roman"/>
          <w:b/>
          <w:bCs/>
          <w:sz w:val="20"/>
          <w:szCs w:val="20"/>
        </w:rPr>
        <w:t>Proposal</w:t>
      </w:r>
      <w:r w:rsidRPr="00F44FCE">
        <w:rPr>
          <w:rFonts w:ascii="Times New Roman" w:hAnsi="Times New Roman" w:hint="eastAsia"/>
          <w:b/>
          <w:bCs/>
          <w:sz w:val="20"/>
          <w:szCs w:val="20"/>
        </w:rPr>
        <w:t xml:space="preserve"> 1</w:t>
      </w:r>
      <w:r w:rsidRPr="00F44FCE">
        <w:rPr>
          <w:rFonts w:ascii="Times New Roman" w:hAnsi="Times New Roman"/>
          <w:b/>
          <w:bCs/>
          <w:sz w:val="20"/>
          <w:szCs w:val="20"/>
        </w:rPr>
        <w:t xml:space="preserve">: The priority of the co-located scenario </w:t>
      </w:r>
      <w:r w:rsidR="001B4A8F">
        <w:rPr>
          <w:rFonts w:ascii="Times New Roman" w:hAnsi="Times New Roman" w:hint="eastAsia"/>
          <w:b/>
          <w:bCs/>
          <w:sz w:val="20"/>
          <w:szCs w:val="20"/>
        </w:rPr>
        <w:t>could</w:t>
      </w:r>
      <w:r w:rsidRPr="00F44FCE">
        <w:rPr>
          <w:rFonts w:ascii="Times New Roman" w:hAnsi="Times New Roman"/>
          <w:b/>
          <w:bCs/>
          <w:sz w:val="20"/>
          <w:szCs w:val="20"/>
        </w:rPr>
        <w:t xml:space="preserve"> be higher.</w:t>
      </w:r>
    </w:p>
    <w:p w14:paraId="2C4F2775" w14:textId="0B25646F" w:rsidR="00F44FCE" w:rsidRDefault="00F44FCE" w:rsidP="007A441A">
      <w:pPr>
        <w:spacing w:after="180"/>
        <w:rPr>
          <w:rFonts w:ascii="Times New Roman" w:hAnsi="Times New Roman"/>
          <w:sz w:val="20"/>
          <w:szCs w:val="20"/>
        </w:rPr>
      </w:pPr>
      <w:r w:rsidRPr="00F44FCE">
        <w:rPr>
          <w:rFonts w:ascii="Times New Roman" w:hAnsi="Times New Roman"/>
          <w:sz w:val="20"/>
          <w:szCs w:val="20"/>
        </w:rPr>
        <w:lastRenderedPageBreak/>
        <w:t xml:space="preserve">The current </w:t>
      </w:r>
      <w:r>
        <w:rPr>
          <w:rFonts w:ascii="Times New Roman" w:hAnsi="Times New Roman" w:hint="eastAsia"/>
          <w:sz w:val="20"/>
          <w:szCs w:val="20"/>
        </w:rPr>
        <w:t>example</w:t>
      </w:r>
      <w:r w:rsidRPr="00F44FCE">
        <w:rPr>
          <w:rFonts w:ascii="Times New Roman" w:hAnsi="Times New Roman"/>
          <w:sz w:val="20"/>
          <w:szCs w:val="20"/>
        </w:rPr>
        <w:t xml:space="preserve"> bands include n104, n79 and n41. </w:t>
      </w:r>
      <w:r>
        <w:rPr>
          <w:rFonts w:ascii="Times New Roman" w:hAnsi="Times New Roman" w:hint="eastAsia"/>
          <w:sz w:val="20"/>
          <w:szCs w:val="20"/>
        </w:rPr>
        <w:t>Band</w:t>
      </w:r>
      <w:r w:rsidRPr="00F44FCE">
        <w:rPr>
          <w:rFonts w:ascii="Times New Roman" w:hAnsi="Times New Roman"/>
          <w:sz w:val="20"/>
          <w:szCs w:val="20"/>
        </w:rPr>
        <w:t xml:space="preserve"> n104 has an extremely large bandwidth of over 1GHz, but currently there is no IMT service deployed in this frequency. Since the spectrum for this band has not yet been allocated to the operators, all possible scenarios should be taken into account when making assumptions. In previous studies, only scenarios where two operators coexist were usually considered. However, due to the extremely large bandwidth of the n104 band, it is highly likely that three or even four operators will jointly deploy and each operator will have a bandwidth of over 200MHz. Therefore, when conducting coexistence analysis, scenarios </w:t>
      </w:r>
      <w:r w:rsidR="00EC7254">
        <w:rPr>
          <w:rFonts w:ascii="Times New Roman" w:hAnsi="Times New Roman" w:hint="eastAsia"/>
          <w:sz w:val="20"/>
          <w:szCs w:val="20"/>
        </w:rPr>
        <w:t>where</w:t>
      </w:r>
      <w:r w:rsidRPr="00F44FCE">
        <w:rPr>
          <w:rFonts w:ascii="Times New Roman" w:hAnsi="Times New Roman"/>
          <w:sz w:val="20"/>
          <w:szCs w:val="20"/>
        </w:rPr>
        <w:t xml:space="preserve"> two operators are adjacent and three operators are adjacent need to be considered.</w:t>
      </w:r>
    </w:p>
    <w:p w14:paraId="48D3DFB4" w14:textId="4775A593" w:rsidR="00EC7254" w:rsidRPr="00EC7254" w:rsidRDefault="00EC7254" w:rsidP="00EC7254">
      <w:pPr>
        <w:spacing w:after="180"/>
        <w:rPr>
          <w:rFonts w:ascii="Times New Roman" w:hAnsi="Times New Roman"/>
          <w:b/>
          <w:bCs/>
          <w:sz w:val="20"/>
          <w:szCs w:val="20"/>
        </w:rPr>
      </w:pPr>
      <w:r w:rsidRPr="00EC7254">
        <w:rPr>
          <w:rFonts w:ascii="Times New Roman" w:hAnsi="Times New Roman"/>
          <w:b/>
          <w:bCs/>
          <w:sz w:val="20"/>
          <w:szCs w:val="20"/>
        </w:rPr>
        <w:t>Observation</w:t>
      </w:r>
      <w:r>
        <w:rPr>
          <w:rFonts w:ascii="Times New Roman" w:hAnsi="Times New Roman" w:hint="eastAsia"/>
          <w:b/>
          <w:bCs/>
          <w:sz w:val="20"/>
          <w:szCs w:val="20"/>
        </w:rPr>
        <w:t xml:space="preserve"> 1</w:t>
      </w:r>
      <w:r w:rsidRPr="00EC7254">
        <w:rPr>
          <w:rFonts w:ascii="Times New Roman" w:hAnsi="Times New Roman"/>
          <w:b/>
          <w:bCs/>
          <w:sz w:val="20"/>
          <w:szCs w:val="20"/>
        </w:rPr>
        <w:t>: There is a possibility that in the n104 frequency band, three or even four operators may jointly deploy IMT services.</w:t>
      </w:r>
    </w:p>
    <w:p w14:paraId="3C0D4638" w14:textId="3590E39C" w:rsidR="00EC7254" w:rsidRPr="00EC7254" w:rsidRDefault="00EC7254" w:rsidP="00EC7254">
      <w:pPr>
        <w:spacing w:after="180"/>
        <w:rPr>
          <w:rFonts w:ascii="Times New Roman" w:hAnsi="Times New Roman"/>
          <w:b/>
          <w:bCs/>
          <w:sz w:val="20"/>
          <w:szCs w:val="20"/>
        </w:rPr>
      </w:pPr>
      <w:r w:rsidRPr="00EC7254">
        <w:rPr>
          <w:rFonts w:ascii="Times New Roman" w:hAnsi="Times New Roman"/>
          <w:b/>
          <w:bCs/>
          <w:sz w:val="20"/>
          <w:szCs w:val="20"/>
        </w:rPr>
        <w:t>Proposal</w:t>
      </w:r>
      <w:r>
        <w:rPr>
          <w:rFonts w:ascii="Times New Roman" w:hAnsi="Times New Roman" w:hint="eastAsia"/>
          <w:b/>
          <w:bCs/>
          <w:sz w:val="20"/>
          <w:szCs w:val="20"/>
        </w:rPr>
        <w:t xml:space="preserve"> 2</w:t>
      </w:r>
      <w:r w:rsidRPr="00EC7254">
        <w:rPr>
          <w:rFonts w:ascii="Times New Roman" w:hAnsi="Times New Roman"/>
          <w:b/>
          <w:bCs/>
          <w:sz w:val="20"/>
          <w:szCs w:val="20"/>
        </w:rPr>
        <w:t>: Scenarios where two operators are adjacent and three operators are adjacent need to be considered.</w:t>
      </w:r>
    </w:p>
    <w:p w14:paraId="710FD43A" w14:textId="7D0B7103" w:rsidR="00EA56F4" w:rsidRPr="00EA56F4" w:rsidRDefault="00EA56F4" w:rsidP="00EA56F4">
      <w:pPr>
        <w:spacing w:after="180"/>
        <w:rPr>
          <w:rFonts w:ascii="Times New Roman" w:hAnsi="Times New Roman"/>
          <w:sz w:val="20"/>
          <w:szCs w:val="20"/>
        </w:rPr>
      </w:pPr>
      <w:r w:rsidRPr="00EA56F4">
        <w:rPr>
          <w:rFonts w:ascii="Times New Roman" w:hAnsi="Times New Roman"/>
          <w:sz w:val="20"/>
          <w:szCs w:val="20"/>
        </w:rPr>
        <w:t xml:space="preserve">Although the single operator allocated frequency on the n104 is likely to exceed a 200 MHz bandwidth, other allocation bandwidth scenarios still exist. Therefore, from the perspective of the operators, we suggest analyzing the two typical </w:t>
      </w:r>
      <w:r>
        <w:rPr>
          <w:rFonts w:ascii="Times New Roman" w:hAnsi="Times New Roman" w:hint="eastAsia"/>
          <w:sz w:val="20"/>
          <w:szCs w:val="20"/>
        </w:rPr>
        <w:t>bandwidth</w:t>
      </w:r>
      <w:r w:rsidRPr="00EA56F4">
        <w:rPr>
          <w:rFonts w:ascii="Times New Roman" w:hAnsi="Times New Roman"/>
          <w:sz w:val="20"/>
          <w:szCs w:val="20"/>
        </w:rPr>
        <w:t xml:space="preserve"> 100 MHz and 200 MHz. </w:t>
      </w:r>
    </w:p>
    <w:p w14:paraId="20C7B8A7" w14:textId="5E83C2D6" w:rsidR="003E76C5" w:rsidRPr="00EA56F4" w:rsidRDefault="00EA56F4" w:rsidP="007A441A">
      <w:pPr>
        <w:spacing w:after="180"/>
        <w:rPr>
          <w:rFonts w:ascii="Times New Roman" w:hAnsi="Times New Roman"/>
          <w:b/>
          <w:bCs/>
          <w:sz w:val="20"/>
          <w:szCs w:val="20"/>
        </w:rPr>
      </w:pPr>
      <w:r w:rsidRPr="00EA56F4">
        <w:rPr>
          <w:rFonts w:ascii="Times New Roman" w:hAnsi="Times New Roman"/>
          <w:b/>
          <w:bCs/>
          <w:sz w:val="20"/>
          <w:szCs w:val="20"/>
        </w:rPr>
        <w:t>Proposal</w:t>
      </w:r>
      <w:r>
        <w:rPr>
          <w:rFonts w:ascii="Times New Roman" w:hAnsi="Times New Roman" w:hint="eastAsia"/>
          <w:b/>
          <w:bCs/>
          <w:sz w:val="20"/>
          <w:szCs w:val="20"/>
        </w:rPr>
        <w:t xml:space="preserve"> 3</w:t>
      </w:r>
      <w:r w:rsidRPr="00EA56F4">
        <w:rPr>
          <w:rFonts w:ascii="Times New Roman" w:hAnsi="Times New Roman"/>
          <w:b/>
          <w:bCs/>
          <w:sz w:val="20"/>
          <w:szCs w:val="20"/>
        </w:rPr>
        <w:t xml:space="preserve">: It is recommended to select the two typical </w:t>
      </w:r>
      <w:r>
        <w:rPr>
          <w:rFonts w:ascii="Times New Roman" w:hAnsi="Times New Roman" w:hint="eastAsia"/>
          <w:b/>
          <w:bCs/>
          <w:sz w:val="20"/>
          <w:szCs w:val="20"/>
        </w:rPr>
        <w:t>bandwidth</w:t>
      </w:r>
      <w:r w:rsidRPr="00EA56F4">
        <w:rPr>
          <w:rFonts w:ascii="Times New Roman" w:hAnsi="Times New Roman"/>
          <w:b/>
          <w:bCs/>
          <w:sz w:val="20"/>
          <w:szCs w:val="20"/>
        </w:rPr>
        <w:t xml:space="preserve"> 100 MHz and 200 MHz for analysis.</w:t>
      </w:r>
    </w:p>
    <w:p w14:paraId="19E1BAE3" w14:textId="313458AF" w:rsidR="00EA56F4" w:rsidRDefault="00EA56F4" w:rsidP="007A441A">
      <w:pPr>
        <w:spacing w:after="180"/>
        <w:rPr>
          <w:rFonts w:ascii="Times New Roman" w:hAnsi="Times New Roman"/>
          <w:sz w:val="20"/>
          <w:szCs w:val="20"/>
        </w:rPr>
      </w:pPr>
      <w:r w:rsidRPr="00EA56F4">
        <w:rPr>
          <w:rFonts w:ascii="Times New Roman" w:hAnsi="Times New Roman"/>
          <w:sz w:val="20"/>
          <w:szCs w:val="20"/>
        </w:rPr>
        <w:t>In China, the frequency band n79 was allocated to the operators only for 160 MHz. The bands ranging from 4800 MHz to 4900 MHz were allocated to China Mobile, while the bands from 4900 MHz to 4960 MHz were allocated to China Broadcasting Network. Therefore, an additional analysis of the coexistence of 100 MHz SBFD and 60 MHz SBFD is required.</w:t>
      </w:r>
    </w:p>
    <w:p w14:paraId="318D9EA8" w14:textId="7A2D98A3" w:rsidR="00434308" w:rsidRPr="0005624F" w:rsidRDefault="00FD71F7" w:rsidP="007A441A">
      <w:pPr>
        <w:spacing w:after="180"/>
        <w:rPr>
          <w:rFonts w:ascii="Times New Roman" w:hAnsi="Times New Roman"/>
          <w:b/>
          <w:bCs/>
          <w:sz w:val="20"/>
          <w:szCs w:val="20"/>
        </w:rPr>
      </w:pPr>
      <w:bookmarkStart w:id="4" w:name="OLE_LINK2"/>
      <w:r w:rsidRPr="00FD71F7">
        <w:rPr>
          <w:rFonts w:ascii="Times New Roman" w:hAnsi="Times New Roman"/>
          <w:b/>
          <w:bCs/>
          <w:sz w:val="20"/>
          <w:szCs w:val="20"/>
        </w:rPr>
        <w:t>Proposal</w:t>
      </w:r>
      <w:r w:rsidR="0005624F">
        <w:rPr>
          <w:rFonts w:ascii="Times New Roman" w:hAnsi="Times New Roman" w:hint="eastAsia"/>
          <w:b/>
          <w:bCs/>
          <w:sz w:val="20"/>
          <w:szCs w:val="20"/>
        </w:rPr>
        <w:t xml:space="preserve"> 4</w:t>
      </w:r>
      <w:r w:rsidRPr="00FD71F7">
        <w:rPr>
          <w:rFonts w:ascii="Times New Roman" w:hAnsi="Times New Roman"/>
          <w:b/>
          <w:bCs/>
          <w:sz w:val="20"/>
          <w:szCs w:val="20"/>
        </w:rPr>
        <w:t>: It is suggested to analysis the coexistence of 100 MHz SBFD and 60 MHz SBFD.</w:t>
      </w:r>
    </w:p>
    <w:bookmarkEnd w:id="4"/>
    <w:p w14:paraId="68C6CAD7" w14:textId="62C7F3F1" w:rsidR="003E76C5" w:rsidRDefault="0005624F" w:rsidP="007A441A">
      <w:pPr>
        <w:spacing w:after="180"/>
        <w:rPr>
          <w:rFonts w:ascii="Times New Roman" w:hAnsi="Times New Roman"/>
          <w:sz w:val="20"/>
          <w:szCs w:val="20"/>
        </w:rPr>
      </w:pPr>
      <w:r w:rsidRPr="0005624F">
        <w:rPr>
          <w:rFonts w:ascii="Times New Roman" w:hAnsi="Times New Roman"/>
          <w:sz w:val="20"/>
          <w:szCs w:val="20"/>
        </w:rPr>
        <w:t>The selection of sub</w:t>
      </w:r>
      <w:r>
        <w:rPr>
          <w:rFonts w:ascii="Times New Roman" w:hAnsi="Times New Roman" w:hint="eastAsia"/>
          <w:sz w:val="20"/>
          <w:szCs w:val="20"/>
        </w:rPr>
        <w:t>band</w:t>
      </w:r>
      <w:r w:rsidRPr="0005624F">
        <w:rPr>
          <w:rFonts w:ascii="Times New Roman" w:hAnsi="Times New Roman"/>
          <w:sz w:val="20"/>
          <w:szCs w:val="20"/>
        </w:rPr>
        <w:t xml:space="preserve"> configuration was not restricted in the R19 study. For macro stations, the following requirements were imposed:</w:t>
      </w:r>
    </w:p>
    <w:tbl>
      <w:tblPr>
        <w:tblStyle w:val="TableGrid10"/>
        <w:tblW w:w="0" w:type="auto"/>
        <w:tblInd w:w="704" w:type="dxa"/>
        <w:tblLook w:val="04A0" w:firstRow="1" w:lastRow="0" w:firstColumn="1" w:lastColumn="0" w:noHBand="0" w:noVBand="1"/>
      </w:tblPr>
      <w:tblGrid>
        <w:gridCol w:w="8925"/>
      </w:tblGrid>
      <w:tr w:rsidR="00434308" w:rsidRPr="00434308" w14:paraId="0FA2B7BE" w14:textId="77777777" w:rsidTr="00884F7D">
        <w:tc>
          <w:tcPr>
            <w:tcW w:w="8925" w:type="dxa"/>
          </w:tcPr>
          <w:p w14:paraId="23F4BEFC" w14:textId="77777777" w:rsidR="00434308" w:rsidRPr="00434308" w:rsidRDefault="00434308" w:rsidP="00434308">
            <w:pPr>
              <w:widowControl/>
              <w:spacing w:after="120"/>
              <w:jc w:val="left"/>
              <w:rPr>
                <w:rFonts w:ascii="Times New Roman" w:hAnsi="Times New Roman"/>
                <w:kern w:val="0"/>
                <w:sz w:val="20"/>
                <w:szCs w:val="20"/>
                <w:lang w:eastAsia="en-US"/>
              </w:rPr>
            </w:pPr>
            <w:r w:rsidRPr="00434308">
              <w:rPr>
                <w:rFonts w:ascii="Times New Roman" w:hAnsi="Times New Roman"/>
                <w:kern w:val="0"/>
                <w:sz w:val="20"/>
                <w:szCs w:val="20"/>
                <w:highlight w:val="green"/>
                <w:lang w:eastAsia="en-US"/>
              </w:rPr>
              <w:t>&lt;Agreement in RAN4#115&gt;</w:t>
            </w:r>
          </w:p>
          <w:p w14:paraId="7F4F9F09" w14:textId="77777777" w:rsidR="00434308" w:rsidRPr="00434308" w:rsidRDefault="00434308" w:rsidP="00434308">
            <w:pPr>
              <w:widowControl/>
              <w:numPr>
                <w:ilvl w:val="0"/>
                <w:numId w:val="11"/>
              </w:numPr>
              <w:spacing w:after="120" w:line="259" w:lineRule="auto"/>
              <w:ind w:left="936"/>
              <w:jc w:val="left"/>
              <w:rPr>
                <w:rFonts w:ascii="Times New Roman" w:eastAsia="MS Mincho" w:hAnsi="Times New Roman"/>
                <w:kern w:val="0"/>
                <w:sz w:val="20"/>
                <w:szCs w:val="20"/>
                <w:lang w:eastAsia="en-US"/>
              </w:rPr>
            </w:pPr>
            <w:r w:rsidRPr="00434308">
              <w:rPr>
                <w:rFonts w:ascii="Times New Roman" w:eastAsia="MS Mincho" w:hAnsi="Times New Roman"/>
                <w:kern w:val="0"/>
                <w:sz w:val="20"/>
                <w:szCs w:val="20"/>
                <w:lang w:eastAsia="en-US"/>
              </w:rPr>
              <w:t>For a specific channel BW supported for SBFD, the maximum number of specific UL subband sizes are allowed to be declared</w:t>
            </w:r>
          </w:p>
          <w:p w14:paraId="2C952624" w14:textId="77777777" w:rsidR="00434308" w:rsidRPr="00434308" w:rsidRDefault="00434308" w:rsidP="00434308">
            <w:pPr>
              <w:widowControl/>
              <w:numPr>
                <w:ilvl w:val="1"/>
                <w:numId w:val="11"/>
              </w:numPr>
              <w:spacing w:after="120" w:line="259" w:lineRule="auto"/>
              <w:ind w:left="1656"/>
              <w:jc w:val="left"/>
              <w:rPr>
                <w:rFonts w:ascii="Times New Roman" w:eastAsia="MS Mincho" w:hAnsi="Times New Roman"/>
                <w:kern w:val="0"/>
                <w:sz w:val="20"/>
                <w:szCs w:val="20"/>
                <w:lang w:eastAsia="en-US"/>
              </w:rPr>
            </w:pPr>
            <w:r w:rsidRPr="00434308">
              <w:rPr>
                <w:rFonts w:ascii="Times New Roman" w:eastAsia="等线" w:hAnsi="Times New Roman" w:hint="eastAsia"/>
                <w:kern w:val="0"/>
                <w:sz w:val="20"/>
                <w:szCs w:val="20"/>
              </w:rPr>
              <w:t>M</w:t>
            </w:r>
            <w:r w:rsidRPr="00434308">
              <w:rPr>
                <w:rFonts w:ascii="Times New Roman" w:eastAsia="等线" w:hAnsi="Times New Roman"/>
                <w:kern w:val="0"/>
                <w:sz w:val="20"/>
                <w:szCs w:val="20"/>
              </w:rPr>
              <w:t>aximum 3 subband configurations allowed for FR1 WA BS</w:t>
            </w:r>
          </w:p>
          <w:p w14:paraId="70E4EEF1" w14:textId="77777777" w:rsidR="00434308" w:rsidRPr="00434308" w:rsidRDefault="00434308" w:rsidP="00434308">
            <w:pPr>
              <w:widowControl/>
              <w:numPr>
                <w:ilvl w:val="2"/>
                <w:numId w:val="11"/>
              </w:numPr>
              <w:spacing w:after="120" w:line="259" w:lineRule="auto"/>
              <w:ind w:left="2376"/>
              <w:jc w:val="left"/>
              <w:rPr>
                <w:rFonts w:ascii="Times New Roman" w:eastAsia="MS Mincho" w:hAnsi="Times New Roman"/>
                <w:kern w:val="0"/>
                <w:sz w:val="20"/>
                <w:szCs w:val="20"/>
                <w:lang w:eastAsia="en-US"/>
              </w:rPr>
            </w:pPr>
            <w:r w:rsidRPr="00434308">
              <w:rPr>
                <w:rFonts w:ascii="Times New Roman" w:eastAsia="MS Mincho" w:hAnsi="Times New Roman"/>
                <w:kern w:val="0"/>
                <w:sz w:val="20"/>
                <w:szCs w:val="20"/>
                <w:lang w:eastAsia="en-US"/>
              </w:rPr>
              <w:t xml:space="preserve">These 3 suband configurations shall cover all DUD and DU/UD ones supported by this BS. </w:t>
            </w:r>
          </w:p>
          <w:p w14:paraId="19AF98C7" w14:textId="77777777" w:rsidR="00434308" w:rsidRPr="00434308" w:rsidRDefault="00434308" w:rsidP="00434308">
            <w:pPr>
              <w:widowControl/>
              <w:numPr>
                <w:ilvl w:val="2"/>
                <w:numId w:val="11"/>
              </w:numPr>
              <w:spacing w:after="120" w:line="259" w:lineRule="auto"/>
              <w:ind w:left="2376"/>
              <w:jc w:val="left"/>
              <w:rPr>
                <w:rFonts w:ascii="Times New Roman" w:eastAsia="MS Mincho" w:hAnsi="Times New Roman"/>
                <w:kern w:val="0"/>
                <w:sz w:val="20"/>
                <w:szCs w:val="20"/>
                <w:lang w:eastAsia="en-US"/>
              </w:rPr>
            </w:pPr>
            <w:r w:rsidRPr="00434308">
              <w:rPr>
                <w:rFonts w:ascii="Times New Roman" w:eastAsia="MS Mincho" w:hAnsi="Times New Roman"/>
                <w:kern w:val="0"/>
                <w:sz w:val="20"/>
                <w:szCs w:val="20"/>
                <w:lang w:eastAsia="en-US"/>
              </w:rPr>
              <w:t>One UL subband size for DU/UD cases, should be counted as 2 configurations, e.g., UD 20-80MHz and DU 80-20MHz should be counted as 2 configurations.</w:t>
            </w:r>
          </w:p>
          <w:p w14:paraId="0084BC46" w14:textId="77777777" w:rsidR="00434308" w:rsidRPr="00434308" w:rsidRDefault="00434308" w:rsidP="00434308">
            <w:pPr>
              <w:widowControl/>
              <w:numPr>
                <w:ilvl w:val="1"/>
                <w:numId w:val="11"/>
              </w:numPr>
              <w:ind w:left="1656"/>
              <w:jc w:val="left"/>
              <w:rPr>
                <w:rFonts w:ascii="Times New Roman" w:eastAsia="MS Mincho" w:hAnsi="Times New Roman"/>
                <w:kern w:val="0"/>
                <w:sz w:val="20"/>
                <w:szCs w:val="20"/>
                <w:lang w:eastAsia="en-US"/>
              </w:rPr>
            </w:pPr>
            <w:r w:rsidRPr="00434308">
              <w:rPr>
                <w:rFonts w:ascii="Times New Roman" w:eastAsia="MS Mincho" w:hAnsi="Times New Roman"/>
                <w:kern w:val="0"/>
                <w:sz w:val="20"/>
                <w:szCs w:val="20"/>
                <w:lang w:eastAsia="en-US"/>
              </w:rPr>
              <w:t xml:space="preserve">For FR1 MR SBFD capable BSs, a power level threshold could be established: Above this threshold, maximum 3 subband configurations allowed as FR1 WA BS; Below this threshold, the restriction on the number of UL subband sizes supported is not applicable. </w:t>
            </w:r>
          </w:p>
          <w:p w14:paraId="7F3782D2" w14:textId="77777777" w:rsidR="00434308" w:rsidRPr="00434308" w:rsidRDefault="00434308" w:rsidP="00434308">
            <w:pPr>
              <w:widowControl/>
              <w:numPr>
                <w:ilvl w:val="2"/>
                <w:numId w:val="11"/>
              </w:numPr>
              <w:ind w:left="2376"/>
              <w:jc w:val="left"/>
              <w:rPr>
                <w:rFonts w:ascii="Times New Roman" w:eastAsia="MS Mincho" w:hAnsi="Times New Roman"/>
                <w:kern w:val="0"/>
                <w:sz w:val="20"/>
                <w:szCs w:val="20"/>
                <w:lang w:eastAsia="en-US"/>
              </w:rPr>
            </w:pPr>
            <w:r w:rsidRPr="00434308">
              <w:rPr>
                <w:rFonts w:ascii="Times New Roman" w:eastAsia="MS Mincho" w:hAnsi="Times New Roman"/>
                <w:kern w:val="0"/>
                <w:sz w:val="20"/>
                <w:szCs w:val="20"/>
                <w:u w:val="single"/>
                <w:lang w:eastAsia="en-US"/>
              </w:rPr>
              <w:t>Adopt the same power level threshold as the one to differentiate whether all declared configurations shall be tested or not.</w:t>
            </w:r>
          </w:p>
        </w:tc>
      </w:tr>
    </w:tbl>
    <w:p w14:paraId="73698FFF" w14:textId="422D18D2" w:rsidR="0005624F" w:rsidRPr="0005624F" w:rsidRDefault="0005624F" w:rsidP="0005624F">
      <w:pPr>
        <w:spacing w:after="180"/>
        <w:rPr>
          <w:rFonts w:ascii="Times New Roman" w:hAnsi="Times New Roman"/>
          <w:sz w:val="20"/>
          <w:szCs w:val="20"/>
          <w:lang w:val="en-GB"/>
        </w:rPr>
      </w:pPr>
      <w:r w:rsidRPr="0005624F">
        <w:rPr>
          <w:rFonts w:ascii="Times New Roman" w:hAnsi="Times New Roman"/>
          <w:sz w:val="20"/>
          <w:szCs w:val="20"/>
          <w:lang w:val="en-GB"/>
        </w:rPr>
        <w:lastRenderedPageBreak/>
        <w:t xml:space="preserve">From the conclusion of R19, it can be seen that SBFD allows a maximum of three subband configurations. For a scenario where three different operators coexist within a band, DUD is </w:t>
      </w:r>
      <w:r>
        <w:rPr>
          <w:rFonts w:ascii="Times New Roman" w:hAnsi="Times New Roman" w:hint="eastAsia"/>
          <w:sz w:val="20"/>
          <w:szCs w:val="20"/>
          <w:lang w:val="en-GB"/>
        </w:rPr>
        <w:t>maybe</w:t>
      </w:r>
      <w:r w:rsidRPr="0005624F">
        <w:rPr>
          <w:rFonts w:ascii="Times New Roman" w:hAnsi="Times New Roman"/>
          <w:sz w:val="20"/>
          <w:szCs w:val="20"/>
          <w:lang w:val="en-GB"/>
        </w:rPr>
        <w:t xml:space="preserve"> the best subband configuration for the middle operator. Therefore, it is recommended to select two typical DU subband configurations and one DUD subband configuration when making assumptions about subband configurations.</w:t>
      </w:r>
    </w:p>
    <w:p w14:paraId="3F2CE5E7" w14:textId="65EA31EF" w:rsidR="009C769E" w:rsidRPr="0005624F" w:rsidRDefault="0005624F" w:rsidP="00BF2A25">
      <w:pPr>
        <w:spacing w:after="180"/>
        <w:rPr>
          <w:rFonts w:ascii="Times New Roman" w:hAnsi="Times New Roman"/>
          <w:b/>
          <w:bCs/>
          <w:sz w:val="20"/>
          <w:szCs w:val="20"/>
          <w:lang w:val="en-GB"/>
        </w:rPr>
      </w:pPr>
      <w:r w:rsidRPr="0005624F">
        <w:rPr>
          <w:rFonts w:ascii="Times New Roman" w:hAnsi="Times New Roman"/>
          <w:b/>
          <w:bCs/>
          <w:sz w:val="20"/>
          <w:szCs w:val="20"/>
          <w:lang w:val="en-GB"/>
        </w:rPr>
        <w:t>Proposal</w:t>
      </w:r>
      <w:r w:rsidRPr="0005624F">
        <w:rPr>
          <w:rFonts w:ascii="Times New Roman" w:hAnsi="Times New Roman" w:hint="eastAsia"/>
          <w:b/>
          <w:bCs/>
          <w:sz w:val="20"/>
          <w:szCs w:val="20"/>
          <w:lang w:val="en-GB"/>
        </w:rPr>
        <w:t xml:space="preserve"> 5</w:t>
      </w:r>
      <w:r w:rsidRPr="0005624F">
        <w:rPr>
          <w:rFonts w:ascii="Times New Roman" w:hAnsi="Times New Roman"/>
          <w:b/>
          <w:bCs/>
          <w:sz w:val="20"/>
          <w:szCs w:val="20"/>
          <w:lang w:val="en-GB"/>
        </w:rPr>
        <w:t>: During coexistence analysis, both DU configuration and DUD configuration should be considered.</w:t>
      </w:r>
    </w:p>
    <w:bookmarkEnd w:id="3"/>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23FE2AD4" w14:textId="44F04223" w:rsidR="00032CAA" w:rsidRDefault="001B4A8F" w:rsidP="00032CAA">
      <w:pPr>
        <w:spacing w:after="180"/>
        <w:rPr>
          <w:rFonts w:ascii="Times New Roman" w:hAnsi="Times New Roman"/>
          <w:b/>
          <w:bCs/>
          <w:sz w:val="20"/>
          <w:szCs w:val="20"/>
        </w:rPr>
      </w:pPr>
      <w:r w:rsidRPr="001B4A8F">
        <w:rPr>
          <w:rFonts w:ascii="Times New Roman" w:hAnsi="Times New Roman" w:hint="eastAsia"/>
          <w:b/>
          <w:bCs/>
          <w:sz w:val="20"/>
          <w:szCs w:val="20"/>
        </w:rPr>
        <w:t>Proposal 1: The priority of the co-located scenario could be higher.</w:t>
      </w:r>
    </w:p>
    <w:p w14:paraId="6193F100" w14:textId="77777777" w:rsidR="001B4A8F" w:rsidRPr="001B4A8F" w:rsidRDefault="001B4A8F" w:rsidP="001B4A8F">
      <w:pPr>
        <w:spacing w:after="180"/>
        <w:rPr>
          <w:rFonts w:ascii="Times New Roman" w:hAnsi="Times New Roman"/>
          <w:b/>
          <w:bCs/>
          <w:sz w:val="20"/>
          <w:szCs w:val="20"/>
        </w:rPr>
      </w:pPr>
      <w:r w:rsidRPr="001B4A8F">
        <w:rPr>
          <w:rFonts w:ascii="Times New Roman" w:hAnsi="Times New Roman" w:hint="eastAsia"/>
          <w:b/>
          <w:bCs/>
          <w:sz w:val="20"/>
          <w:szCs w:val="20"/>
        </w:rPr>
        <w:t>Observation 1: There is a possibility that in the n104 frequency band, three or even four operators may jointly deploy IMT services.</w:t>
      </w:r>
    </w:p>
    <w:p w14:paraId="5D8EDB2E" w14:textId="03916917" w:rsidR="001B4A8F" w:rsidRDefault="001B4A8F" w:rsidP="001B4A8F">
      <w:pPr>
        <w:spacing w:after="180"/>
        <w:rPr>
          <w:rFonts w:ascii="Times New Roman" w:hAnsi="Times New Roman"/>
          <w:b/>
          <w:bCs/>
          <w:sz w:val="20"/>
          <w:szCs w:val="20"/>
        </w:rPr>
      </w:pPr>
      <w:r w:rsidRPr="001B4A8F">
        <w:rPr>
          <w:rFonts w:ascii="Times New Roman" w:hAnsi="Times New Roman" w:hint="eastAsia"/>
          <w:b/>
          <w:bCs/>
          <w:sz w:val="20"/>
          <w:szCs w:val="20"/>
        </w:rPr>
        <w:t>Proposal 2: Scenarios where two operators are adjacent and three operators are adjacent need to be considered.</w:t>
      </w:r>
    </w:p>
    <w:p w14:paraId="3A829BF5" w14:textId="78233823" w:rsidR="001B4A8F" w:rsidRDefault="001B4A8F" w:rsidP="001B4A8F">
      <w:pPr>
        <w:spacing w:after="180"/>
        <w:rPr>
          <w:rFonts w:ascii="Times New Roman" w:hAnsi="Times New Roman"/>
          <w:b/>
          <w:bCs/>
          <w:sz w:val="20"/>
          <w:szCs w:val="20"/>
        </w:rPr>
      </w:pPr>
      <w:r w:rsidRPr="001B4A8F">
        <w:rPr>
          <w:rFonts w:ascii="Times New Roman" w:hAnsi="Times New Roman" w:hint="eastAsia"/>
          <w:b/>
          <w:bCs/>
          <w:sz w:val="20"/>
          <w:szCs w:val="20"/>
        </w:rPr>
        <w:t>Proposal 3: It is recommended to select the two typical bandwidth 100 MHz and 200 MHz for analysis.</w:t>
      </w:r>
    </w:p>
    <w:p w14:paraId="1F777557" w14:textId="02C823F4" w:rsidR="001B4A8F" w:rsidRDefault="001B4A8F" w:rsidP="001B4A8F">
      <w:pPr>
        <w:spacing w:after="180"/>
        <w:rPr>
          <w:rFonts w:ascii="Times New Roman" w:hAnsi="Times New Roman"/>
          <w:b/>
          <w:bCs/>
          <w:sz w:val="20"/>
          <w:szCs w:val="20"/>
        </w:rPr>
      </w:pPr>
      <w:r w:rsidRPr="001B4A8F">
        <w:rPr>
          <w:rFonts w:ascii="Times New Roman" w:hAnsi="Times New Roman" w:hint="eastAsia"/>
          <w:b/>
          <w:bCs/>
          <w:sz w:val="20"/>
          <w:szCs w:val="20"/>
        </w:rPr>
        <w:t>Proposal 4: It is suggested to analysis the coexistence of 100 MHz SBFD and 60 MHz SBFD.</w:t>
      </w:r>
    </w:p>
    <w:p w14:paraId="71EE28AE" w14:textId="20FDCA83" w:rsidR="001B4A8F" w:rsidRDefault="001B4A8F" w:rsidP="001B4A8F">
      <w:pPr>
        <w:spacing w:after="180"/>
        <w:rPr>
          <w:rFonts w:ascii="Times New Roman" w:hAnsi="Times New Roman"/>
          <w:b/>
          <w:bCs/>
          <w:sz w:val="20"/>
          <w:szCs w:val="20"/>
        </w:rPr>
      </w:pPr>
      <w:r w:rsidRPr="001B4A8F">
        <w:rPr>
          <w:rFonts w:ascii="Times New Roman" w:hAnsi="Times New Roman" w:hint="eastAsia"/>
          <w:b/>
          <w:bCs/>
          <w:sz w:val="20"/>
          <w:szCs w:val="20"/>
        </w:rPr>
        <w:t>Proposal 5: During coexistence analysis, both DU configuration and DUD configuration should be considered.</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4BB2E6DA" w:rsidR="00DB6A7A" w:rsidRPr="004917DF" w:rsidRDefault="004917DF" w:rsidP="004917DF">
      <w:pPr>
        <w:pStyle w:val="af6"/>
        <w:numPr>
          <w:ilvl w:val="0"/>
          <w:numId w:val="7"/>
        </w:numPr>
        <w:ind w:firstLineChars="0"/>
        <w:rPr>
          <w:rFonts w:ascii="Times New Roman" w:hAnsi="Times New Roman"/>
          <w:sz w:val="20"/>
          <w:szCs w:val="20"/>
        </w:rPr>
      </w:pPr>
      <w:r w:rsidRPr="004917DF">
        <w:rPr>
          <w:rFonts w:ascii="Times New Roman" w:hAnsi="Times New Roman"/>
          <w:sz w:val="20"/>
          <w:szCs w:val="20"/>
        </w:rPr>
        <w:t xml:space="preserve">RP-251881, </w:t>
      </w:r>
      <w:r w:rsidR="0005624F" w:rsidRPr="0005624F">
        <w:rPr>
          <w:rFonts w:ascii="Times New Roman" w:hAnsi="Times New Roman"/>
          <w:sz w:val="20"/>
          <w:szCs w:val="20"/>
        </w:rPr>
        <w:t>New WID on NR base station (BS) RF requirement evolution for FR1 and testing phase 2</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1E5B0" w14:textId="77777777" w:rsidR="0016669C" w:rsidRDefault="0016669C">
      <w:pPr>
        <w:rPr>
          <w:rFonts w:hint="eastAsia"/>
        </w:rPr>
      </w:pPr>
      <w:r>
        <w:separator/>
      </w:r>
    </w:p>
  </w:endnote>
  <w:endnote w:type="continuationSeparator" w:id="0">
    <w:p w14:paraId="5B82E8B2" w14:textId="77777777" w:rsidR="0016669C" w:rsidRDefault="0016669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E4B1E" w14:textId="77777777" w:rsidR="0016669C" w:rsidRDefault="0016669C">
      <w:pPr>
        <w:rPr>
          <w:rFonts w:hint="eastAsia"/>
        </w:rPr>
      </w:pPr>
      <w:r>
        <w:separator/>
      </w:r>
    </w:p>
  </w:footnote>
  <w:footnote w:type="continuationSeparator" w:id="0">
    <w:p w14:paraId="4B2523A8" w14:textId="77777777" w:rsidR="0016669C" w:rsidRDefault="0016669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9"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2"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5"/>
  </w:num>
  <w:num w:numId="2" w16cid:durableId="1033387093">
    <w:abstractNumId w:val="3"/>
  </w:num>
  <w:num w:numId="3" w16cid:durableId="1825581935">
    <w:abstractNumId w:val="13"/>
  </w:num>
  <w:num w:numId="4" w16cid:durableId="841047751">
    <w:abstractNumId w:val="2"/>
  </w:num>
  <w:num w:numId="5" w16cid:durableId="1661889871">
    <w:abstractNumId w:val="6"/>
  </w:num>
  <w:num w:numId="6" w16cid:durableId="333920260">
    <w:abstractNumId w:val="0"/>
  </w:num>
  <w:num w:numId="7" w16cid:durableId="1881672935">
    <w:abstractNumId w:val="1"/>
  </w:num>
  <w:num w:numId="8" w16cid:durableId="981811135">
    <w:abstractNumId w:val="7"/>
  </w:num>
  <w:num w:numId="9" w16cid:durableId="1144355548">
    <w:abstractNumId w:val="10"/>
  </w:num>
  <w:num w:numId="10" w16cid:durableId="433749520">
    <w:abstractNumId w:val="14"/>
  </w:num>
  <w:num w:numId="11" w16cid:durableId="1232347837">
    <w:abstractNumId w:val="11"/>
  </w:num>
  <w:num w:numId="12" w16cid:durableId="2136754960">
    <w:abstractNumId w:val="8"/>
  </w:num>
  <w:num w:numId="13" w16cid:durableId="1928616696">
    <w:abstractNumId w:val="4"/>
  </w:num>
  <w:num w:numId="14" w16cid:durableId="730888153">
    <w:abstractNumId w:val="12"/>
  </w:num>
  <w:num w:numId="15" w16cid:durableId="126545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624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A81"/>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69C"/>
    <w:rsid w:val="0016673D"/>
    <w:rsid w:val="00167D5F"/>
    <w:rsid w:val="00170533"/>
    <w:rsid w:val="0017105A"/>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4A8F"/>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D5"/>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6F66"/>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6C5"/>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308"/>
    <w:rsid w:val="00434694"/>
    <w:rsid w:val="00434E36"/>
    <w:rsid w:val="004354E1"/>
    <w:rsid w:val="00437BD1"/>
    <w:rsid w:val="00440184"/>
    <w:rsid w:val="004403E5"/>
    <w:rsid w:val="0044126A"/>
    <w:rsid w:val="0044165B"/>
    <w:rsid w:val="0044191B"/>
    <w:rsid w:val="00441B32"/>
    <w:rsid w:val="0044257C"/>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108D"/>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2F1C"/>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53B"/>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A68"/>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5D0"/>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17BC6"/>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517"/>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56F4"/>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25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B0D"/>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4FCE"/>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45B"/>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D71F7"/>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table" w:customStyle="1" w:styleId="TableGrid10">
    <w:name w:val="TableGrid1"/>
    <w:basedOn w:val="a1"/>
    <w:next w:val="af3"/>
    <w:qFormat/>
    <w:rsid w:val="00434308"/>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5113</TotalTime>
  <Pages>3</Pages>
  <Words>915</Words>
  <Characters>4716</Characters>
  <Application>Microsoft Office Word</Application>
  <DocSecurity>0</DocSecurity>
  <Lines>81</Lines>
  <Paragraphs>58</Paragraphs>
  <ScaleCrop>false</ScaleCrop>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14</cp:revision>
  <dcterms:created xsi:type="dcterms:W3CDTF">2022-04-25T02:55:00Z</dcterms:created>
  <dcterms:modified xsi:type="dcterms:W3CDTF">2025-10-02T09:59:00Z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