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23A57A" w14:textId="2A4AFBBD" w:rsidR="00B66DD7" w:rsidRDefault="003A71A1" w:rsidP="00B66DD7">
      <w:pPr>
        <w:pStyle w:val="CRCoverPage"/>
        <w:tabs>
          <w:tab w:val="right" w:pos="9639"/>
        </w:tabs>
        <w:spacing w:after="0"/>
        <w:rPr>
          <w:b/>
          <w:i/>
          <w:noProof/>
          <w:sz w:val="28"/>
        </w:rPr>
      </w:pPr>
      <w:bookmarkStart w:id="0" w:name="_Toc2086435"/>
      <w:r w:rsidRPr="003A71A1">
        <w:rPr>
          <w:b/>
          <w:noProof/>
          <w:sz w:val="24"/>
        </w:rPr>
        <w:t>3GPP TSG-RAN WG4 Meeting #</w:t>
      </w:r>
      <w:r w:rsidR="00743C71">
        <w:rPr>
          <w:b/>
          <w:noProof/>
          <w:sz w:val="24"/>
        </w:rPr>
        <w:t>11</w:t>
      </w:r>
      <w:r w:rsidR="001D0C69">
        <w:rPr>
          <w:b/>
          <w:noProof/>
          <w:sz w:val="24"/>
        </w:rPr>
        <w:t>6</w:t>
      </w:r>
      <w:r w:rsidR="00B66DD7">
        <w:rPr>
          <w:b/>
          <w:i/>
          <w:noProof/>
          <w:sz w:val="28"/>
        </w:rPr>
        <w:tab/>
      </w:r>
      <w:r w:rsidR="007612B8" w:rsidRPr="007612B8">
        <w:rPr>
          <w:b/>
          <w:i/>
          <w:noProof/>
          <w:sz w:val="28"/>
        </w:rPr>
        <w:t>R4-2510768</w:t>
      </w:r>
    </w:p>
    <w:p w14:paraId="711C2D9E" w14:textId="77777777" w:rsidR="00F90D9C" w:rsidRPr="005C111A" w:rsidRDefault="00F90D9C" w:rsidP="00F90D9C">
      <w:pPr>
        <w:spacing w:after="120"/>
        <w:ind w:left="1985" w:hanging="1985"/>
        <w:rPr>
          <w:rFonts w:ascii="Arial" w:hAnsi="Arial" w:cs="Arial"/>
          <w:b/>
          <w:bCs/>
          <w:sz w:val="24"/>
          <w:szCs w:val="24"/>
        </w:rPr>
      </w:pPr>
      <w:r w:rsidRPr="005C111A">
        <w:rPr>
          <w:rFonts w:ascii="Arial" w:hAnsi="Arial" w:cs="Arial"/>
          <w:b/>
          <w:bCs/>
          <w:sz w:val="24"/>
          <w:szCs w:val="24"/>
        </w:rPr>
        <w:fldChar w:fldCharType="begin"/>
      </w:r>
      <w:r w:rsidRPr="005C111A">
        <w:rPr>
          <w:rFonts w:ascii="Arial" w:hAnsi="Arial" w:cs="Arial"/>
          <w:b/>
          <w:bCs/>
          <w:sz w:val="24"/>
          <w:szCs w:val="24"/>
        </w:rPr>
        <w:instrText xml:space="preserve"> DOCPROPERTY  Location  \* MERGEFORMAT </w:instrText>
      </w:r>
      <w:r w:rsidRPr="005C111A">
        <w:rPr>
          <w:rFonts w:ascii="Arial" w:hAnsi="Arial" w:cs="Arial"/>
          <w:b/>
          <w:bCs/>
          <w:sz w:val="24"/>
          <w:szCs w:val="24"/>
        </w:rPr>
        <w:fldChar w:fldCharType="separate"/>
      </w:r>
      <w:r w:rsidRPr="005C111A">
        <w:rPr>
          <w:rFonts w:ascii="Arial" w:hAnsi="Arial" w:cs="Arial"/>
          <w:b/>
          <w:bCs/>
          <w:noProof/>
          <w:sz w:val="24"/>
          <w:szCs w:val="24"/>
        </w:rPr>
        <w:t>Bengaluru</w:t>
      </w:r>
      <w:r w:rsidRPr="005C111A">
        <w:rPr>
          <w:rFonts w:ascii="Arial" w:hAnsi="Arial" w:cs="Arial"/>
          <w:b/>
          <w:bCs/>
          <w:noProof/>
          <w:sz w:val="24"/>
          <w:szCs w:val="24"/>
        </w:rPr>
        <w:fldChar w:fldCharType="end"/>
      </w:r>
      <w:r w:rsidRPr="005C111A">
        <w:rPr>
          <w:rFonts w:ascii="Arial" w:hAnsi="Arial" w:cs="Arial"/>
          <w:b/>
          <w:bCs/>
          <w:noProof/>
          <w:sz w:val="24"/>
          <w:szCs w:val="24"/>
        </w:rPr>
        <w:t xml:space="preserve">, </w:t>
      </w:r>
      <w:r w:rsidRPr="005C111A">
        <w:rPr>
          <w:rFonts w:ascii="Arial" w:hAnsi="Arial" w:cs="Arial"/>
          <w:b/>
          <w:bCs/>
          <w:sz w:val="24"/>
          <w:szCs w:val="24"/>
        </w:rPr>
        <w:fldChar w:fldCharType="begin"/>
      </w:r>
      <w:r w:rsidRPr="005C111A">
        <w:rPr>
          <w:rFonts w:ascii="Arial" w:hAnsi="Arial" w:cs="Arial"/>
          <w:b/>
          <w:bCs/>
          <w:sz w:val="24"/>
          <w:szCs w:val="24"/>
        </w:rPr>
        <w:instrText xml:space="preserve"> DOCPROPERTY  Country  \* MERGEFORMAT </w:instrText>
      </w:r>
      <w:r w:rsidRPr="005C111A">
        <w:rPr>
          <w:rFonts w:ascii="Arial" w:hAnsi="Arial" w:cs="Arial"/>
          <w:b/>
          <w:bCs/>
          <w:sz w:val="24"/>
          <w:szCs w:val="24"/>
        </w:rPr>
        <w:fldChar w:fldCharType="separate"/>
      </w:r>
      <w:r w:rsidRPr="005C111A">
        <w:rPr>
          <w:rFonts w:ascii="Arial" w:hAnsi="Arial" w:cs="Arial"/>
          <w:b/>
          <w:bCs/>
          <w:noProof/>
          <w:sz w:val="24"/>
          <w:szCs w:val="24"/>
        </w:rPr>
        <w:t>India</w:t>
      </w:r>
      <w:r w:rsidRPr="005C111A">
        <w:rPr>
          <w:rFonts w:ascii="Arial" w:hAnsi="Arial" w:cs="Arial"/>
          <w:b/>
          <w:bCs/>
          <w:noProof/>
          <w:sz w:val="24"/>
          <w:szCs w:val="24"/>
        </w:rPr>
        <w:fldChar w:fldCharType="end"/>
      </w:r>
      <w:r w:rsidRPr="005C111A">
        <w:rPr>
          <w:rFonts w:ascii="Arial" w:hAnsi="Arial" w:cs="Arial"/>
          <w:b/>
          <w:bCs/>
          <w:noProof/>
          <w:sz w:val="24"/>
          <w:szCs w:val="24"/>
        </w:rPr>
        <w:t xml:space="preserve">, </w:t>
      </w:r>
      <w:r w:rsidRPr="005C111A">
        <w:rPr>
          <w:rFonts w:ascii="Arial" w:hAnsi="Arial" w:cs="Arial"/>
          <w:b/>
          <w:bCs/>
          <w:sz w:val="24"/>
          <w:szCs w:val="24"/>
        </w:rPr>
        <w:fldChar w:fldCharType="begin"/>
      </w:r>
      <w:r w:rsidRPr="005C111A">
        <w:rPr>
          <w:rFonts w:ascii="Arial" w:hAnsi="Arial" w:cs="Arial"/>
          <w:b/>
          <w:bCs/>
          <w:sz w:val="24"/>
          <w:szCs w:val="24"/>
        </w:rPr>
        <w:instrText xml:space="preserve"> DOCPROPERTY  StartDate  \* MERGEFORMAT </w:instrText>
      </w:r>
      <w:r w:rsidRPr="005C111A">
        <w:rPr>
          <w:rFonts w:ascii="Arial" w:hAnsi="Arial" w:cs="Arial"/>
          <w:b/>
          <w:bCs/>
          <w:sz w:val="24"/>
          <w:szCs w:val="24"/>
        </w:rPr>
        <w:fldChar w:fldCharType="separate"/>
      </w:r>
      <w:r w:rsidRPr="005C111A">
        <w:rPr>
          <w:rFonts w:ascii="Arial" w:hAnsi="Arial" w:cs="Arial"/>
          <w:b/>
          <w:bCs/>
          <w:noProof/>
          <w:sz w:val="24"/>
          <w:szCs w:val="24"/>
        </w:rPr>
        <w:t xml:space="preserve"> 250825</w:t>
      </w:r>
      <w:r w:rsidRPr="005C111A">
        <w:rPr>
          <w:rFonts w:ascii="Arial" w:hAnsi="Arial" w:cs="Arial"/>
          <w:b/>
          <w:bCs/>
          <w:noProof/>
          <w:sz w:val="24"/>
          <w:szCs w:val="24"/>
        </w:rPr>
        <w:fldChar w:fldCharType="end"/>
      </w:r>
      <w:r w:rsidRPr="005C111A">
        <w:rPr>
          <w:rFonts w:ascii="Arial" w:hAnsi="Arial" w:cs="Arial"/>
          <w:b/>
          <w:bCs/>
          <w:noProof/>
          <w:sz w:val="24"/>
          <w:szCs w:val="24"/>
        </w:rPr>
        <w:t xml:space="preserve"> - </w:t>
      </w:r>
      <w:r w:rsidRPr="005C111A">
        <w:rPr>
          <w:rFonts w:ascii="Arial" w:hAnsi="Arial" w:cs="Arial"/>
          <w:b/>
          <w:bCs/>
          <w:sz w:val="24"/>
          <w:szCs w:val="24"/>
        </w:rPr>
        <w:fldChar w:fldCharType="begin"/>
      </w:r>
      <w:r w:rsidRPr="005C111A">
        <w:rPr>
          <w:rFonts w:ascii="Arial" w:hAnsi="Arial" w:cs="Arial"/>
          <w:b/>
          <w:bCs/>
          <w:sz w:val="24"/>
          <w:szCs w:val="24"/>
        </w:rPr>
        <w:instrText xml:space="preserve"> DOCPROPERTY  EndDate  \* MERGEFORMAT </w:instrText>
      </w:r>
      <w:r w:rsidRPr="005C111A">
        <w:rPr>
          <w:rFonts w:ascii="Arial" w:hAnsi="Arial" w:cs="Arial"/>
          <w:b/>
          <w:bCs/>
          <w:sz w:val="24"/>
          <w:szCs w:val="24"/>
        </w:rPr>
        <w:fldChar w:fldCharType="separate"/>
      </w:r>
      <w:r w:rsidRPr="005C111A">
        <w:rPr>
          <w:rFonts w:ascii="Arial" w:hAnsi="Arial" w:cs="Arial"/>
          <w:b/>
          <w:bCs/>
          <w:noProof/>
          <w:sz w:val="24"/>
          <w:szCs w:val="24"/>
        </w:rPr>
        <w:t>250829</w:t>
      </w:r>
      <w:r w:rsidRPr="005C111A">
        <w:rPr>
          <w:rFonts w:ascii="Arial" w:hAnsi="Arial" w:cs="Arial"/>
          <w:b/>
          <w:bCs/>
          <w:noProof/>
          <w:sz w:val="24"/>
          <w:szCs w:val="24"/>
        </w:rPr>
        <w:fldChar w:fldCharType="end"/>
      </w:r>
    </w:p>
    <w:p w14:paraId="4AED29A0" w14:textId="60EACA9D" w:rsidR="0044364B" w:rsidRPr="006C1584" w:rsidRDefault="0044364B" w:rsidP="0044364B">
      <w:pPr>
        <w:spacing w:after="120"/>
        <w:ind w:left="1985" w:hanging="1985"/>
        <w:rPr>
          <w:rFonts w:ascii="Arial" w:hAnsi="Arial" w:cs="Arial"/>
          <w:bCs/>
          <w:lang w:val="en-US"/>
        </w:rPr>
      </w:pPr>
      <w:r w:rsidRPr="006C1584">
        <w:rPr>
          <w:rFonts w:ascii="Arial" w:hAnsi="Arial" w:cs="Arial"/>
          <w:b/>
          <w:lang w:val="en-US"/>
        </w:rPr>
        <w:t>Source:</w:t>
      </w:r>
      <w:r w:rsidRPr="006C1584">
        <w:rPr>
          <w:rFonts w:ascii="Arial" w:hAnsi="Arial" w:cs="Arial"/>
          <w:b/>
          <w:lang w:val="en-US"/>
        </w:rPr>
        <w:tab/>
      </w:r>
      <w:r w:rsidRPr="006C1584">
        <w:rPr>
          <w:rFonts w:ascii="Arial" w:hAnsi="Arial" w:cs="Arial"/>
          <w:bCs/>
          <w:lang w:val="en-US"/>
        </w:rPr>
        <w:t>Ericsson</w:t>
      </w:r>
    </w:p>
    <w:p w14:paraId="0762B6CB" w14:textId="48E67C8E" w:rsidR="0044364B" w:rsidRPr="006C1584" w:rsidRDefault="0044364B" w:rsidP="0044364B">
      <w:pPr>
        <w:spacing w:after="120"/>
        <w:ind w:left="1985" w:hanging="1985"/>
        <w:rPr>
          <w:rFonts w:ascii="Arial" w:hAnsi="Arial" w:cs="Arial"/>
          <w:bCs/>
          <w:lang w:val="en-US"/>
        </w:rPr>
      </w:pPr>
      <w:r w:rsidRPr="006C1584">
        <w:rPr>
          <w:rFonts w:ascii="Arial" w:hAnsi="Arial" w:cs="Arial"/>
          <w:b/>
          <w:lang w:val="en-US"/>
        </w:rPr>
        <w:t>Title:</w:t>
      </w:r>
      <w:r w:rsidRPr="006C1584">
        <w:rPr>
          <w:rFonts w:ascii="Arial" w:hAnsi="Arial" w:cs="Arial"/>
          <w:lang w:val="en-US"/>
        </w:rPr>
        <w:tab/>
      </w:r>
      <w:r w:rsidR="001018AF" w:rsidRPr="001018AF">
        <w:rPr>
          <w:rFonts w:ascii="Arial" w:hAnsi="Arial" w:cs="Arial"/>
          <w:bCs/>
          <w:lang w:val="en-US"/>
        </w:rPr>
        <w:t>(NR_newRAT-core) On gradual timing adjustment for CA and DC</w:t>
      </w:r>
    </w:p>
    <w:p w14:paraId="710B5126" w14:textId="2CB1ED4B" w:rsidR="00D12A57" w:rsidRPr="006C1584" w:rsidRDefault="006C1584" w:rsidP="00D12A57">
      <w:pPr>
        <w:spacing w:after="120"/>
        <w:ind w:left="1985" w:hanging="1985"/>
        <w:rPr>
          <w:rFonts w:ascii="Arial" w:hAnsi="Arial" w:cs="Arial"/>
          <w:b/>
          <w:lang w:val="en-US"/>
        </w:rPr>
      </w:pPr>
      <w:r w:rsidRPr="006C1584">
        <w:rPr>
          <w:rFonts w:ascii="Arial" w:hAnsi="Arial" w:cs="Arial"/>
          <w:b/>
          <w:lang w:val="en-US"/>
        </w:rPr>
        <w:t>Agenda item:</w:t>
      </w:r>
      <w:r w:rsidR="00D12A57" w:rsidRPr="006C1584">
        <w:rPr>
          <w:rFonts w:ascii="Arial" w:hAnsi="Arial" w:cs="Arial"/>
          <w:lang w:val="en-US"/>
        </w:rPr>
        <w:tab/>
      </w:r>
      <w:r w:rsidR="00971234" w:rsidRPr="00971234">
        <w:rPr>
          <w:rFonts w:ascii="Arial" w:hAnsi="Arial" w:cs="Arial"/>
          <w:lang w:val="en-US"/>
        </w:rPr>
        <w:t>5.28.3</w:t>
      </w:r>
    </w:p>
    <w:p w14:paraId="5A3522FA" w14:textId="2489CC66" w:rsidR="00080512" w:rsidRPr="009C3E5A" w:rsidRDefault="006C1584" w:rsidP="009C3E5A">
      <w:pPr>
        <w:spacing w:after="120"/>
        <w:ind w:left="1985" w:hanging="1985"/>
        <w:rPr>
          <w:rFonts w:ascii="Arial" w:hAnsi="Arial" w:cs="Arial"/>
          <w:b/>
          <w:lang w:val="en-US"/>
        </w:rPr>
      </w:pPr>
      <w:r w:rsidRPr="006C1584">
        <w:rPr>
          <w:rFonts w:ascii="Arial" w:hAnsi="Arial" w:cs="Arial"/>
          <w:b/>
          <w:lang w:val="en-US"/>
        </w:rPr>
        <w:t>Document for:</w:t>
      </w:r>
      <w:r w:rsidR="00D12A57" w:rsidRPr="006C1584">
        <w:rPr>
          <w:rFonts w:ascii="Arial" w:hAnsi="Arial" w:cs="Arial"/>
          <w:lang w:val="en-US"/>
        </w:rPr>
        <w:tab/>
      </w:r>
      <w:bookmarkEnd w:id="0"/>
      <w:r w:rsidR="001018AF">
        <w:rPr>
          <w:rFonts w:ascii="Arial" w:hAnsi="Arial" w:cs="Arial"/>
          <w:bCs/>
          <w:lang w:val="en-US"/>
        </w:rPr>
        <w:t>Approval</w:t>
      </w:r>
    </w:p>
    <w:p w14:paraId="438BBA8B" w14:textId="59ADDD95" w:rsidR="00080512" w:rsidRDefault="00985F99">
      <w:pPr>
        <w:pStyle w:val="Heading1"/>
        <w:rPr>
          <w:lang w:val="en-US"/>
        </w:rPr>
      </w:pPr>
      <w:bookmarkStart w:id="1" w:name="clause4"/>
      <w:bookmarkStart w:id="2" w:name="_Toc2086441"/>
      <w:bookmarkEnd w:id="1"/>
      <w:r>
        <w:rPr>
          <w:lang w:val="en-US"/>
        </w:rPr>
        <w:t>1</w:t>
      </w:r>
      <w:r w:rsidR="00080512" w:rsidRPr="006C1584">
        <w:rPr>
          <w:lang w:val="en-US"/>
        </w:rPr>
        <w:tab/>
      </w:r>
      <w:bookmarkEnd w:id="2"/>
      <w:r w:rsidR="00B93FB3">
        <w:rPr>
          <w:lang w:val="en-US"/>
        </w:rPr>
        <w:t>Introduction</w:t>
      </w:r>
    </w:p>
    <w:p w14:paraId="7E1A9589" w14:textId="4B80157F" w:rsidR="00B93FB3" w:rsidRDefault="00F314A3" w:rsidP="00B93FB3">
      <w:pPr>
        <w:rPr>
          <w:lang w:val="en-US"/>
        </w:rPr>
      </w:pPr>
      <w:r>
        <w:rPr>
          <w:lang w:val="en-US"/>
        </w:rPr>
        <w:t xml:space="preserve">In RAN4#114 a number of proposals for handling of gradual adjustment and </w:t>
      </w:r>
      <w:r w:rsidR="007B1BFC">
        <w:rPr>
          <w:lang w:val="en-US"/>
        </w:rPr>
        <w:t>SCell transmission were discussed [1,2,3,4</w:t>
      </w:r>
      <w:r w:rsidR="00DE682D">
        <w:rPr>
          <w:lang w:val="en-US"/>
        </w:rPr>
        <w:t>,5</w:t>
      </w:r>
      <w:r w:rsidR="007B1BFC">
        <w:rPr>
          <w:lang w:val="en-US"/>
        </w:rPr>
        <w:t>].</w:t>
      </w:r>
      <w:r w:rsidR="00DE682D">
        <w:rPr>
          <w:lang w:val="en-US"/>
        </w:rPr>
        <w:t xml:space="preserve"> In this </w:t>
      </w:r>
      <w:r w:rsidR="008D3CDB">
        <w:rPr>
          <w:lang w:val="en-US"/>
        </w:rPr>
        <w:t>contribution</w:t>
      </w:r>
      <w:r w:rsidR="00DE682D">
        <w:rPr>
          <w:lang w:val="en-US"/>
        </w:rPr>
        <w:t xml:space="preserve"> we forward our proposal for this meeting, RAN4# 115.</w:t>
      </w:r>
    </w:p>
    <w:p w14:paraId="31215D0A" w14:textId="566F41F6" w:rsidR="0051173F" w:rsidRDefault="0051173F" w:rsidP="0051173F">
      <w:pPr>
        <w:pStyle w:val="Heading1"/>
        <w:rPr>
          <w:lang w:val="en-US"/>
        </w:rPr>
      </w:pPr>
      <w:r>
        <w:rPr>
          <w:lang w:val="en-US"/>
        </w:rPr>
        <w:t>2</w:t>
      </w:r>
      <w:r>
        <w:rPr>
          <w:lang w:val="en-US"/>
        </w:rPr>
        <w:tab/>
        <w:t>Discussion</w:t>
      </w:r>
    </w:p>
    <w:p w14:paraId="0D1C3F73" w14:textId="7166346A" w:rsidR="00B63B9A" w:rsidRPr="00B63B9A" w:rsidRDefault="00B63B9A" w:rsidP="00B63B9A">
      <w:pPr>
        <w:rPr>
          <w:lang w:val="en-US"/>
        </w:rPr>
      </w:pPr>
      <w:r>
        <w:rPr>
          <w:lang w:val="en-US"/>
        </w:rPr>
        <w:t>The requirements in TS 38.133 are minimum requirements</w:t>
      </w:r>
      <w:r w:rsidR="007D70B8">
        <w:rPr>
          <w:lang w:val="en-US"/>
        </w:rPr>
        <w:t>. We do not want to impose unnecessary restrictions on a capable UE</w:t>
      </w:r>
      <w:r w:rsidR="00D16638">
        <w:rPr>
          <w:lang w:val="en-US"/>
        </w:rPr>
        <w:t xml:space="preserve"> and force a specific restriction to actual transmission time difference &lt; MTTD</w:t>
      </w:r>
      <w:r w:rsidR="00466615">
        <w:rPr>
          <w:lang w:val="en-US"/>
        </w:rPr>
        <w:t xml:space="preserve"> for gradual adjustment and for SCell transmission.</w:t>
      </w:r>
    </w:p>
    <w:p w14:paraId="762D8947" w14:textId="4E27D5FB" w:rsidR="0051173F" w:rsidRDefault="009F699B" w:rsidP="00B93FB3">
      <w:pPr>
        <w:rPr>
          <w:lang w:val="en-US"/>
        </w:rPr>
      </w:pPr>
      <w:r>
        <w:rPr>
          <w:lang w:val="en-US"/>
        </w:rPr>
        <w:t>We</w:t>
      </w:r>
      <w:bookmarkStart w:id="3" w:name="_Hlk196825630"/>
      <w:r w:rsidR="00466615">
        <w:rPr>
          <w:lang w:val="en-US"/>
        </w:rPr>
        <w:t xml:space="preserve"> therefore </w:t>
      </w:r>
      <w:r w:rsidR="00176803">
        <w:rPr>
          <w:lang w:val="en-US"/>
        </w:rPr>
        <w:t xml:space="preserve">arrive to a </w:t>
      </w:r>
      <w:r w:rsidR="005161B1">
        <w:rPr>
          <w:lang w:val="en-US"/>
        </w:rPr>
        <w:t>guiding framework for our proposal</w:t>
      </w:r>
      <w:bookmarkEnd w:id="3"/>
      <w:r w:rsidR="005161B1">
        <w:rPr>
          <w:lang w:val="en-US"/>
        </w:rPr>
        <w:t>:</w:t>
      </w:r>
    </w:p>
    <w:p w14:paraId="453ED3F5" w14:textId="165630A7" w:rsidR="00985EAC" w:rsidRDefault="00985EAC" w:rsidP="00985EAC">
      <w:pPr>
        <w:pStyle w:val="ListParagraph"/>
        <w:numPr>
          <w:ilvl w:val="0"/>
          <w:numId w:val="6"/>
        </w:numPr>
        <w:rPr>
          <w:lang w:val="en-US"/>
        </w:rPr>
      </w:pPr>
      <w:r>
        <w:rPr>
          <w:lang w:val="en-US"/>
        </w:rPr>
        <w:t>A UE which can manage MTTD &gt; minimum requirement can continue transmission.</w:t>
      </w:r>
      <w:r>
        <w:rPr>
          <w:lang w:val="en-US"/>
        </w:rPr>
        <w:br/>
      </w:r>
    </w:p>
    <w:p w14:paraId="6A4CC6CB" w14:textId="2F371C69" w:rsidR="00E50997" w:rsidRDefault="00286D09" w:rsidP="00E50997">
      <w:pPr>
        <w:pStyle w:val="ListParagraph"/>
        <w:numPr>
          <w:ilvl w:val="0"/>
          <w:numId w:val="6"/>
        </w:numPr>
        <w:rPr>
          <w:lang w:val="en-US"/>
        </w:rPr>
      </w:pPr>
      <w:r w:rsidRPr="00985EAC">
        <w:rPr>
          <w:lang w:val="en-US"/>
        </w:rPr>
        <w:t xml:space="preserve">Use </w:t>
      </w:r>
      <w:bookmarkStart w:id="4" w:name="_Hlk196825657"/>
      <w:r w:rsidRPr="00985EAC">
        <w:rPr>
          <w:lang w:val="en-US"/>
        </w:rPr>
        <w:t>‘shall’, instead of ‘may’</w:t>
      </w:r>
      <w:bookmarkEnd w:id="4"/>
      <w:r w:rsidRPr="00985EAC">
        <w:rPr>
          <w:lang w:val="en-US"/>
        </w:rPr>
        <w:t>.</w:t>
      </w:r>
      <w:r w:rsidR="00333E8A" w:rsidRPr="00985EAC">
        <w:rPr>
          <w:lang w:val="en-US"/>
        </w:rPr>
        <w:br/>
      </w:r>
    </w:p>
    <w:p w14:paraId="5685159F" w14:textId="4E29BE61" w:rsidR="00CD2E4F" w:rsidRPr="00176803" w:rsidRDefault="00333E8A" w:rsidP="00333E8A">
      <w:pPr>
        <w:rPr>
          <w:b/>
          <w:bCs/>
          <w:lang w:val="en-US"/>
        </w:rPr>
      </w:pPr>
      <w:r w:rsidRPr="00176803">
        <w:rPr>
          <w:b/>
          <w:bCs/>
          <w:lang w:val="en-US"/>
        </w:rPr>
        <w:t xml:space="preserve">Observation 1: </w:t>
      </w:r>
      <w:r w:rsidR="00176803" w:rsidRPr="00176803">
        <w:rPr>
          <w:b/>
          <w:bCs/>
          <w:lang w:val="en-US"/>
        </w:rPr>
        <w:t xml:space="preserve">A </w:t>
      </w:r>
      <w:r w:rsidRPr="00176803">
        <w:rPr>
          <w:b/>
          <w:bCs/>
          <w:lang w:val="en-US"/>
        </w:rPr>
        <w:t xml:space="preserve">framework for our proposal </w:t>
      </w:r>
      <w:r w:rsidR="00985EAC" w:rsidRPr="00176803">
        <w:rPr>
          <w:b/>
          <w:bCs/>
          <w:lang w:val="en-US"/>
        </w:rPr>
        <w:t>is</w:t>
      </w:r>
      <w:r w:rsidR="00CD2E4F" w:rsidRPr="00176803">
        <w:rPr>
          <w:b/>
          <w:bCs/>
          <w:lang w:val="en-US"/>
        </w:rPr>
        <w:t>:</w:t>
      </w:r>
    </w:p>
    <w:p w14:paraId="57D4C570" w14:textId="18A74643" w:rsidR="00CD2E4F" w:rsidRPr="00176803" w:rsidRDefault="00CD2E4F" w:rsidP="00CD2E4F">
      <w:pPr>
        <w:pStyle w:val="ListParagraph"/>
        <w:numPr>
          <w:ilvl w:val="0"/>
          <w:numId w:val="6"/>
        </w:numPr>
        <w:rPr>
          <w:b/>
          <w:bCs/>
          <w:lang w:val="en-US"/>
        </w:rPr>
      </w:pPr>
      <w:r w:rsidRPr="00176803">
        <w:rPr>
          <w:b/>
          <w:bCs/>
          <w:lang w:val="en-US"/>
        </w:rPr>
        <w:t>A UE which can manage MTTD &gt; minimum requirement can continue transmission.</w:t>
      </w:r>
      <w:r w:rsidRPr="00176803">
        <w:rPr>
          <w:b/>
          <w:bCs/>
          <w:lang w:val="en-US"/>
        </w:rPr>
        <w:br/>
      </w:r>
    </w:p>
    <w:p w14:paraId="6D3E5AF4" w14:textId="3E016D8E" w:rsidR="00CD2E4F" w:rsidRPr="00176803" w:rsidRDefault="00CD2E4F" w:rsidP="00CD2E4F">
      <w:pPr>
        <w:pStyle w:val="ListParagraph"/>
        <w:numPr>
          <w:ilvl w:val="0"/>
          <w:numId w:val="6"/>
        </w:numPr>
        <w:rPr>
          <w:b/>
          <w:bCs/>
          <w:lang w:val="en-US"/>
        </w:rPr>
      </w:pPr>
      <w:r w:rsidRPr="00176803">
        <w:rPr>
          <w:b/>
          <w:bCs/>
          <w:lang w:val="en-US"/>
        </w:rPr>
        <w:t>Use ‘shall’, instead of ‘may’.</w:t>
      </w:r>
    </w:p>
    <w:p w14:paraId="1DF149C4" w14:textId="0F4666A9" w:rsidR="00A5108A" w:rsidRPr="002961D8" w:rsidRDefault="004819E1" w:rsidP="00333E8A">
      <w:pPr>
        <w:rPr>
          <w:color w:val="FF0000"/>
          <w:lang w:val="en-US"/>
        </w:rPr>
      </w:pPr>
      <w:r>
        <w:rPr>
          <w:lang w:val="en-US"/>
        </w:rPr>
        <w:br/>
      </w:r>
      <w:r w:rsidR="001665B8">
        <w:rPr>
          <w:lang w:val="en-US"/>
        </w:rPr>
        <w:t xml:space="preserve">Our proposal for gradual adjustment is based on </w:t>
      </w:r>
      <w:r w:rsidR="001665B8" w:rsidRPr="002961D8">
        <w:rPr>
          <w:color w:val="FF0000"/>
          <w:lang w:val="en-US"/>
        </w:rPr>
        <w:t xml:space="preserve">Apple’s input </w:t>
      </w:r>
      <w:r w:rsidR="001665B8">
        <w:rPr>
          <w:lang w:val="en-US"/>
        </w:rPr>
        <w:t xml:space="preserve">[1,2] </w:t>
      </w:r>
      <w:r>
        <w:rPr>
          <w:lang w:val="en-US"/>
        </w:rPr>
        <w:t>with the addition of th</w:t>
      </w:r>
      <w:r w:rsidR="006D38B5">
        <w:rPr>
          <w:lang w:val="en-US"/>
        </w:rPr>
        <w:t xml:space="preserve">e fact </w:t>
      </w:r>
      <w:r w:rsidR="006D38B5" w:rsidRPr="002961D8">
        <w:rPr>
          <w:color w:val="FF0000"/>
          <w:highlight w:val="cyan"/>
          <w:lang w:val="en-US"/>
        </w:rPr>
        <w:t>that a UE which can manage MTTD &gt; minimum requirement can continue transmission.</w:t>
      </w:r>
    </w:p>
    <w:tbl>
      <w:tblPr>
        <w:tblStyle w:val="TableGrid"/>
        <w:tblW w:w="0" w:type="auto"/>
        <w:tblLook w:val="04A0" w:firstRow="1" w:lastRow="0" w:firstColumn="1" w:lastColumn="0" w:noHBand="0" w:noVBand="1"/>
      </w:tblPr>
      <w:tblGrid>
        <w:gridCol w:w="9631"/>
      </w:tblGrid>
      <w:tr w:rsidR="00570FEB" w14:paraId="21F58D01" w14:textId="77777777" w:rsidTr="00570FEB">
        <w:tc>
          <w:tcPr>
            <w:tcW w:w="9631" w:type="dxa"/>
          </w:tcPr>
          <w:p w14:paraId="1B128FD9" w14:textId="77777777" w:rsidR="00570FEB" w:rsidRDefault="00570FEB" w:rsidP="00333E8A">
            <w:pPr>
              <w:rPr>
                <w:lang w:val="en-US"/>
              </w:rPr>
            </w:pPr>
            <w:r>
              <w:rPr>
                <w:lang w:val="en-US"/>
              </w:rPr>
              <w:t>…</w:t>
            </w:r>
          </w:p>
          <w:p w14:paraId="067C9940" w14:textId="77777777" w:rsidR="005A0C7B" w:rsidRPr="0024131D" w:rsidRDefault="005A0C7B" w:rsidP="005A0C7B">
            <w:pPr>
              <w:pStyle w:val="Heading4"/>
              <w:rPr>
                <w:lang w:eastAsia="zh-CN"/>
              </w:rPr>
            </w:pPr>
            <w:r w:rsidRPr="0024131D">
              <w:t>7.1.2.1</w:t>
            </w:r>
            <w:r w:rsidRPr="0024131D">
              <w:tab/>
              <w:t>Gradual timing adjustment</w:t>
            </w:r>
          </w:p>
          <w:p w14:paraId="750FF334" w14:textId="77777777" w:rsidR="005A0C7B" w:rsidRPr="0024131D" w:rsidRDefault="005A0C7B" w:rsidP="005A0C7B">
            <w:pPr>
              <w:rPr>
                <w:rFonts w:cs="v4.2.0"/>
              </w:rPr>
            </w:pPr>
            <w:r w:rsidRPr="0024131D">
              <w:rPr>
                <w:rFonts w:cs="v4.2.0"/>
              </w:rPr>
              <w:t xml:space="preserve">Requirements in this section shall apply regardless of whether the reference cell is on a carrier frequency subject to CCA or not. </w:t>
            </w:r>
          </w:p>
          <w:p w14:paraId="7FF2129D" w14:textId="77777777" w:rsidR="005A0C7B" w:rsidRPr="0024131D" w:rsidRDefault="005A0C7B" w:rsidP="005A0C7B">
            <w:pPr>
              <w:rPr>
                <w:rFonts w:cs="v4.2.0"/>
                <w:lang w:eastAsia="zh-CN"/>
              </w:rPr>
            </w:pPr>
            <w:r w:rsidRPr="00FC2FA4">
              <w:rPr>
                <w:rFonts w:cs="v4.2.0"/>
                <w:lang w:eastAsia="en-GB"/>
              </w:rPr>
              <w:t xml:space="preserve">When the transmission timing error between the UE and the reference </w:t>
            </w:r>
            <w:r w:rsidRPr="00FC2FA4">
              <w:rPr>
                <w:rFonts w:cs="v4.2.0"/>
                <w:lang w:eastAsia="ja-JP"/>
              </w:rPr>
              <w:t>timing</w:t>
            </w:r>
            <w:r w:rsidRPr="00FC2FA4">
              <w:rPr>
                <w:rFonts w:cs="v4.2.0"/>
                <w:lang w:eastAsia="en-GB"/>
              </w:rPr>
              <w:t xml:space="preserve"> exceeds </w:t>
            </w:r>
            <w:r w:rsidRPr="00FC2FA4">
              <w:rPr>
                <w:rFonts w:cs="v4.2.0"/>
                <w:lang w:eastAsia="en-GB"/>
              </w:rPr>
              <w:sym w:font="Symbol" w:char="F0B1"/>
            </w:r>
            <w:r w:rsidRPr="00FC2FA4">
              <w:rPr>
                <w:rFonts w:cs="v4.2.0"/>
                <w:lang w:eastAsia="en-GB"/>
              </w:rPr>
              <w:t>T</w:t>
            </w:r>
            <w:r w:rsidRPr="00FC2FA4">
              <w:rPr>
                <w:rFonts w:cs="v4.2.0"/>
                <w:vertAlign w:val="subscript"/>
                <w:lang w:eastAsia="en-GB"/>
              </w:rPr>
              <w:t>e</w:t>
            </w:r>
            <w:r w:rsidRPr="00FC2FA4">
              <w:rPr>
                <w:rFonts w:cs="v4.2.0"/>
                <w:lang w:eastAsia="en-GB"/>
              </w:rPr>
              <w:t xml:space="preserve"> then the UE </w:t>
            </w:r>
            <w:r w:rsidRPr="00FC2FA4">
              <w:rPr>
                <w:rFonts w:eastAsia="SimSun" w:cs="v4.2.0" w:hint="eastAsia"/>
                <w:lang w:val="en-US" w:eastAsia="zh-CN"/>
              </w:rPr>
              <w:t>shall adjust the timing such that timing error is</w:t>
            </w:r>
            <w:r w:rsidRPr="00FC2FA4">
              <w:rPr>
                <w:rFonts w:cs="v4.2.0"/>
                <w:lang w:eastAsia="en-GB"/>
              </w:rPr>
              <w:t xml:space="preserve"> to within </w:t>
            </w:r>
            <w:r w:rsidRPr="00FC2FA4">
              <w:rPr>
                <w:rFonts w:cs="v4.2.0"/>
                <w:lang w:eastAsia="en-GB"/>
              </w:rPr>
              <w:sym w:font="Symbol" w:char="F0B1"/>
            </w:r>
            <w:r w:rsidRPr="00FC2FA4">
              <w:rPr>
                <w:rFonts w:cs="v4.2.0"/>
                <w:lang w:eastAsia="en-GB"/>
              </w:rPr>
              <w:t>T</w:t>
            </w:r>
            <w:r w:rsidRPr="00FC2FA4">
              <w:rPr>
                <w:rFonts w:cs="v4.2.0"/>
                <w:vertAlign w:val="subscript"/>
                <w:lang w:eastAsia="en-GB"/>
              </w:rPr>
              <w:t>e</w:t>
            </w:r>
            <w:r w:rsidRPr="00FC2FA4">
              <w:rPr>
                <w:lang w:eastAsia="en-GB"/>
              </w:rPr>
              <w:t>.</w:t>
            </w:r>
            <w:r w:rsidRPr="00FC2FA4">
              <w:rPr>
                <w:lang w:eastAsia="ja-JP"/>
              </w:rPr>
              <w:t xml:space="preserve"> </w:t>
            </w:r>
            <w:r w:rsidRPr="00FC2FA4">
              <w:rPr>
                <w:rFonts w:cs="v4.2.0"/>
                <w:lang w:eastAsia="en-GB"/>
              </w:rPr>
              <w:t xml:space="preserve">The reference </w:t>
            </w:r>
            <w:r w:rsidRPr="00FC2FA4">
              <w:rPr>
                <w:rFonts w:cs="v4.2.0"/>
                <w:lang w:eastAsia="ja-JP"/>
              </w:rPr>
              <w:t>timing</w:t>
            </w:r>
            <w:r w:rsidRPr="00FC2FA4">
              <w:rPr>
                <w:rFonts w:cs="v4.2.0"/>
                <w:lang w:eastAsia="en-GB"/>
              </w:rPr>
              <w:t xml:space="preserve"> shall be </w:t>
            </w:r>
            <m:oMath>
              <m:d>
                <m:dPr>
                  <m:ctrlPr>
                    <w:rPr>
                      <w:rFonts w:ascii="Cambria Math" w:hAnsi="Cambria Math"/>
                      <w:i/>
                      <w:lang w:eastAsia="en-GB"/>
                    </w:rPr>
                  </m:ctrlPr>
                </m:dPr>
                <m:e>
                  <m:sSub>
                    <m:sSubPr>
                      <m:ctrlPr>
                        <w:rPr>
                          <w:rFonts w:ascii="Cambria Math" w:hAnsi="Cambria Math"/>
                          <w:i/>
                          <w:lang w:eastAsia="en-GB"/>
                        </w:rPr>
                      </m:ctrlPr>
                    </m:sSubPr>
                    <m:e>
                      <m:r>
                        <w:rPr>
                          <w:rFonts w:ascii="Cambria Math"/>
                          <w:lang w:eastAsia="en-GB"/>
                        </w:rPr>
                        <m:t>N</m:t>
                      </m:r>
                    </m:e>
                    <m:sub>
                      <m:r>
                        <m:rPr>
                          <m:nor/>
                        </m:rPr>
                        <w:rPr>
                          <w:rFonts w:ascii="Cambria Math"/>
                          <w:lang w:eastAsia="en-GB"/>
                        </w:rPr>
                        <m:t>TA</m:t>
                      </m:r>
                      <m:ctrlPr>
                        <w:rPr>
                          <w:rFonts w:ascii="Cambria Math" w:hAnsi="Cambria Math"/>
                          <w:lang w:eastAsia="en-GB"/>
                        </w:rPr>
                      </m:ctrlPr>
                    </m:sub>
                  </m:sSub>
                  <m:r>
                    <w:rPr>
                      <w:rFonts w:ascii="Cambria Math"/>
                      <w:lang w:eastAsia="en-GB"/>
                    </w:rPr>
                    <m:t>+</m:t>
                  </m:r>
                  <m:sSub>
                    <m:sSubPr>
                      <m:ctrlPr>
                        <w:rPr>
                          <w:rFonts w:ascii="Cambria Math" w:hAnsi="Cambria Math"/>
                          <w:i/>
                          <w:lang w:eastAsia="en-GB"/>
                        </w:rPr>
                      </m:ctrlPr>
                    </m:sSubPr>
                    <m:e>
                      <m:r>
                        <w:rPr>
                          <w:rFonts w:ascii="Cambria Math"/>
                          <w:lang w:eastAsia="en-GB"/>
                        </w:rPr>
                        <m:t>N</m:t>
                      </m:r>
                    </m:e>
                    <m:sub>
                      <m:r>
                        <m:rPr>
                          <m:nor/>
                        </m:rPr>
                        <w:rPr>
                          <w:rFonts w:ascii="Cambria Math"/>
                          <w:lang w:eastAsia="en-GB"/>
                        </w:rPr>
                        <m:t>TA offset</m:t>
                      </m:r>
                      <m:ctrlPr>
                        <w:rPr>
                          <w:rFonts w:ascii="Cambria Math" w:hAnsi="Cambria Math"/>
                          <w:lang w:eastAsia="en-GB"/>
                        </w:rPr>
                      </m:ctrlPr>
                    </m:sub>
                  </m:sSub>
                </m:e>
              </m:d>
              <m:r>
                <w:rPr>
                  <w:rFonts w:ascii="Cambria Math"/>
                  <w:lang w:eastAsia="en-GB"/>
                </w:rPr>
                <m:t>×</m:t>
              </m:r>
              <m:sSub>
                <m:sSubPr>
                  <m:ctrlPr>
                    <w:rPr>
                      <w:rFonts w:ascii="Cambria Math" w:hAnsi="Cambria Math"/>
                      <w:i/>
                      <w:lang w:eastAsia="en-GB"/>
                    </w:rPr>
                  </m:ctrlPr>
                </m:sSubPr>
                <m:e>
                  <m:r>
                    <w:rPr>
                      <w:rFonts w:ascii="Cambria Math"/>
                      <w:lang w:eastAsia="en-GB"/>
                    </w:rPr>
                    <m:t>T</m:t>
                  </m:r>
                </m:e>
                <m:sub>
                  <m:r>
                    <w:rPr>
                      <w:rFonts w:ascii="Cambria Math"/>
                      <w:lang w:eastAsia="en-GB"/>
                    </w:rPr>
                    <m:t>c</m:t>
                  </m:r>
                </m:sub>
              </m:sSub>
            </m:oMath>
            <w:r w:rsidRPr="00FC2FA4">
              <w:rPr>
                <w:rFonts w:cs="v4.2.0"/>
                <w:lang w:eastAsia="ja-JP"/>
              </w:rPr>
              <w:t xml:space="preserve"> before </w:t>
            </w:r>
            <w:r w:rsidRPr="00FC2FA4">
              <w:rPr>
                <w:rFonts w:cs="v4.2.0"/>
                <w:lang w:eastAsia="en-GB"/>
              </w:rPr>
              <w:t>the d</w:t>
            </w:r>
            <w:r w:rsidRPr="00FC2FA4">
              <w:rPr>
                <w:rFonts w:cs="v4.2.0"/>
                <w:lang w:eastAsia="ja-JP"/>
              </w:rPr>
              <w:t xml:space="preserve">ownlink timing of the reference cell. </w:t>
            </w:r>
            <w:r w:rsidRPr="00FC2FA4">
              <w:rPr>
                <w:rFonts w:cs="v4.2.0"/>
                <w:lang w:eastAsia="en-GB"/>
              </w:rPr>
              <w:t>All adjustments made to the UE uplink timing shall follow these rules:</w:t>
            </w:r>
          </w:p>
          <w:p w14:paraId="04C113A4" w14:textId="77777777" w:rsidR="005A0C7B" w:rsidRPr="0024131D" w:rsidRDefault="005A0C7B" w:rsidP="005A0C7B">
            <w:pPr>
              <w:pStyle w:val="B1"/>
            </w:pPr>
            <w:r w:rsidRPr="0024131D">
              <w:t>1)</w:t>
            </w:r>
            <w:r w:rsidRPr="0024131D">
              <w:tab/>
              <w:t xml:space="preserve">The maximum amount of the magnitude of the timing change in one adjustment shall be </w:t>
            </w:r>
            <w:r w:rsidRPr="0024131D">
              <w:rPr>
                <w:rFonts w:cs="v4.2.0"/>
              </w:rPr>
              <w:t>T</w:t>
            </w:r>
            <w:r w:rsidRPr="0024131D">
              <w:rPr>
                <w:rFonts w:cs="v4.2.0"/>
                <w:vertAlign w:val="subscript"/>
              </w:rPr>
              <w:t>q</w:t>
            </w:r>
            <w:r w:rsidRPr="0024131D">
              <w:t>.</w:t>
            </w:r>
          </w:p>
          <w:p w14:paraId="7E1B1EC4" w14:textId="77777777" w:rsidR="005A0C7B" w:rsidRPr="0024131D" w:rsidRDefault="005A0C7B" w:rsidP="005A0C7B">
            <w:pPr>
              <w:pStyle w:val="B1"/>
            </w:pPr>
            <w:r w:rsidRPr="0024131D">
              <w:t>2)</w:t>
            </w:r>
            <w:r w:rsidRPr="0024131D">
              <w:tab/>
              <w:t xml:space="preserve">The minimum aggregate adjustment rate shall be </w:t>
            </w:r>
            <w:r w:rsidRPr="0024131D">
              <w:rPr>
                <w:rFonts w:cs="v4.2.0"/>
              </w:rPr>
              <w:t>T</w:t>
            </w:r>
            <w:r w:rsidRPr="0024131D">
              <w:rPr>
                <w:rFonts w:cs="v4.2.0"/>
                <w:vertAlign w:val="subscript"/>
                <w:lang w:eastAsia="zh-CN"/>
              </w:rPr>
              <w:t>p</w:t>
            </w:r>
            <w:r w:rsidRPr="0024131D" w:rsidDel="00053109">
              <w:t xml:space="preserve"> </w:t>
            </w:r>
            <w:r w:rsidRPr="0024131D">
              <w:t>per second.</w:t>
            </w:r>
          </w:p>
          <w:p w14:paraId="71783B23" w14:textId="77777777" w:rsidR="005A0C7B" w:rsidRPr="0024131D" w:rsidRDefault="005A0C7B" w:rsidP="005A0C7B">
            <w:pPr>
              <w:pStyle w:val="B1"/>
              <w:rPr>
                <w:rFonts w:cs="v4.2.0"/>
              </w:rPr>
            </w:pPr>
            <w:r w:rsidRPr="0024131D">
              <w:rPr>
                <w:rFonts w:cs="v4.2.0"/>
              </w:rPr>
              <w:t>3)</w:t>
            </w:r>
            <w:r w:rsidRPr="0024131D">
              <w:rPr>
                <w:rFonts w:cs="v4.2.0"/>
              </w:rPr>
              <w:tab/>
              <w:t>The maximum aggregate adjustment rate shall be T</w:t>
            </w:r>
            <w:r w:rsidRPr="0024131D">
              <w:rPr>
                <w:rFonts w:cs="v4.2.0"/>
                <w:vertAlign w:val="subscript"/>
              </w:rPr>
              <w:t>q</w:t>
            </w:r>
            <w:r w:rsidRPr="0024131D">
              <w:rPr>
                <w:rFonts w:cs="v4.2.0"/>
              </w:rPr>
              <w:t xml:space="preserve"> per 200 ms for SCS of UL signals smaller or equal to 120 kHz and 100 ms for SCS of uplink signals larger or equal to 480 kHz.</w:t>
            </w:r>
          </w:p>
          <w:p w14:paraId="2C81AA52" w14:textId="77777777" w:rsidR="005A0C7B" w:rsidRPr="0024131D" w:rsidRDefault="005A0C7B" w:rsidP="005A0C7B">
            <w:pPr>
              <w:pStyle w:val="B1"/>
            </w:pPr>
            <w:r w:rsidRPr="0024131D">
              <w:tab/>
              <w:t>where the maximum autonomous time adjustment step T</w:t>
            </w:r>
            <w:r w:rsidRPr="0024131D">
              <w:rPr>
                <w:vertAlign w:val="subscript"/>
              </w:rPr>
              <w:t>q</w:t>
            </w:r>
            <w:r w:rsidRPr="0024131D">
              <w:t xml:space="preserve"> and the aggregate adjustment rate T</w:t>
            </w:r>
            <w:r w:rsidRPr="0024131D">
              <w:rPr>
                <w:vertAlign w:val="subscript"/>
              </w:rPr>
              <w:t>p</w:t>
            </w:r>
            <w:r w:rsidRPr="0024131D">
              <w:t xml:space="preserve"> are specified </w:t>
            </w:r>
            <w:r>
              <w:t>in table</w:t>
            </w:r>
            <w:r w:rsidRPr="0024131D">
              <w:t xml:space="preserve"> 7.1.2.1-1.</w:t>
            </w:r>
          </w:p>
          <w:p w14:paraId="056FE854" w14:textId="77777777" w:rsidR="005A0C7B" w:rsidRPr="0024131D" w:rsidRDefault="005A0C7B" w:rsidP="005A0C7B">
            <w:r w:rsidRPr="0024131D">
              <w:lastRenderedPageBreak/>
              <w:t>For multi-DCI based multi-TRP operation with two TAs, gradual timing adjustment specified in this clause applies for each TAG and shall be met for each TAG. The reference point for each TAG for the PUCCH/PUSCH/SRS and PRACH transmission triggered by PDCCH order is defined in clause 7.1.1.</w:t>
            </w:r>
          </w:p>
          <w:p w14:paraId="31309E81" w14:textId="77777777" w:rsidR="005A0C7B" w:rsidRPr="0024131D" w:rsidRDefault="005A0C7B" w:rsidP="005A0C7B">
            <w:pPr>
              <w:pStyle w:val="TH"/>
            </w:pPr>
            <w:r w:rsidRPr="0024131D">
              <w:t>Table 7.1.2.1-1: T</w:t>
            </w:r>
            <w:r w:rsidRPr="0024131D">
              <w:rPr>
                <w:vertAlign w:val="subscript"/>
              </w:rPr>
              <w:t>q</w:t>
            </w:r>
            <w:r w:rsidRPr="0024131D">
              <w:t xml:space="preserve"> Maximum Autonomous Time Adjustment Step and T</w:t>
            </w:r>
            <w:r w:rsidRPr="0024131D">
              <w:rPr>
                <w:vertAlign w:val="subscript"/>
              </w:rPr>
              <w:t>p</w:t>
            </w:r>
            <w:r w:rsidRPr="0024131D">
              <w:t xml:space="preserve"> Minimum Aggregate Adjustment rate</w:t>
            </w:r>
          </w:p>
          <w:tbl>
            <w:tblPr>
              <w:tblW w:w="44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68"/>
              <w:gridCol w:w="2507"/>
              <w:gridCol w:w="1949"/>
              <w:gridCol w:w="1956"/>
            </w:tblGrid>
            <w:tr w:rsidR="005A0C7B" w:rsidRPr="0024131D" w14:paraId="05E34A88" w14:textId="77777777" w:rsidTr="009A480C">
              <w:trPr>
                <w:cantSplit/>
                <w:jc w:val="center"/>
              </w:trPr>
              <w:tc>
                <w:tcPr>
                  <w:tcW w:w="1128" w:type="pct"/>
                  <w:tcBorders>
                    <w:top w:val="single" w:sz="4" w:space="0" w:color="auto"/>
                    <w:left w:val="single" w:sz="4" w:space="0" w:color="auto"/>
                    <w:bottom w:val="single" w:sz="4" w:space="0" w:color="auto"/>
                    <w:right w:val="single" w:sz="4" w:space="0" w:color="auto"/>
                  </w:tcBorders>
                  <w:vAlign w:val="center"/>
                  <w:hideMark/>
                </w:tcPr>
                <w:p w14:paraId="313D9959" w14:textId="77777777" w:rsidR="005A0C7B" w:rsidRPr="0024131D" w:rsidRDefault="005A0C7B" w:rsidP="005A0C7B">
                  <w:pPr>
                    <w:pStyle w:val="TAH"/>
                  </w:pPr>
                  <w:r w:rsidRPr="0024131D">
                    <w:t>Frequency</w:t>
                  </w:r>
                  <w:r>
                    <w:t xml:space="preserve"> </w:t>
                  </w:r>
                  <w:r w:rsidRPr="0024131D">
                    <w:t>Range</w:t>
                  </w:r>
                </w:p>
              </w:tc>
              <w:tc>
                <w:tcPr>
                  <w:tcW w:w="1514" w:type="pct"/>
                  <w:tcBorders>
                    <w:top w:val="single" w:sz="4" w:space="0" w:color="auto"/>
                    <w:left w:val="single" w:sz="4" w:space="0" w:color="auto"/>
                    <w:bottom w:val="single" w:sz="4" w:space="0" w:color="auto"/>
                    <w:right w:val="single" w:sz="4" w:space="0" w:color="auto"/>
                  </w:tcBorders>
                  <w:hideMark/>
                </w:tcPr>
                <w:p w14:paraId="2330C70C" w14:textId="77777777" w:rsidR="005A0C7B" w:rsidRPr="0024131D" w:rsidRDefault="005A0C7B" w:rsidP="005A0C7B">
                  <w:pPr>
                    <w:pStyle w:val="TAH"/>
                  </w:pPr>
                  <w:r w:rsidRPr="0024131D">
                    <w:t>SCS</w:t>
                  </w:r>
                  <w:r>
                    <w:t xml:space="preserve"> </w:t>
                  </w:r>
                  <w:r w:rsidRPr="0024131D">
                    <w:t>of</w:t>
                  </w:r>
                  <w:r>
                    <w:t xml:space="preserve"> </w:t>
                  </w:r>
                  <w:r w:rsidRPr="0024131D">
                    <w:t>uplink</w:t>
                  </w:r>
                  <w:r>
                    <w:t xml:space="preserve"> </w:t>
                  </w:r>
                  <w:r w:rsidRPr="0024131D">
                    <w:t>signals</w:t>
                  </w:r>
                  <w:r>
                    <w:t xml:space="preserve"> </w:t>
                  </w:r>
                  <w:r w:rsidRPr="0024131D">
                    <w:t>(kHz)</w:t>
                  </w:r>
                </w:p>
              </w:tc>
              <w:tc>
                <w:tcPr>
                  <w:tcW w:w="1177" w:type="pct"/>
                  <w:tcBorders>
                    <w:top w:val="single" w:sz="4" w:space="0" w:color="auto"/>
                    <w:left w:val="single" w:sz="4" w:space="0" w:color="auto"/>
                    <w:bottom w:val="single" w:sz="4" w:space="0" w:color="auto"/>
                    <w:right w:val="single" w:sz="4" w:space="0" w:color="auto"/>
                  </w:tcBorders>
                  <w:vAlign w:val="center"/>
                  <w:hideMark/>
                </w:tcPr>
                <w:p w14:paraId="2150D76D" w14:textId="77777777" w:rsidR="005A0C7B" w:rsidRPr="0024131D" w:rsidRDefault="005A0C7B" w:rsidP="005A0C7B">
                  <w:pPr>
                    <w:pStyle w:val="TAH"/>
                  </w:pPr>
                  <w:r w:rsidRPr="0024131D">
                    <w:t>T</w:t>
                  </w:r>
                  <w:r w:rsidRPr="0024131D">
                    <w:rPr>
                      <w:vertAlign w:val="subscript"/>
                    </w:rPr>
                    <w:t>q</w:t>
                  </w:r>
                </w:p>
              </w:tc>
              <w:tc>
                <w:tcPr>
                  <w:tcW w:w="1178" w:type="pct"/>
                  <w:tcBorders>
                    <w:top w:val="single" w:sz="4" w:space="0" w:color="auto"/>
                    <w:left w:val="single" w:sz="4" w:space="0" w:color="auto"/>
                    <w:bottom w:val="single" w:sz="4" w:space="0" w:color="auto"/>
                    <w:right w:val="single" w:sz="4" w:space="0" w:color="auto"/>
                  </w:tcBorders>
                  <w:vAlign w:val="center"/>
                  <w:hideMark/>
                </w:tcPr>
                <w:p w14:paraId="35652FB0" w14:textId="77777777" w:rsidR="005A0C7B" w:rsidRPr="0024131D" w:rsidRDefault="005A0C7B" w:rsidP="005A0C7B">
                  <w:pPr>
                    <w:pStyle w:val="TAH"/>
                  </w:pPr>
                  <w:r w:rsidRPr="0024131D">
                    <w:t>T</w:t>
                  </w:r>
                  <w:r w:rsidRPr="0024131D">
                    <w:rPr>
                      <w:vertAlign w:val="subscript"/>
                    </w:rPr>
                    <w:t>p</w:t>
                  </w:r>
                  <w:r>
                    <w:t xml:space="preserve"> </w:t>
                  </w:r>
                </w:p>
              </w:tc>
            </w:tr>
            <w:tr w:rsidR="005A0C7B" w:rsidRPr="0024131D" w14:paraId="65B8BFEE" w14:textId="77777777" w:rsidTr="009A480C">
              <w:trPr>
                <w:cantSplit/>
                <w:jc w:val="center"/>
              </w:trPr>
              <w:tc>
                <w:tcPr>
                  <w:tcW w:w="1128" w:type="pct"/>
                  <w:tcBorders>
                    <w:top w:val="single" w:sz="4" w:space="0" w:color="auto"/>
                    <w:left w:val="single" w:sz="4" w:space="0" w:color="auto"/>
                    <w:bottom w:val="nil"/>
                    <w:right w:val="single" w:sz="4" w:space="0" w:color="auto"/>
                  </w:tcBorders>
                  <w:vAlign w:val="center"/>
                  <w:hideMark/>
                </w:tcPr>
                <w:p w14:paraId="7BAF03D7" w14:textId="77777777" w:rsidR="005A0C7B" w:rsidRPr="0024131D" w:rsidRDefault="005A0C7B" w:rsidP="005A0C7B">
                  <w:pPr>
                    <w:pStyle w:val="TAC"/>
                  </w:pPr>
                  <w:r w:rsidRPr="0024131D">
                    <w:t>1</w:t>
                  </w:r>
                </w:p>
              </w:tc>
              <w:tc>
                <w:tcPr>
                  <w:tcW w:w="1514" w:type="pct"/>
                  <w:tcBorders>
                    <w:top w:val="single" w:sz="4" w:space="0" w:color="auto"/>
                    <w:left w:val="single" w:sz="4" w:space="0" w:color="auto"/>
                    <w:bottom w:val="single" w:sz="4" w:space="0" w:color="auto"/>
                    <w:right w:val="single" w:sz="4" w:space="0" w:color="auto"/>
                  </w:tcBorders>
                  <w:hideMark/>
                </w:tcPr>
                <w:p w14:paraId="04335767" w14:textId="77777777" w:rsidR="005A0C7B" w:rsidRPr="0024131D" w:rsidRDefault="005A0C7B" w:rsidP="005A0C7B">
                  <w:pPr>
                    <w:pStyle w:val="TAC"/>
                  </w:pPr>
                  <w:r w:rsidRPr="0024131D">
                    <w:t>15</w:t>
                  </w:r>
                </w:p>
              </w:tc>
              <w:tc>
                <w:tcPr>
                  <w:tcW w:w="1177" w:type="pct"/>
                  <w:tcBorders>
                    <w:top w:val="single" w:sz="4" w:space="0" w:color="auto"/>
                    <w:left w:val="single" w:sz="4" w:space="0" w:color="auto"/>
                    <w:bottom w:val="single" w:sz="4" w:space="0" w:color="auto"/>
                    <w:right w:val="single" w:sz="4" w:space="0" w:color="auto"/>
                  </w:tcBorders>
                  <w:hideMark/>
                </w:tcPr>
                <w:p w14:paraId="40ACCD7B" w14:textId="77777777" w:rsidR="005A0C7B" w:rsidRPr="0024131D" w:rsidRDefault="005A0C7B" w:rsidP="005A0C7B">
                  <w:pPr>
                    <w:pStyle w:val="TAC"/>
                  </w:pPr>
                  <w:r w:rsidRPr="0024131D">
                    <w:t>5.5*64*T</w:t>
                  </w:r>
                  <w:r w:rsidRPr="0024131D">
                    <w:rPr>
                      <w:vertAlign w:val="subscript"/>
                    </w:rPr>
                    <w:t>c</w:t>
                  </w:r>
                </w:p>
              </w:tc>
              <w:tc>
                <w:tcPr>
                  <w:tcW w:w="1178" w:type="pct"/>
                  <w:tcBorders>
                    <w:top w:val="single" w:sz="4" w:space="0" w:color="auto"/>
                    <w:left w:val="single" w:sz="4" w:space="0" w:color="auto"/>
                    <w:bottom w:val="single" w:sz="4" w:space="0" w:color="auto"/>
                    <w:right w:val="single" w:sz="4" w:space="0" w:color="auto"/>
                  </w:tcBorders>
                  <w:hideMark/>
                </w:tcPr>
                <w:p w14:paraId="4053B0F7" w14:textId="77777777" w:rsidR="005A0C7B" w:rsidRPr="0024131D" w:rsidRDefault="005A0C7B" w:rsidP="005A0C7B">
                  <w:pPr>
                    <w:pStyle w:val="TAC"/>
                  </w:pPr>
                  <w:r w:rsidRPr="0024131D">
                    <w:t>5.5*64*T</w:t>
                  </w:r>
                  <w:r w:rsidRPr="0024131D">
                    <w:rPr>
                      <w:vertAlign w:val="subscript"/>
                    </w:rPr>
                    <w:t>c</w:t>
                  </w:r>
                </w:p>
              </w:tc>
            </w:tr>
            <w:tr w:rsidR="005A0C7B" w:rsidRPr="0024131D" w14:paraId="013B35F6" w14:textId="77777777" w:rsidTr="009A480C">
              <w:trPr>
                <w:cantSplit/>
                <w:jc w:val="center"/>
              </w:trPr>
              <w:tc>
                <w:tcPr>
                  <w:tcW w:w="1128" w:type="pct"/>
                  <w:tcBorders>
                    <w:top w:val="nil"/>
                    <w:left w:val="single" w:sz="4" w:space="0" w:color="auto"/>
                    <w:bottom w:val="nil"/>
                    <w:right w:val="single" w:sz="4" w:space="0" w:color="auto"/>
                  </w:tcBorders>
                  <w:vAlign w:val="center"/>
                </w:tcPr>
                <w:p w14:paraId="7BA8033F" w14:textId="77777777" w:rsidR="005A0C7B" w:rsidRPr="0024131D" w:rsidRDefault="005A0C7B" w:rsidP="005A0C7B">
                  <w:pPr>
                    <w:pStyle w:val="TAC"/>
                  </w:pPr>
                </w:p>
              </w:tc>
              <w:tc>
                <w:tcPr>
                  <w:tcW w:w="1514" w:type="pct"/>
                  <w:tcBorders>
                    <w:top w:val="single" w:sz="4" w:space="0" w:color="auto"/>
                    <w:left w:val="single" w:sz="4" w:space="0" w:color="auto"/>
                    <w:bottom w:val="single" w:sz="4" w:space="0" w:color="auto"/>
                    <w:right w:val="single" w:sz="4" w:space="0" w:color="auto"/>
                  </w:tcBorders>
                  <w:hideMark/>
                </w:tcPr>
                <w:p w14:paraId="77917667" w14:textId="77777777" w:rsidR="005A0C7B" w:rsidRPr="0024131D" w:rsidRDefault="005A0C7B" w:rsidP="005A0C7B">
                  <w:pPr>
                    <w:pStyle w:val="TAC"/>
                  </w:pPr>
                  <w:r w:rsidRPr="0024131D">
                    <w:t>30</w:t>
                  </w:r>
                </w:p>
              </w:tc>
              <w:tc>
                <w:tcPr>
                  <w:tcW w:w="1177" w:type="pct"/>
                  <w:tcBorders>
                    <w:top w:val="single" w:sz="4" w:space="0" w:color="auto"/>
                    <w:left w:val="single" w:sz="4" w:space="0" w:color="auto"/>
                    <w:bottom w:val="single" w:sz="4" w:space="0" w:color="auto"/>
                    <w:right w:val="single" w:sz="4" w:space="0" w:color="auto"/>
                  </w:tcBorders>
                  <w:hideMark/>
                </w:tcPr>
                <w:p w14:paraId="22784AA0" w14:textId="77777777" w:rsidR="005A0C7B" w:rsidRPr="0024131D" w:rsidRDefault="005A0C7B" w:rsidP="005A0C7B">
                  <w:pPr>
                    <w:pStyle w:val="TAC"/>
                  </w:pPr>
                  <w:r w:rsidRPr="0024131D">
                    <w:t>5.5*64*T</w:t>
                  </w:r>
                  <w:r w:rsidRPr="0024131D">
                    <w:rPr>
                      <w:vertAlign w:val="subscript"/>
                    </w:rPr>
                    <w:t>c</w:t>
                  </w:r>
                </w:p>
              </w:tc>
              <w:tc>
                <w:tcPr>
                  <w:tcW w:w="1178" w:type="pct"/>
                  <w:tcBorders>
                    <w:top w:val="single" w:sz="4" w:space="0" w:color="auto"/>
                    <w:left w:val="single" w:sz="4" w:space="0" w:color="auto"/>
                    <w:bottom w:val="single" w:sz="4" w:space="0" w:color="auto"/>
                    <w:right w:val="single" w:sz="4" w:space="0" w:color="auto"/>
                  </w:tcBorders>
                  <w:hideMark/>
                </w:tcPr>
                <w:p w14:paraId="7BD3A3AE" w14:textId="77777777" w:rsidR="005A0C7B" w:rsidRPr="0024131D" w:rsidRDefault="005A0C7B" w:rsidP="005A0C7B">
                  <w:pPr>
                    <w:pStyle w:val="TAC"/>
                  </w:pPr>
                  <w:r w:rsidRPr="0024131D">
                    <w:t>5.5*64*T</w:t>
                  </w:r>
                  <w:r w:rsidRPr="0024131D">
                    <w:rPr>
                      <w:vertAlign w:val="subscript"/>
                    </w:rPr>
                    <w:t>c</w:t>
                  </w:r>
                </w:p>
              </w:tc>
            </w:tr>
            <w:tr w:rsidR="005A0C7B" w:rsidRPr="0024131D" w14:paraId="4A3B4FB0" w14:textId="77777777" w:rsidTr="009A480C">
              <w:trPr>
                <w:cantSplit/>
                <w:jc w:val="center"/>
              </w:trPr>
              <w:tc>
                <w:tcPr>
                  <w:tcW w:w="1128" w:type="pct"/>
                  <w:tcBorders>
                    <w:top w:val="nil"/>
                    <w:left w:val="single" w:sz="4" w:space="0" w:color="auto"/>
                    <w:bottom w:val="single" w:sz="4" w:space="0" w:color="auto"/>
                    <w:right w:val="single" w:sz="4" w:space="0" w:color="auto"/>
                  </w:tcBorders>
                  <w:vAlign w:val="center"/>
                </w:tcPr>
                <w:p w14:paraId="5791D9A2" w14:textId="77777777" w:rsidR="005A0C7B" w:rsidRPr="0024131D" w:rsidRDefault="005A0C7B" w:rsidP="005A0C7B">
                  <w:pPr>
                    <w:pStyle w:val="TAC"/>
                  </w:pPr>
                </w:p>
              </w:tc>
              <w:tc>
                <w:tcPr>
                  <w:tcW w:w="1514" w:type="pct"/>
                  <w:tcBorders>
                    <w:top w:val="single" w:sz="4" w:space="0" w:color="auto"/>
                    <w:left w:val="single" w:sz="4" w:space="0" w:color="auto"/>
                    <w:bottom w:val="single" w:sz="4" w:space="0" w:color="auto"/>
                    <w:right w:val="single" w:sz="4" w:space="0" w:color="auto"/>
                  </w:tcBorders>
                  <w:hideMark/>
                </w:tcPr>
                <w:p w14:paraId="11570FB2" w14:textId="77777777" w:rsidR="005A0C7B" w:rsidRPr="0024131D" w:rsidRDefault="005A0C7B" w:rsidP="005A0C7B">
                  <w:pPr>
                    <w:pStyle w:val="TAC"/>
                  </w:pPr>
                  <w:r w:rsidRPr="0024131D">
                    <w:t>60</w:t>
                  </w:r>
                </w:p>
              </w:tc>
              <w:tc>
                <w:tcPr>
                  <w:tcW w:w="1177" w:type="pct"/>
                  <w:tcBorders>
                    <w:top w:val="single" w:sz="4" w:space="0" w:color="auto"/>
                    <w:left w:val="single" w:sz="4" w:space="0" w:color="auto"/>
                    <w:bottom w:val="single" w:sz="4" w:space="0" w:color="auto"/>
                    <w:right w:val="single" w:sz="4" w:space="0" w:color="auto"/>
                  </w:tcBorders>
                  <w:hideMark/>
                </w:tcPr>
                <w:p w14:paraId="5401D78F" w14:textId="77777777" w:rsidR="005A0C7B" w:rsidRPr="0024131D" w:rsidRDefault="005A0C7B" w:rsidP="005A0C7B">
                  <w:pPr>
                    <w:pStyle w:val="TAC"/>
                  </w:pPr>
                  <w:r w:rsidRPr="0024131D">
                    <w:t>5.5*64*T</w:t>
                  </w:r>
                  <w:r w:rsidRPr="0024131D">
                    <w:rPr>
                      <w:vertAlign w:val="subscript"/>
                    </w:rPr>
                    <w:t>c</w:t>
                  </w:r>
                </w:p>
              </w:tc>
              <w:tc>
                <w:tcPr>
                  <w:tcW w:w="1178" w:type="pct"/>
                  <w:tcBorders>
                    <w:top w:val="single" w:sz="4" w:space="0" w:color="auto"/>
                    <w:left w:val="single" w:sz="4" w:space="0" w:color="auto"/>
                    <w:bottom w:val="single" w:sz="4" w:space="0" w:color="auto"/>
                    <w:right w:val="single" w:sz="4" w:space="0" w:color="auto"/>
                  </w:tcBorders>
                  <w:hideMark/>
                </w:tcPr>
                <w:p w14:paraId="65B7761E" w14:textId="77777777" w:rsidR="005A0C7B" w:rsidRPr="0024131D" w:rsidRDefault="005A0C7B" w:rsidP="005A0C7B">
                  <w:pPr>
                    <w:pStyle w:val="TAC"/>
                  </w:pPr>
                  <w:r w:rsidRPr="0024131D">
                    <w:t>5.5*64*T</w:t>
                  </w:r>
                  <w:r w:rsidRPr="0024131D">
                    <w:rPr>
                      <w:vertAlign w:val="subscript"/>
                    </w:rPr>
                    <w:t>c</w:t>
                  </w:r>
                </w:p>
              </w:tc>
            </w:tr>
            <w:tr w:rsidR="005A0C7B" w:rsidRPr="0024131D" w14:paraId="70DB75D2" w14:textId="77777777" w:rsidTr="009A480C">
              <w:trPr>
                <w:cantSplit/>
                <w:jc w:val="center"/>
              </w:trPr>
              <w:tc>
                <w:tcPr>
                  <w:tcW w:w="1128" w:type="pct"/>
                  <w:tcBorders>
                    <w:top w:val="single" w:sz="4" w:space="0" w:color="auto"/>
                    <w:left w:val="single" w:sz="4" w:space="0" w:color="auto"/>
                    <w:bottom w:val="nil"/>
                    <w:right w:val="single" w:sz="4" w:space="0" w:color="auto"/>
                  </w:tcBorders>
                  <w:vAlign w:val="center"/>
                  <w:hideMark/>
                </w:tcPr>
                <w:p w14:paraId="606CF744" w14:textId="77777777" w:rsidR="005A0C7B" w:rsidRPr="0024131D" w:rsidRDefault="005A0C7B" w:rsidP="005A0C7B">
                  <w:pPr>
                    <w:pStyle w:val="TAC"/>
                  </w:pPr>
                  <w:r w:rsidRPr="0024131D">
                    <w:t>2-1</w:t>
                  </w:r>
                </w:p>
              </w:tc>
              <w:tc>
                <w:tcPr>
                  <w:tcW w:w="1514" w:type="pct"/>
                  <w:tcBorders>
                    <w:top w:val="single" w:sz="4" w:space="0" w:color="auto"/>
                    <w:left w:val="single" w:sz="4" w:space="0" w:color="auto"/>
                    <w:bottom w:val="single" w:sz="4" w:space="0" w:color="auto"/>
                    <w:right w:val="single" w:sz="4" w:space="0" w:color="auto"/>
                  </w:tcBorders>
                  <w:hideMark/>
                </w:tcPr>
                <w:p w14:paraId="4F56CDDC" w14:textId="77777777" w:rsidR="005A0C7B" w:rsidRPr="0024131D" w:rsidRDefault="005A0C7B" w:rsidP="005A0C7B">
                  <w:pPr>
                    <w:pStyle w:val="TAC"/>
                  </w:pPr>
                  <w:r w:rsidRPr="0024131D">
                    <w:t>60</w:t>
                  </w:r>
                </w:p>
              </w:tc>
              <w:tc>
                <w:tcPr>
                  <w:tcW w:w="1177" w:type="pct"/>
                  <w:tcBorders>
                    <w:top w:val="single" w:sz="4" w:space="0" w:color="auto"/>
                    <w:left w:val="single" w:sz="4" w:space="0" w:color="auto"/>
                    <w:bottom w:val="single" w:sz="4" w:space="0" w:color="auto"/>
                    <w:right w:val="single" w:sz="4" w:space="0" w:color="auto"/>
                  </w:tcBorders>
                  <w:hideMark/>
                </w:tcPr>
                <w:p w14:paraId="502448D0" w14:textId="77777777" w:rsidR="005A0C7B" w:rsidRPr="0024131D" w:rsidRDefault="005A0C7B" w:rsidP="005A0C7B">
                  <w:pPr>
                    <w:pStyle w:val="TAC"/>
                  </w:pPr>
                  <w:r w:rsidRPr="0024131D">
                    <w:t>K*64*T</w:t>
                  </w:r>
                  <w:r w:rsidRPr="0024131D">
                    <w:rPr>
                      <w:vertAlign w:val="subscript"/>
                    </w:rPr>
                    <w:t>c</w:t>
                  </w:r>
                </w:p>
              </w:tc>
              <w:tc>
                <w:tcPr>
                  <w:tcW w:w="1178" w:type="pct"/>
                  <w:tcBorders>
                    <w:top w:val="single" w:sz="4" w:space="0" w:color="auto"/>
                    <w:left w:val="single" w:sz="4" w:space="0" w:color="auto"/>
                    <w:bottom w:val="single" w:sz="4" w:space="0" w:color="auto"/>
                    <w:right w:val="single" w:sz="4" w:space="0" w:color="auto"/>
                  </w:tcBorders>
                  <w:hideMark/>
                </w:tcPr>
                <w:p w14:paraId="1B0A2FE0" w14:textId="77777777" w:rsidR="005A0C7B" w:rsidRPr="0024131D" w:rsidRDefault="005A0C7B" w:rsidP="005A0C7B">
                  <w:pPr>
                    <w:pStyle w:val="TAC"/>
                  </w:pPr>
                  <w:r w:rsidRPr="0024131D">
                    <w:t>2.5*64*T</w:t>
                  </w:r>
                  <w:r w:rsidRPr="0024131D">
                    <w:rPr>
                      <w:vertAlign w:val="subscript"/>
                    </w:rPr>
                    <w:t>c</w:t>
                  </w:r>
                </w:p>
              </w:tc>
            </w:tr>
            <w:tr w:rsidR="005A0C7B" w:rsidRPr="0024131D" w14:paraId="23834C8D" w14:textId="77777777" w:rsidTr="009A480C">
              <w:trPr>
                <w:cantSplit/>
                <w:jc w:val="center"/>
              </w:trPr>
              <w:tc>
                <w:tcPr>
                  <w:tcW w:w="1128" w:type="pct"/>
                  <w:tcBorders>
                    <w:top w:val="nil"/>
                    <w:left w:val="single" w:sz="4" w:space="0" w:color="auto"/>
                    <w:bottom w:val="single" w:sz="4" w:space="0" w:color="auto"/>
                    <w:right w:val="single" w:sz="4" w:space="0" w:color="auto"/>
                  </w:tcBorders>
                </w:tcPr>
                <w:p w14:paraId="2E43E423" w14:textId="77777777" w:rsidR="005A0C7B" w:rsidRPr="0024131D" w:rsidRDefault="005A0C7B" w:rsidP="005A0C7B">
                  <w:pPr>
                    <w:pStyle w:val="TAC"/>
                  </w:pPr>
                </w:p>
              </w:tc>
              <w:tc>
                <w:tcPr>
                  <w:tcW w:w="1514" w:type="pct"/>
                  <w:tcBorders>
                    <w:top w:val="single" w:sz="4" w:space="0" w:color="auto"/>
                    <w:left w:val="single" w:sz="4" w:space="0" w:color="auto"/>
                    <w:bottom w:val="single" w:sz="4" w:space="0" w:color="auto"/>
                    <w:right w:val="single" w:sz="4" w:space="0" w:color="auto"/>
                  </w:tcBorders>
                  <w:hideMark/>
                </w:tcPr>
                <w:p w14:paraId="7D93ED73" w14:textId="77777777" w:rsidR="005A0C7B" w:rsidRPr="0024131D" w:rsidRDefault="005A0C7B" w:rsidP="005A0C7B">
                  <w:pPr>
                    <w:pStyle w:val="TAC"/>
                  </w:pPr>
                  <w:r w:rsidRPr="0024131D">
                    <w:t>120</w:t>
                  </w:r>
                </w:p>
              </w:tc>
              <w:tc>
                <w:tcPr>
                  <w:tcW w:w="1177" w:type="pct"/>
                  <w:tcBorders>
                    <w:top w:val="single" w:sz="4" w:space="0" w:color="auto"/>
                    <w:left w:val="single" w:sz="4" w:space="0" w:color="auto"/>
                    <w:bottom w:val="single" w:sz="4" w:space="0" w:color="auto"/>
                    <w:right w:val="single" w:sz="4" w:space="0" w:color="auto"/>
                  </w:tcBorders>
                  <w:hideMark/>
                </w:tcPr>
                <w:p w14:paraId="2F0953B5" w14:textId="77777777" w:rsidR="005A0C7B" w:rsidRPr="0024131D" w:rsidRDefault="005A0C7B" w:rsidP="005A0C7B">
                  <w:pPr>
                    <w:pStyle w:val="TAC"/>
                  </w:pPr>
                  <w:r w:rsidRPr="0024131D">
                    <w:t>K*64*T</w:t>
                  </w:r>
                  <w:r w:rsidRPr="0024131D">
                    <w:rPr>
                      <w:vertAlign w:val="subscript"/>
                    </w:rPr>
                    <w:t>c</w:t>
                  </w:r>
                </w:p>
              </w:tc>
              <w:tc>
                <w:tcPr>
                  <w:tcW w:w="1178" w:type="pct"/>
                  <w:tcBorders>
                    <w:top w:val="single" w:sz="4" w:space="0" w:color="auto"/>
                    <w:left w:val="single" w:sz="4" w:space="0" w:color="auto"/>
                    <w:bottom w:val="single" w:sz="4" w:space="0" w:color="auto"/>
                    <w:right w:val="single" w:sz="4" w:space="0" w:color="auto"/>
                  </w:tcBorders>
                  <w:hideMark/>
                </w:tcPr>
                <w:p w14:paraId="13DD1535" w14:textId="77777777" w:rsidR="005A0C7B" w:rsidRPr="0024131D" w:rsidRDefault="005A0C7B" w:rsidP="005A0C7B">
                  <w:pPr>
                    <w:pStyle w:val="TAC"/>
                  </w:pPr>
                  <w:r w:rsidRPr="0024131D">
                    <w:t>2.5*64*T</w:t>
                  </w:r>
                  <w:r w:rsidRPr="0024131D">
                    <w:rPr>
                      <w:vertAlign w:val="subscript"/>
                    </w:rPr>
                    <w:t>c</w:t>
                  </w:r>
                </w:p>
              </w:tc>
            </w:tr>
            <w:tr w:rsidR="005A0C7B" w:rsidRPr="0024131D" w14:paraId="418CB6B1" w14:textId="77777777" w:rsidTr="009A480C">
              <w:trPr>
                <w:cantSplit/>
                <w:jc w:val="center"/>
              </w:trPr>
              <w:tc>
                <w:tcPr>
                  <w:tcW w:w="1128" w:type="pct"/>
                  <w:tcBorders>
                    <w:top w:val="single" w:sz="4" w:space="0" w:color="auto"/>
                    <w:left w:val="single" w:sz="4" w:space="0" w:color="auto"/>
                    <w:bottom w:val="nil"/>
                    <w:right w:val="single" w:sz="4" w:space="0" w:color="auto"/>
                  </w:tcBorders>
                  <w:hideMark/>
                </w:tcPr>
                <w:p w14:paraId="7F1C7CD5" w14:textId="77777777" w:rsidR="005A0C7B" w:rsidRPr="0024131D" w:rsidRDefault="005A0C7B" w:rsidP="005A0C7B">
                  <w:pPr>
                    <w:pStyle w:val="TAC"/>
                  </w:pPr>
                  <w:r w:rsidRPr="0024131D">
                    <w:t>2-2</w:t>
                  </w:r>
                </w:p>
              </w:tc>
              <w:tc>
                <w:tcPr>
                  <w:tcW w:w="1514" w:type="pct"/>
                  <w:tcBorders>
                    <w:top w:val="single" w:sz="4" w:space="0" w:color="auto"/>
                    <w:left w:val="single" w:sz="4" w:space="0" w:color="auto"/>
                    <w:bottom w:val="single" w:sz="4" w:space="0" w:color="auto"/>
                    <w:right w:val="single" w:sz="4" w:space="0" w:color="auto"/>
                  </w:tcBorders>
                  <w:hideMark/>
                </w:tcPr>
                <w:p w14:paraId="02EDFFC1" w14:textId="77777777" w:rsidR="005A0C7B" w:rsidRPr="0024131D" w:rsidRDefault="005A0C7B" w:rsidP="005A0C7B">
                  <w:pPr>
                    <w:pStyle w:val="TAC"/>
                  </w:pPr>
                  <w:r w:rsidRPr="0024131D">
                    <w:t>120</w:t>
                  </w:r>
                </w:p>
              </w:tc>
              <w:tc>
                <w:tcPr>
                  <w:tcW w:w="1177" w:type="pct"/>
                  <w:tcBorders>
                    <w:top w:val="single" w:sz="4" w:space="0" w:color="auto"/>
                    <w:left w:val="single" w:sz="4" w:space="0" w:color="auto"/>
                    <w:bottom w:val="single" w:sz="4" w:space="0" w:color="auto"/>
                    <w:right w:val="single" w:sz="4" w:space="0" w:color="auto"/>
                  </w:tcBorders>
                  <w:hideMark/>
                </w:tcPr>
                <w:p w14:paraId="7F7932B3" w14:textId="77777777" w:rsidR="005A0C7B" w:rsidRPr="0024131D" w:rsidRDefault="005A0C7B" w:rsidP="005A0C7B">
                  <w:pPr>
                    <w:pStyle w:val="TAC"/>
                  </w:pPr>
                  <w:r w:rsidRPr="0024131D">
                    <w:t>2.5*64*T</w:t>
                  </w:r>
                  <w:r w:rsidRPr="0024131D">
                    <w:rPr>
                      <w:vertAlign w:val="subscript"/>
                    </w:rPr>
                    <w:t>c</w:t>
                  </w:r>
                </w:p>
              </w:tc>
              <w:tc>
                <w:tcPr>
                  <w:tcW w:w="1178" w:type="pct"/>
                  <w:tcBorders>
                    <w:top w:val="single" w:sz="4" w:space="0" w:color="auto"/>
                    <w:left w:val="single" w:sz="4" w:space="0" w:color="auto"/>
                    <w:bottom w:val="single" w:sz="4" w:space="0" w:color="auto"/>
                    <w:right w:val="single" w:sz="4" w:space="0" w:color="auto"/>
                  </w:tcBorders>
                  <w:hideMark/>
                </w:tcPr>
                <w:p w14:paraId="679B07F2" w14:textId="77777777" w:rsidR="005A0C7B" w:rsidRPr="0024131D" w:rsidRDefault="005A0C7B" w:rsidP="005A0C7B">
                  <w:pPr>
                    <w:pStyle w:val="TAC"/>
                  </w:pPr>
                  <w:r w:rsidRPr="0024131D">
                    <w:t>2.5*64*T</w:t>
                  </w:r>
                  <w:r w:rsidRPr="0024131D">
                    <w:rPr>
                      <w:vertAlign w:val="subscript"/>
                    </w:rPr>
                    <w:t>c</w:t>
                  </w:r>
                </w:p>
              </w:tc>
            </w:tr>
            <w:tr w:rsidR="005A0C7B" w:rsidRPr="0024131D" w14:paraId="27024806" w14:textId="77777777" w:rsidTr="009A480C">
              <w:trPr>
                <w:cantSplit/>
                <w:jc w:val="center"/>
              </w:trPr>
              <w:tc>
                <w:tcPr>
                  <w:tcW w:w="1128" w:type="pct"/>
                  <w:tcBorders>
                    <w:top w:val="nil"/>
                    <w:left w:val="single" w:sz="4" w:space="0" w:color="auto"/>
                    <w:bottom w:val="nil"/>
                    <w:right w:val="single" w:sz="4" w:space="0" w:color="auto"/>
                  </w:tcBorders>
                </w:tcPr>
                <w:p w14:paraId="4E496DBB" w14:textId="77777777" w:rsidR="005A0C7B" w:rsidRPr="0024131D" w:rsidRDefault="005A0C7B" w:rsidP="005A0C7B">
                  <w:pPr>
                    <w:pStyle w:val="TAC"/>
                  </w:pPr>
                </w:p>
              </w:tc>
              <w:tc>
                <w:tcPr>
                  <w:tcW w:w="1514" w:type="pct"/>
                  <w:tcBorders>
                    <w:top w:val="single" w:sz="4" w:space="0" w:color="auto"/>
                    <w:left w:val="single" w:sz="4" w:space="0" w:color="auto"/>
                    <w:bottom w:val="single" w:sz="4" w:space="0" w:color="auto"/>
                    <w:right w:val="single" w:sz="4" w:space="0" w:color="auto"/>
                  </w:tcBorders>
                  <w:hideMark/>
                </w:tcPr>
                <w:p w14:paraId="72037912" w14:textId="77777777" w:rsidR="005A0C7B" w:rsidRPr="0024131D" w:rsidRDefault="005A0C7B" w:rsidP="005A0C7B">
                  <w:pPr>
                    <w:pStyle w:val="TAC"/>
                  </w:pPr>
                  <w:r w:rsidRPr="0024131D">
                    <w:t>480</w:t>
                  </w:r>
                </w:p>
              </w:tc>
              <w:tc>
                <w:tcPr>
                  <w:tcW w:w="1177" w:type="pct"/>
                  <w:tcBorders>
                    <w:top w:val="single" w:sz="4" w:space="0" w:color="auto"/>
                    <w:left w:val="single" w:sz="4" w:space="0" w:color="auto"/>
                    <w:bottom w:val="single" w:sz="4" w:space="0" w:color="auto"/>
                    <w:right w:val="single" w:sz="4" w:space="0" w:color="auto"/>
                  </w:tcBorders>
                  <w:hideMark/>
                </w:tcPr>
                <w:p w14:paraId="0A489516" w14:textId="77777777" w:rsidR="005A0C7B" w:rsidRPr="0024131D" w:rsidRDefault="005A0C7B" w:rsidP="005A0C7B">
                  <w:pPr>
                    <w:pStyle w:val="TAC"/>
                  </w:pPr>
                  <w:r w:rsidRPr="0024131D">
                    <w:t>0.8*64*T</w:t>
                  </w:r>
                  <w:r w:rsidRPr="0024131D">
                    <w:rPr>
                      <w:vertAlign w:val="subscript"/>
                    </w:rPr>
                    <w:t>c</w:t>
                  </w:r>
                </w:p>
              </w:tc>
              <w:tc>
                <w:tcPr>
                  <w:tcW w:w="1178" w:type="pct"/>
                  <w:tcBorders>
                    <w:top w:val="single" w:sz="4" w:space="0" w:color="auto"/>
                    <w:left w:val="single" w:sz="4" w:space="0" w:color="auto"/>
                    <w:bottom w:val="single" w:sz="4" w:space="0" w:color="auto"/>
                    <w:right w:val="single" w:sz="4" w:space="0" w:color="auto"/>
                  </w:tcBorders>
                  <w:hideMark/>
                </w:tcPr>
                <w:p w14:paraId="1D8C360D" w14:textId="77777777" w:rsidR="005A0C7B" w:rsidRPr="0024131D" w:rsidRDefault="005A0C7B" w:rsidP="005A0C7B">
                  <w:pPr>
                    <w:pStyle w:val="TAC"/>
                  </w:pPr>
                  <w:r w:rsidRPr="0024131D">
                    <w:t>0.8*64*T</w:t>
                  </w:r>
                  <w:r w:rsidRPr="0024131D">
                    <w:rPr>
                      <w:vertAlign w:val="subscript"/>
                    </w:rPr>
                    <w:t>c</w:t>
                  </w:r>
                </w:p>
              </w:tc>
            </w:tr>
            <w:tr w:rsidR="005A0C7B" w:rsidRPr="0024131D" w14:paraId="5E96C051" w14:textId="77777777" w:rsidTr="009A480C">
              <w:trPr>
                <w:cantSplit/>
                <w:jc w:val="center"/>
              </w:trPr>
              <w:tc>
                <w:tcPr>
                  <w:tcW w:w="1128" w:type="pct"/>
                  <w:tcBorders>
                    <w:top w:val="nil"/>
                    <w:left w:val="single" w:sz="4" w:space="0" w:color="auto"/>
                    <w:bottom w:val="single" w:sz="4" w:space="0" w:color="auto"/>
                    <w:right w:val="single" w:sz="4" w:space="0" w:color="auto"/>
                  </w:tcBorders>
                </w:tcPr>
                <w:p w14:paraId="1D91C39B" w14:textId="77777777" w:rsidR="005A0C7B" w:rsidRPr="0024131D" w:rsidRDefault="005A0C7B" w:rsidP="005A0C7B">
                  <w:pPr>
                    <w:pStyle w:val="TAC"/>
                  </w:pPr>
                </w:p>
              </w:tc>
              <w:tc>
                <w:tcPr>
                  <w:tcW w:w="1514" w:type="pct"/>
                  <w:tcBorders>
                    <w:top w:val="single" w:sz="4" w:space="0" w:color="auto"/>
                    <w:left w:val="single" w:sz="4" w:space="0" w:color="auto"/>
                    <w:bottom w:val="single" w:sz="4" w:space="0" w:color="auto"/>
                    <w:right w:val="single" w:sz="4" w:space="0" w:color="auto"/>
                  </w:tcBorders>
                  <w:hideMark/>
                </w:tcPr>
                <w:p w14:paraId="7C09D856" w14:textId="77777777" w:rsidR="005A0C7B" w:rsidRPr="0024131D" w:rsidRDefault="005A0C7B" w:rsidP="005A0C7B">
                  <w:pPr>
                    <w:pStyle w:val="TAC"/>
                  </w:pPr>
                  <w:r w:rsidRPr="0024131D">
                    <w:t>960</w:t>
                  </w:r>
                </w:p>
              </w:tc>
              <w:tc>
                <w:tcPr>
                  <w:tcW w:w="1177" w:type="pct"/>
                  <w:tcBorders>
                    <w:top w:val="single" w:sz="4" w:space="0" w:color="auto"/>
                    <w:left w:val="single" w:sz="4" w:space="0" w:color="auto"/>
                    <w:bottom w:val="single" w:sz="4" w:space="0" w:color="auto"/>
                    <w:right w:val="single" w:sz="4" w:space="0" w:color="auto"/>
                  </w:tcBorders>
                  <w:hideMark/>
                </w:tcPr>
                <w:p w14:paraId="20BD62F1" w14:textId="77777777" w:rsidR="005A0C7B" w:rsidRPr="0024131D" w:rsidRDefault="005A0C7B" w:rsidP="005A0C7B">
                  <w:pPr>
                    <w:pStyle w:val="TAC"/>
                  </w:pPr>
                  <w:r w:rsidRPr="0024131D">
                    <w:t>0.8*64*T</w:t>
                  </w:r>
                  <w:r w:rsidRPr="0024131D">
                    <w:rPr>
                      <w:vertAlign w:val="subscript"/>
                    </w:rPr>
                    <w:t>c</w:t>
                  </w:r>
                </w:p>
              </w:tc>
              <w:tc>
                <w:tcPr>
                  <w:tcW w:w="1178" w:type="pct"/>
                  <w:tcBorders>
                    <w:top w:val="single" w:sz="4" w:space="0" w:color="auto"/>
                    <w:left w:val="single" w:sz="4" w:space="0" w:color="auto"/>
                    <w:bottom w:val="single" w:sz="4" w:space="0" w:color="auto"/>
                    <w:right w:val="single" w:sz="4" w:space="0" w:color="auto"/>
                  </w:tcBorders>
                  <w:hideMark/>
                </w:tcPr>
                <w:p w14:paraId="1C89693B" w14:textId="77777777" w:rsidR="005A0C7B" w:rsidRPr="0024131D" w:rsidRDefault="005A0C7B" w:rsidP="005A0C7B">
                  <w:pPr>
                    <w:pStyle w:val="TAC"/>
                  </w:pPr>
                  <w:r w:rsidRPr="0024131D">
                    <w:t>0.8*64*T</w:t>
                  </w:r>
                  <w:r w:rsidRPr="0024131D">
                    <w:rPr>
                      <w:vertAlign w:val="subscript"/>
                    </w:rPr>
                    <w:t>c</w:t>
                  </w:r>
                </w:p>
              </w:tc>
            </w:tr>
            <w:tr w:rsidR="005A0C7B" w:rsidRPr="0024131D" w14:paraId="23E04F8F" w14:textId="77777777" w:rsidTr="009A480C">
              <w:trPr>
                <w:cantSplit/>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585CD2FE" w14:textId="77777777" w:rsidR="005A0C7B" w:rsidRPr="0024131D" w:rsidRDefault="005A0C7B" w:rsidP="005A0C7B">
                  <w:pPr>
                    <w:pStyle w:val="TAN"/>
                  </w:pPr>
                  <w:r w:rsidRPr="0024131D">
                    <w:rPr>
                      <w:rFonts w:cs="Arial"/>
                    </w:rPr>
                    <w:t>NOTE</w:t>
                  </w:r>
                  <w:r>
                    <w:rPr>
                      <w:rFonts w:cs="Arial"/>
                    </w:rPr>
                    <w:t xml:space="preserve"> </w:t>
                  </w:r>
                  <w:r w:rsidRPr="0024131D">
                    <w:rPr>
                      <w:rFonts w:cs="Arial"/>
                    </w:rPr>
                    <w:t>1</w:t>
                  </w:r>
                  <w:r w:rsidRPr="0024131D">
                    <w:t>:</w:t>
                  </w:r>
                  <w:r w:rsidRPr="0024131D">
                    <w:tab/>
                    <w:t>T</w:t>
                  </w:r>
                  <w:r w:rsidRPr="0024131D">
                    <w:rPr>
                      <w:vertAlign w:val="subscript"/>
                    </w:rPr>
                    <w:t>c</w:t>
                  </w:r>
                  <w:r>
                    <w:t xml:space="preserve"> </w:t>
                  </w:r>
                  <w:r w:rsidRPr="0024131D">
                    <w:t>is</w:t>
                  </w:r>
                  <w:r>
                    <w:t xml:space="preserve"> </w:t>
                  </w:r>
                  <w:r w:rsidRPr="0024131D">
                    <w:t>the</w:t>
                  </w:r>
                  <w:r>
                    <w:t xml:space="preserve"> </w:t>
                  </w:r>
                  <w:r w:rsidRPr="0024131D">
                    <w:t>basic</w:t>
                  </w:r>
                  <w:r>
                    <w:t xml:space="preserve"> </w:t>
                  </w:r>
                  <w:r w:rsidRPr="0024131D">
                    <w:t>timing</w:t>
                  </w:r>
                  <w:r>
                    <w:t xml:space="preserve"> </w:t>
                  </w:r>
                  <w:r w:rsidRPr="0024131D">
                    <w:t>unit</w:t>
                  </w:r>
                  <w:r>
                    <w:t xml:space="preserve"> </w:t>
                  </w:r>
                  <w:r w:rsidRPr="0024131D">
                    <w:t>defined</w:t>
                  </w:r>
                  <w:r>
                    <w:t xml:space="preserve"> </w:t>
                  </w:r>
                  <w:r w:rsidRPr="0024131D">
                    <w:t>in</w:t>
                  </w:r>
                  <w:r>
                    <w:t xml:space="preserve"> </w:t>
                  </w:r>
                  <w:r w:rsidRPr="0024131D">
                    <w:t>TS</w:t>
                  </w:r>
                  <w:r>
                    <w:t xml:space="preserve"> </w:t>
                  </w:r>
                  <w:r w:rsidRPr="0024131D">
                    <w:t>38.211</w:t>
                  </w:r>
                  <w:r>
                    <w:t xml:space="preserve"> </w:t>
                  </w:r>
                  <w:r w:rsidRPr="0024131D">
                    <w:t>[6]</w:t>
                  </w:r>
                </w:p>
                <w:p w14:paraId="7C1745DE" w14:textId="77777777" w:rsidR="005A0C7B" w:rsidRPr="0024131D" w:rsidRDefault="005A0C7B" w:rsidP="005A0C7B">
                  <w:pPr>
                    <w:pStyle w:val="TAN"/>
                  </w:pPr>
                  <w:r w:rsidRPr="0024131D">
                    <w:rPr>
                      <w:rFonts w:cs="Arial"/>
                    </w:rPr>
                    <w:t>NOTE</w:t>
                  </w:r>
                  <w:r>
                    <w:rPr>
                      <w:rFonts w:cs="Arial"/>
                    </w:rPr>
                    <w:t xml:space="preserve"> </w:t>
                  </w:r>
                  <w:r w:rsidRPr="0024131D">
                    <w:rPr>
                      <w:rFonts w:cs="Arial"/>
                    </w:rPr>
                    <w:t>2</w:t>
                  </w:r>
                  <w:r w:rsidRPr="0024131D">
                    <w:t>:</w:t>
                  </w:r>
                  <w:r w:rsidRPr="0024131D">
                    <w:tab/>
                    <w:t>When</w:t>
                  </w:r>
                  <w:r>
                    <w:t xml:space="preserve"> </w:t>
                  </w:r>
                  <w:r w:rsidRPr="0024131D">
                    <w:rPr>
                      <w:i/>
                      <w:iCs/>
                    </w:rPr>
                    <w:t>highSpeedMeasFlagFR2-r17</w:t>
                  </w:r>
                  <w:r>
                    <w:t xml:space="preserve"> </w:t>
                  </w:r>
                  <w:r w:rsidRPr="0024131D">
                    <w:t>is</w:t>
                  </w:r>
                  <w:r>
                    <w:t xml:space="preserve"> </w:t>
                  </w:r>
                  <w:r w:rsidRPr="0024131D">
                    <w:t>configured</w:t>
                  </w:r>
                  <w:r>
                    <w:t xml:space="preserve"> </w:t>
                  </w:r>
                  <w:r w:rsidRPr="0024131D">
                    <w:t>for</w:t>
                  </w:r>
                  <w:r>
                    <w:t xml:space="preserve"> </w:t>
                  </w:r>
                  <w:r w:rsidRPr="0024131D">
                    <w:t>UE</w:t>
                  </w:r>
                  <w:r>
                    <w:t xml:space="preserve"> </w:t>
                  </w:r>
                  <w:r w:rsidRPr="0024131D">
                    <w:t>supporting</w:t>
                  </w:r>
                  <w:r>
                    <w:t xml:space="preserve"> </w:t>
                  </w:r>
                  <w:r w:rsidRPr="0024131D">
                    <w:t>power</w:t>
                  </w:r>
                  <w:r>
                    <w:t xml:space="preserve"> </w:t>
                  </w:r>
                  <w:r w:rsidRPr="0024131D">
                    <w:t>class</w:t>
                  </w:r>
                  <w:r>
                    <w:t xml:space="preserve"> </w:t>
                  </w:r>
                  <w:r w:rsidRPr="0024131D">
                    <w:t>6,</w:t>
                  </w:r>
                  <w:r>
                    <w:t xml:space="preserve"> </w:t>
                  </w:r>
                  <w:r w:rsidRPr="0024131D">
                    <w:t>K</w:t>
                  </w:r>
                  <w:r>
                    <w:t xml:space="preserve"> </w:t>
                  </w:r>
                  <w:r w:rsidRPr="0024131D">
                    <w:t>=</w:t>
                  </w:r>
                  <w:r>
                    <w:t xml:space="preserve"> </w:t>
                  </w:r>
                  <w:r w:rsidRPr="0024131D">
                    <w:t>4.5;</w:t>
                  </w:r>
                  <w:r>
                    <w:t xml:space="preserve"> </w:t>
                  </w:r>
                  <w:r w:rsidRPr="0024131D">
                    <w:t>otherwise,</w:t>
                  </w:r>
                  <w:r>
                    <w:t xml:space="preserve"> </w:t>
                  </w:r>
                  <w:r w:rsidRPr="0024131D">
                    <w:t>K</w:t>
                  </w:r>
                  <w:r>
                    <w:t xml:space="preserve"> </w:t>
                  </w:r>
                  <w:r w:rsidRPr="0024131D">
                    <w:t>=</w:t>
                  </w:r>
                  <w:r>
                    <w:t xml:space="preserve"> </w:t>
                  </w:r>
                  <w:r w:rsidRPr="0024131D">
                    <w:t>2.5.</w:t>
                  </w:r>
                </w:p>
              </w:tc>
            </w:tr>
          </w:tbl>
          <w:p w14:paraId="6F58E8CE" w14:textId="77777777" w:rsidR="005A0C7B" w:rsidRDefault="005A0C7B" w:rsidP="005A0C7B">
            <w:pPr>
              <w:rPr>
                <w:noProof/>
              </w:rPr>
            </w:pPr>
          </w:p>
          <w:p w14:paraId="40E80818" w14:textId="77777777" w:rsidR="005A0C7B" w:rsidRPr="005A0C7B" w:rsidRDefault="005A0C7B" w:rsidP="005A0C7B">
            <w:pPr>
              <w:rPr>
                <w:noProof/>
                <w:color w:val="FF0000"/>
              </w:rPr>
            </w:pPr>
            <w:r w:rsidRPr="005A0C7B">
              <w:rPr>
                <w:noProof/>
                <w:color w:val="FF0000"/>
              </w:rPr>
              <w:t xml:space="preserve">In any of the configurations below the gradual timing adjustment is not applied if such adjustment results in transmit timing difference larger than the maximum timing difference in section 7.6 </w:t>
            </w:r>
            <w:r w:rsidRPr="002961D8">
              <w:rPr>
                <w:noProof/>
                <w:color w:val="FF0000"/>
                <w:highlight w:val="cyan"/>
              </w:rPr>
              <w:t>and the UE cannot continue to regulate its transmit timing</w:t>
            </w:r>
            <w:r w:rsidRPr="005A0C7B">
              <w:rPr>
                <w:noProof/>
                <w:color w:val="FF0000"/>
              </w:rPr>
              <w:t>.</w:t>
            </w:r>
          </w:p>
          <w:p w14:paraId="208B51DE" w14:textId="77777777" w:rsidR="005A0C7B" w:rsidRPr="005A0C7B" w:rsidRDefault="005A0C7B" w:rsidP="005A0C7B">
            <w:pPr>
              <w:pStyle w:val="B1"/>
              <w:rPr>
                <w:noProof/>
                <w:color w:val="FF0000"/>
              </w:rPr>
            </w:pPr>
            <w:r w:rsidRPr="005A0C7B">
              <w:rPr>
                <w:noProof/>
                <w:color w:val="FF0000"/>
              </w:rPr>
              <w:t xml:space="preserve">- </w:t>
            </w:r>
            <w:r w:rsidRPr="005A0C7B">
              <w:rPr>
                <w:noProof/>
                <w:color w:val="FF0000"/>
              </w:rPr>
              <w:tab/>
              <w:t>Inter-band CA</w:t>
            </w:r>
          </w:p>
          <w:p w14:paraId="1BD080A0" w14:textId="77777777" w:rsidR="005A0C7B" w:rsidRPr="005A0C7B" w:rsidRDefault="005A0C7B" w:rsidP="005A0C7B">
            <w:pPr>
              <w:pStyle w:val="B1"/>
              <w:rPr>
                <w:noProof/>
                <w:color w:val="FF0000"/>
              </w:rPr>
            </w:pPr>
            <w:r w:rsidRPr="005A0C7B">
              <w:rPr>
                <w:noProof/>
                <w:color w:val="FF0000"/>
              </w:rPr>
              <w:t>-</w:t>
            </w:r>
            <w:r w:rsidRPr="005A0C7B">
              <w:rPr>
                <w:noProof/>
                <w:color w:val="FF0000"/>
              </w:rPr>
              <w:tab/>
              <w:t>Inter-band EN-DC with spectrum overlapping between LTE and NR, and UE doesn’t support asynchronous operation</w:t>
            </w:r>
          </w:p>
          <w:p w14:paraId="28E33ED6" w14:textId="77777777" w:rsidR="005A0C7B" w:rsidRPr="005A0C7B" w:rsidRDefault="005A0C7B" w:rsidP="005A0C7B">
            <w:pPr>
              <w:pStyle w:val="B1"/>
              <w:rPr>
                <w:noProof/>
                <w:color w:val="FF0000"/>
              </w:rPr>
            </w:pPr>
            <w:r w:rsidRPr="005A0C7B">
              <w:rPr>
                <w:noProof/>
                <w:color w:val="FF0000"/>
              </w:rPr>
              <w:t>-</w:t>
            </w:r>
            <w:r w:rsidRPr="005A0C7B">
              <w:rPr>
                <w:noProof/>
                <w:color w:val="FF0000"/>
              </w:rPr>
              <w:tab/>
              <w:t>Intra-band EN-DC if UE doesn’t support asynchronous operation</w:t>
            </w:r>
          </w:p>
          <w:p w14:paraId="30EE60E0" w14:textId="77777777" w:rsidR="005A0C7B" w:rsidRPr="005A0C7B" w:rsidRDefault="005A0C7B" w:rsidP="005A0C7B">
            <w:pPr>
              <w:pStyle w:val="B1"/>
              <w:rPr>
                <w:noProof/>
                <w:color w:val="FF0000"/>
              </w:rPr>
            </w:pPr>
            <w:r w:rsidRPr="005A0C7B">
              <w:rPr>
                <w:noProof/>
                <w:color w:val="FF0000"/>
              </w:rPr>
              <w:t>-</w:t>
            </w:r>
            <w:r w:rsidRPr="005A0C7B">
              <w:rPr>
                <w:noProof/>
                <w:color w:val="FF0000"/>
              </w:rPr>
              <w:tab/>
              <w:t>Inter-band NE-DC if UE doesn’t support asynchronous operation</w:t>
            </w:r>
          </w:p>
          <w:p w14:paraId="5FD549A3" w14:textId="76621234" w:rsidR="00570FEB" w:rsidRPr="005A0C7B" w:rsidRDefault="005A0C7B" w:rsidP="005A0C7B">
            <w:pPr>
              <w:pStyle w:val="B1"/>
              <w:rPr>
                <w:noProof/>
                <w:color w:val="FF0000"/>
              </w:rPr>
            </w:pPr>
            <w:r w:rsidRPr="005A0C7B">
              <w:rPr>
                <w:noProof/>
                <w:color w:val="FF0000"/>
              </w:rPr>
              <w:t>-</w:t>
            </w:r>
            <w:r w:rsidRPr="005A0C7B">
              <w:rPr>
                <w:noProof/>
                <w:color w:val="FF0000"/>
              </w:rPr>
              <w:tab/>
              <w:t>Inter-band NR-DC if UE doesn’t support asynchronous operation</w:t>
            </w:r>
          </w:p>
          <w:p w14:paraId="75037D94" w14:textId="70C6F90D" w:rsidR="00570FEB" w:rsidRDefault="00570FEB" w:rsidP="00333E8A">
            <w:pPr>
              <w:rPr>
                <w:lang w:val="en-US"/>
              </w:rPr>
            </w:pPr>
            <w:r>
              <w:rPr>
                <w:lang w:val="en-US"/>
              </w:rPr>
              <w:t>…</w:t>
            </w:r>
          </w:p>
        </w:tc>
      </w:tr>
    </w:tbl>
    <w:p w14:paraId="712F34BF" w14:textId="6C84640A" w:rsidR="00AE29E3" w:rsidRDefault="002961D8" w:rsidP="00333E8A">
      <w:pPr>
        <w:rPr>
          <w:lang w:val="en-US"/>
        </w:rPr>
      </w:pPr>
      <w:r>
        <w:rPr>
          <w:lang w:val="en-US"/>
        </w:rPr>
        <w:lastRenderedPageBreak/>
        <w:br/>
      </w:r>
      <w:r w:rsidR="00966750">
        <w:rPr>
          <w:lang w:val="en-US"/>
        </w:rPr>
        <w:t>We apply the same idea to the SCell transmission</w:t>
      </w:r>
      <w:r w:rsidR="00AE29E3">
        <w:rPr>
          <w:lang w:val="en-US"/>
        </w:rPr>
        <w:t xml:space="preserve"> in MTTD part of the specification</w:t>
      </w:r>
      <w:r w:rsidR="00343E94">
        <w:rPr>
          <w:lang w:val="en-US"/>
        </w:rPr>
        <w:t xml:space="preserve">. </w:t>
      </w:r>
    </w:p>
    <w:tbl>
      <w:tblPr>
        <w:tblStyle w:val="TableGrid"/>
        <w:tblW w:w="0" w:type="auto"/>
        <w:tblLook w:val="04A0" w:firstRow="1" w:lastRow="0" w:firstColumn="1" w:lastColumn="0" w:noHBand="0" w:noVBand="1"/>
      </w:tblPr>
      <w:tblGrid>
        <w:gridCol w:w="9631"/>
      </w:tblGrid>
      <w:tr w:rsidR="00AE29E3" w14:paraId="7DBB79BD" w14:textId="77777777" w:rsidTr="00AE29E3">
        <w:tc>
          <w:tcPr>
            <w:tcW w:w="9631" w:type="dxa"/>
          </w:tcPr>
          <w:p w14:paraId="4DE564A3" w14:textId="77777777" w:rsidR="00AE29E3" w:rsidRDefault="00AE29E3" w:rsidP="00333E8A">
            <w:pPr>
              <w:rPr>
                <w:lang w:val="en-US"/>
              </w:rPr>
            </w:pPr>
            <w:r>
              <w:rPr>
                <w:lang w:val="en-US"/>
              </w:rPr>
              <w:t>…</w:t>
            </w:r>
          </w:p>
          <w:p w14:paraId="355E0546" w14:textId="77777777" w:rsidR="006A6909" w:rsidRPr="009C5807" w:rsidRDefault="006A6909" w:rsidP="006A6909">
            <w:pPr>
              <w:pStyle w:val="Heading2"/>
              <w:rPr>
                <w:lang w:eastAsia="ko-KR"/>
              </w:rPr>
            </w:pPr>
            <w:r w:rsidRPr="009C5807">
              <w:rPr>
                <w:lang w:eastAsia="ko-KR"/>
              </w:rPr>
              <w:t>7.5</w:t>
            </w:r>
            <w:r w:rsidRPr="009C5807">
              <w:rPr>
                <w:lang w:eastAsia="ko-KR"/>
              </w:rPr>
              <w:tab/>
              <w:t>Maximum Transmission Timing Difference</w:t>
            </w:r>
          </w:p>
          <w:p w14:paraId="72FD1CE0" w14:textId="77777777" w:rsidR="006A6909" w:rsidRDefault="006A6909" w:rsidP="006A6909">
            <w:pPr>
              <w:rPr>
                <w:lang w:val="en-US"/>
              </w:rPr>
            </w:pPr>
            <w:r>
              <w:rPr>
                <w:lang w:val="en-US"/>
              </w:rPr>
              <w:t>…</w:t>
            </w:r>
          </w:p>
          <w:p w14:paraId="7349C465" w14:textId="77777777" w:rsidR="006A6909" w:rsidRDefault="006A6909" w:rsidP="006A6909">
            <w:pPr>
              <w:pStyle w:val="Heading4"/>
              <w:rPr>
                <w:lang w:eastAsia="ko-KR"/>
              </w:rPr>
            </w:pPr>
            <w:r w:rsidRPr="008C6DE4">
              <w:rPr>
                <w:lang w:eastAsia="ko-KR"/>
              </w:rPr>
              <w:t>7.5.2.1</w:t>
            </w:r>
            <w:r w:rsidRPr="008C6DE4">
              <w:rPr>
                <w:lang w:eastAsia="ko-KR"/>
              </w:rPr>
              <w:tab/>
              <w:t xml:space="preserve">Minimum Requirements for </w:t>
            </w:r>
            <w:r w:rsidRPr="008C6DE4">
              <w:t>inter-band synchronous EN-DC</w:t>
            </w:r>
          </w:p>
          <w:p w14:paraId="70003CD1" w14:textId="77777777" w:rsidR="006A6909" w:rsidRPr="00907A11" w:rsidRDefault="006A6909" w:rsidP="006A6909">
            <w:pPr>
              <w:rPr>
                <w:color w:val="FF0000"/>
                <w:lang w:eastAsia="ko-KR"/>
              </w:rPr>
            </w:pPr>
            <w:r w:rsidRPr="00907A11">
              <w:rPr>
                <w:color w:val="FF0000"/>
                <w:lang w:eastAsia="ko-KR"/>
              </w:rPr>
              <w:t xml:space="preserve">A UE configured with E-UTRA PCell and PSCell shall stop transmitting on the PSCell if after timing adjusting due to received TA command the uplink transmission timing difference between PCell and PSCell exceeds the specified minimum required MTTD and the UE cannot continue to regulate its transmit timing. </w:t>
            </w:r>
          </w:p>
          <w:p w14:paraId="542A0DF1" w14:textId="77777777" w:rsidR="006A6909" w:rsidRDefault="006A6909" w:rsidP="006A6909">
            <w:pPr>
              <w:rPr>
                <w:lang w:eastAsia="ko-KR"/>
              </w:rPr>
            </w:pPr>
            <w:r>
              <w:rPr>
                <w:lang w:eastAsia="ko-KR"/>
              </w:rPr>
              <w:t>…</w:t>
            </w:r>
          </w:p>
          <w:p w14:paraId="6C65C5AB" w14:textId="77777777" w:rsidR="006A6909" w:rsidRPr="008C6DE4" w:rsidRDefault="006A6909" w:rsidP="006A6909">
            <w:pPr>
              <w:pStyle w:val="Heading3"/>
            </w:pPr>
            <w:r w:rsidRPr="008C6DE4">
              <w:t>7.5.3</w:t>
            </w:r>
            <w:r w:rsidRPr="008C6DE4">
              <w:tab/>
              <w:t>Minimum Requirements for intra-band EN-DC</w:t>
            </w:r>
          </w:p>
          <w:p w14:paraId="175D1946" w14:textId="77777777" w:rsidR="006A6909" w:rsidRPr="00AC5508" w:rsidRDefault="006A6909" w:rsidP="006A6909">
            <w:pPr>
              <w:rPr>
                <w:color w:val="FF0000"/>
                <w:lang w:eastAsia="ko-KR"/>
              </w:rPr>
            </w:pPr>
            <w:r w:rsidRPr="00AC5508">
              <w:rPr>
                <w:color w:val="FF0000"/>
                <w:lang w:eastAsia="ko-KR"/>
              </w:rPr>
              <w:t>A UE configured with E-UTRA PCell and PSCell shall stop transmitting on the PSCell if after timing adjusting due to received TA command the uplink transmission timing difference between PCell and PSCell exceeds specified minimum required MTTD and the UE cannot continue to regulate its transmit timing.</w:t>
            </w:r>
          </w:p>
          <w:p w14:paraId="699F587C" w14:textId="77777777" w:rsidR="006A6909" w:rsidRDefault="006A6909" w:rsidP="006A6909">
            <w:pPr>
              <w:rPr>
                <w:lang w:eastAsia="ko-KR"/>
              </w:rPr>
            </w:pPr>
            <w:r>
              <w:rPr>
                <w:lang w:eastAsia="ko-KR"/>
              </w:rPr>
              <w:t>…</w:t>
            </w:r>
          </w:p>
          <w:p w14:paraId="211286E2" w14:textId="77777777" w:rsidR="006A6909" w:rsidRPr="008C6DE4" w:rsidRDefault="006A6909" w:rsidP="006A6909">
            <w:pPr>
              <w:pStyle w:val="Heading3"/>
              <w:rPr>
                <w:lang w:eastAsia="ko-KR"/>
              </w:rPr>
            </w:pPr>
            <w:r w:rsidRPr="008C6DE4">
              <w:rPr>
                <w:lang w:eastAsia="ko-KR"/>
              </w:rPr>
              <w:lastRenderedPageBreak/>
              <w:t>7.</w:t>
            </w:r>
            <w:r w:rsidRPr="008C6DE4">
              <w:rPr>
                <w:rFonts w:eastAsia="Malgun Gothic"/>
              </w:rPr>
              <w:t>5</w:t>
            </w:r>
            <w:r w:rsidRPr="008C6DE4">
              <w:rPr>
                <w:lang w:eastAsia="ko-KR"/>
              </w:rPr>
              <w:t>.</w:t>
            </w:r>
            <w:r w:rsidRPr="008C6DE4">
              <w:rPr>
                <w:rFonts w:eastAsia="Malgun Gothic"/>
                <w:lang w:eastAsia="ko-KR"/>
              </w:rPr>
              <w:t>4</w:t>
            </w:r>
            <w:r w:rsidRPr="008C6DE4">
              <w:rPr>
                <w:lang w:eastAsia="ko-KR"/>
              </w:rPr>
              <w:tab/>
              <w:t>Minimum Requirements for NR Carrier Aggregation</w:t>
            </w:r>
          </w:p>
          <w:p w14:paraId="5ECD4CEA" w14:textId="77777777" w:rsidR="006A6909" w:rsidRPr="00587BDB" w:rsidRDefault="006A6909" w:rsidP="006A6909">
            <w:pPr>
              <w:rPr>
                <w:color w:val="FF0000"/>
              </w:rPr>
            </w:pPr>
            <w:r w:rsidRPr="00587BDB">
              <w:rPr>
                <w:color w:val="FF0000"/>
              </w:rPr>
              <w:t>A UE configured with pTAG and sTAG shall stop transmitting on the SCell if after timing adjusting due to received TA command the uplink transmission timing difference between PCell and SCell exceeds specified minimum required MTTD and the UE cannot continue to regulate its transmit timing.</w:t>
            </w:r>
          </w:p>
          <w:p w14:paraId="050C8B6C" w14:textId="77777777" w:rsidR="006A6909" w:rsidRDefault="006A6909" w:rsidP="006A6909">
            <w:pPr>
              <w:rPr>
                <w:lang w:eastAsia="ko-KR"/>
              </w:rPr>
            </w:pPr>
            <w:r>
              <w:rPr>
                <w:lang w:eastAsia="ko-KR"/>
              </w:rPr>
              <w:t>…</w:t>
            </w:r>
          </w:p>
          <w:p w14:paraId="4D4D5C9D" w14:textId="77777777" w:rsidR="006A6909" w:rsidRPr="008C6DE4" w:rsidRDefault="006A6909" w:rsidP="006A6909">
            <w:pPr>
              <w:pStyle w:val="Heading4"/>
              <w:rPr>
                <w:lang w:eastAsia="ko-KR"/>
              </w:rPr>
            </w:pPr>
            <w:r w:rsidRPr="008C6DE4">
              <w:rPr>
                <w:lang w:eastAsia="ko-KR"/>
              </w:rPr>
              <w:t>7.5.5.1</w:t>
            </w:r>
            <w:r w:rsidRPr="008C6DE4">
              <w:rPr>
                <w:lang w:eastAsia="ko-KR"/>
              </w:rPr>
              <w:tab/>
              <w:t xml:space="preserve">Minimum Requirements for </w:t>
            </w:r>
            <w:r w:rsidRPr="008C6DE4">
              <w:t>inter-band synchronous NE-DC</w:t>
            </w:r>
          </w:p>
          <w:p w14:paraId="2BE6DD96" w14:textId="77777777" w:rsidR="006A6909" w:rsidRPr="00E705E9" w:rsidRDefault="006A6909" w:rsidP="006A6909">
            <w:pPr>
              <w:rPr>
                <w:color w:val="FF0000"/>
                <w:lang w:eastAsia="ko-KR"/>
              </w:rPr>
            </w:pPr>
            <w:r w:rsidRPr="00E705E9">
              <w:rPr>
                <w:color w:val="FF0000"/>
                <w:lang w:eastAsia="ko-KR"/>
              </w:rPr>
              <w:t xml:space="preserve">A UE configured with PCell and E-UTRA PSCell shall stop transmitting on the PSCell if after timing adjusting due to received TA command the uplink transmission timing difference between PCell and PSCell exceeds </w:t>
            </w:r>
            <w:r w:rsidRPr="00E705E9">
              <w:rPr>
                <w:color w:val="FF0000"/>
              </w:rPr>
              <w:t>specified minimum required MTTD and the UE cannot continue to regulate its transmit timing</w:t>
            </w:r>
            <w:r w:rsidRPr="00E705E9">
              <w:rPr>
                <w:color w:val="FF0000"/>
                <w:lang w:eastAsia="ko-KR"/>
              </w:rPr>
              <w:t>.</w:t>
            </w:r>
          </w:p>
          <w:p w14:paraId="52CF8235" w14:textId="77777777" w:rsidR="006A6909" w:rsidRDefault="006A6909" w:rsidP="006A6909">
            <w:pPr>
              <w:rPr>
                <w:lang w:eastAsia="ko-KR"/>
              </w:rPr>
            </w:pPr>
            <w:r>
              <w:rPr>
                <w:lang w:eastAsia="ko-KR"/>
              </w:rPr>
              <w:t>…</w:t>
            </w:r>
          </w:p>
          <w:p w14:paraId="7DC3065D" w14:textId="77777777" w:rsidR="006A6909" w:rsidRPr="008C6DE4" w:rsidRDefault="006A6909" w:rsidP="006A6909">
            <w:pPr>
              <w:pStyle w:val="Heading3"/>
              <w:spacing w:before="360"/>
              <w:rPr>
                <w:lang w:eastAsia="ko-KR"/>
              </w:rPr>
            </w:pPr>
            <w:r w:rsidRPr="008C6DE4">
              <w:rPr>
                <w:lang w:eastAsia="ko-KR"/>
              </w:rPr>
              <w:t>7.5.</w:t>
            </w:r>
            <w:r w:rsidRPr="008C6DE4">
              <w:rPr>
                <w:rFonts w:eastAsia="Malgun Gothic"/>
                <w:lang w:eastAsia="ko-KR"/>
              </w:rPr>
              <w:t>6</w:t>
            </w:r>
            <w:r w:rsidRPr="008C6DE4">
              <w:rPr>
                <w:lang w:eastAsia="ko-KR"/>
              </w:rPr>
              <w:tab/>
              <w:t xml:space="preserve">Minimum Requirements for inter-band NR </w:t>
            </w:r>
            <w:r w:rsidRPr="008C6DE4">
              <w:rPr>
                <w:rFonts w:eastAsia="Malgun Gothic"/>
                <w:lang w:eastAsia="ko-KR"/>
              </w:rPr>
              <w:t>DC</w:t>
            </w:r>
          </w:p>
          <w:p w14:paraId="41AB5817" w14:textId="742898A0" w:rsidR="005841DE" w:rsidRPr="006A6909" w:rsidRDefault="006A6909" w:rsidP="00333E8A">
            <w:pPr>
              <w:rPr>
                <w:rFonts w:cs="v4.2.0"/>
                <w:color w:val="FF0000"/>
              </w:rPr>
            </w:pPr>
            <w:r w:rsidRPr="006D4CBA">
              <w:rPr>
                <w:color w:val="FF0000"/>
                <w:lang w:eastAsia="ko-KR"/>
              </w:rPr>
              <w:t xml:space="preserve">A UE configured with PCell and PSCell shall stop transmitting on the PSCell if after timing adjusting due to received TA command the uplink transmission timing difference between PCell and PSCell exceeds </w:t>
            </w:r>
            <w:r w:rsidRPr="006D4CBA">
              <w:rPr>
                <w:color w:val="FF0000"/>
              </w:rPr>
              <w:t>specified minimum required MTTD and the UE cannot continue to regulate its transmit timing</w:t>
            </w:r>
            <w:r w:rsidRPr="006D4CBA">
              <w:rPr>
                <w:color w:val="FF0000"/>
                <w:lang w:eastAsia="ko-KR"/>
              </w:rPr>
              <w:t>.</w:t>
            </w:r>
          </w:p>
          <w:p w14:paraId="7628290B" w14:textId="5A09BC2C" w:rsidR="00AE29E3" w:rsidRDefault="00AE29E3" w:rsidP="00333E8A">
            <w:pPr>
              <w:rPr>
                <w:lang w:val="en-US"/>
              </w:rPr>
            </w:pPr>
            <w:r>
              <w:rPr>
                <w:lang w:val="en-US"/>
              </w:rPr>
              <w:t>…</w:t>
            </w:r>
          </w:p>
        </w:tc>
      </w:tr>
    </w:tbl>
    <w:p w14:paraId="75F3CE61" w14:textId="77777777" w:rsidR="00AE29E3" w:rsidRDefault="00AE29E3" w:rsidP="00333E8A">
      <w:pPr>
        <w:rPr>
          <w:lang w:val="en-US"/>
        </w:rPr>
      </w:pPr>
    </w:p>
    <w:p w14:paraId="7382720B" w14:textId="07B19C92" w:rsidR="005F0842" w:rsidRDefault="005F0842" w:rsidP="00333E8A">
      <w:pPr>
        <w:rPr>
          <w:lang w:val="en-US"/>
        </w:rPr>
      </w:pPr>
      <w:r>
        <w:rPr>
          <w:lang w:val="en-US"/>
        </w:rPr>
        <w:t xml:space="preserve">The complete </w:t>
      </w:r>
      <w:r w:rsidR="00DD1329">
        <w:rPr>
          <w:lang w:val="en-US"/>
        </w:rPr>
        <w:t>proposal can be found in [6].</w:t>
      </w:r>
    </w:p>
    <w:p w14:paraId="263C85A7" w14:textId="6A744B66" w:rsidR="00DD1329" w:rsidRPr="00DD1329" w:rsidRDefault="00DD1329" w:rsidP="00333E8A">
      <w:pPr>
        <w:rPr>
          <w:b/>
          <w:bCs/>
          <w:lang w:val="en-US"/>
        </w:rPr>
      </w:pPr>
      <w:r w:rsidRPr="00DD1329">
        <w:rPr>
          <w:b/>
          <w:bCs/>
          <w:lang w:val="en-US"/>
        </w:rPr>
        <w:t xml:space="preserve">Proposal 1: </w:t>
      </w:r>
      <w:r w:rsidR="008B0987" w:rsidRPr="008B0987">
        <w:rPr>
          <w:b/>
          <w:bCs/>
          <w:lang w:val="en-US"/>
        </w:rPr>
        <w:t xml:space="preserve">Approve CR </w:t>
      </w:r>
      <w:r w:rsidR="004A36C8" w:rsidRPr="004A36C8">
        <w:rPr>
          <w:b/>
          <w:bCs/>
          <w:lang w:val="en-US"/>
        </w:rPr>
        <w:t>R4-2510769</w:t>
      </w:r>
      <w:r w:rsidR="008B0987" w:rsidRPr="008B0987">
        <w:rPr>
          <w:b/>
          <w:bCs/>
          <w:lang w:val="en-US"/>
        </w:rPr>
        <w:t xml:space="preserve">, CR, </w:t>
      </w:r>
      <w:r w:rsidR="006F5AC4" w:rsidRPr="006F5AC4">
        <w:rPr>
          <w:b/>
          <w:bCs/>
          <w:lang w:val="en-US"/>
        </w:rPr>
        <w:t>(NR_newRAT-core) SCell transmission based on MTTD</w:t>
      </w:r>
      <w:r w:rsidR="00066271">
        <w:rPr>
          <w:b/>
          <w:bCs/>
          <w:lang w:val="en-US"/>
        </w:rPr>
        <w:t>.</w:t>
      </w:r>
    </w:p>
    <w:p w14:paraId="7DE08BE8" w14:textId="5FF20DC2" w:rsidR="00B93FB3" w:rsidRDefault="00E7470F" w:rsidP="00B93FB3">
      <w:pPr>
        <w:pStyle w:val="Heading1"/>
        <w:rPr>
          <w:lang w:val="en-US"/>
        </w:rPr>
      </w:pPr>
      <w:r>
        <w:rPr>
          <w:lang w:val="en-US"/>
        </w:rPr>
        <w:t xml:space="preserve">3 </w:t>
      </w:r>
      <w:r>
        <w:rPr>
          <w:lang w:val="en-US"/>
        </w:rPr>
        <w:tab/>
      </w:r>
      <w:r w:rsidR="00B93FB3">
        <w:rPr>
          <w:lang w:val="en-US"/>
        </w:rPr>
        <w:t>Summary</w:t>
      </w:r>
    </w:p>
    <w:p w14:paraId="60011852" w14:textId="77777777" w:rsidR="00642140" w:rsidRPr="00176803" w:rsidRDefault="00642140" w:rsidP="00642140">
      <w:pPr>
        <w:rPr>
          <w:b/>
          <w:bCs/>
          <w:lang w:val="en-US"/>
        </w:rPr>
      </w:pPr>
      <w:r w:rsidRPr="00176803">
        <w:rPr>
          <w:b/>
          <w:bCs/>
          <w:lang w:val="en-US"/>
        </w:rPr>
        <w:t>Observation 1: A framework for our proposal is:</w:t>
      </w:r>
    </w:p>
    <w:p w14:paraId="250EEFDC" w14:textId="77777777" w:rsidR="00642140" w:rsidRPr="00176803" w:rsidRDefault="00642140" w:rsidP="00642140">
      <w:pPr>
        <w:pStyle w:val="ListParagraph"/>
        <w:numPr>
          <w:ilvl w:val="0"/>
          <w:numId w:val="6"/>
        </w:numPr>
        <w:rPr>
          <w:b/>
          <w:bCs/>
          <w:lang w:val="en-US"/>
        </w:rPr>
      </w:pPr>
      <w:r w:rsidRPr="00176803">
        <w:rPr>
          <w:b/>
          <w:bCs/>
          <w:lang w:val="en-US"/>
        </w:rPr>
        <w:t>A UE which can manage MTTD &gt; minimum requirement can continue transmission.</w:t>
      </w:r>
      <w:r w:rsidRPr="00176803">
        <w:rPr>
          <w:b/>
          <w:bCs/>
          <w:lang w:val="en-US"/>
        </w:rPr>
        <w:br/>
      </w:r>
    </w:p>
    <w:p w14:paraId="49149E3E" w14:textId="77777777" w:rsidR="00642140" w:rsidRPr="00176803" w:rsidRDefault="00642140" w:rsidP="00642140">
      <w:pPr>
        <w:pStyle w:val="ListParagraph"/>
        <w:numPr>
          <w:ilvl w:val="0"/>
          <w:numId w:val="6"/>
        </w:numPr>
        <w:rPr>
          <w:b/>
          <w:bCs/>
          <w:lang w:val="en-US"/>
        </w:rPr>
      </w:pPr>
      <w:r w:rsidRPr="00176803">
        <w:rPr>
          <w:b/>
          <w:bCs/>
          <w:lang w:val="en-US"/>
        </w:rPr>
        <w:t>Use ‘shall’, instead of ‘may’.</w:t>
      </w:r>
    </w:p>
    <w:p w14:paraId="33948DA7" w14:textId="10EEE8D2" w:rsidR="003D429A" w:rsidRPr="00066271" w:rsidRDefault="00066271" w:rsidP="003D429A">
      <w:pPr>
        <w:rPr>
          <w:b/>
          <w:bCs/>
          <w:lang w:val="en-US"/>
        </w:rPr>
      </w:pPr>
      <w:r w:rsidRPr="00DD1329">
        <w:rPr>
          <w:b/>
          <w:bCs/>
          <w:lang w:val="en-US"/>
        </w:rPr>
        <w:t xml:space="preserve">Proposal 1: </w:t>
      </w:r>
      <w:r w:rsidRPr="008B0987">
        <w:rPr>
          <w:b/>
          <w:bCs/>
          <w:lang w:val="en-US"/>
        </w:rPr>
        <w:t xml:space="preserve">Approve </w:t>
      </w:r>
      <w:r w:rsidR="004A36C8" w:rsidRPr="004A36C8">
        <w:rPr>
          <w:b/>
          <w:bCs/>
          <w:lang w:val="en-US"/>
        </w:rPr>
        <w:t>R4-2510769</w:t>
      </w:r>
      <w:r w:rsidRPr="008B0987">
        <w:rPr>
          <w:b/>
          <w:bCs/>
          <w:lang w:val="en-US"/>
        </w:rPr>
        <w:t xml:space="preserve">, CR, </w:t>
      </w:r>
      <w:r w:rsidRPr="006F5AC4">
        <w:rPr>
          <w:b/>
          <w:bCs/>
          <w:lang w:val="en-US"/>
        </w:rPr>
        <w:t>(NR_newRAT-core) SCell transmission based on MTTD</w:t>
      </w:r>
      <w:r>
        <w:rPr>
          <w:b/>
          <w:bCs/>
          <w:lang w:val="en-US"/>
        </w:rPr>
        <w:t>.</w:t>
      </w:r>
    </w:p>
    <w:p w14:paraId="42C2E795" w14:textId="1C544FD8" w:rsidR="003D429A" w:rsidRDefault="003D429A" w:rsidP="003D429A">
      <w:pPr>
        <w:pStyle w:val="Heading1"/>
        <w:rPr>
          <w:lang w:val="en-US"/>
        </w:rPr>
      </w:pPr>
      <w:r>
        <w:rPr>
          <w:lang w:val="en-US"/>
        </w:rPr>
        <w:t>References</w:t>
      </w:r>
    </w:p>
    <w:p w14:paraId="32FC54DF" w14:textId="31280BF2" w:rsidR="0083684A" w:rsidRDefault="00BE4FE5" w:rsidP="00A434FD">
      <w:bookmarkStart w:id="5" w:name="_Ref508638450"/>
      <w:bookmarkStart w:id="6" w:name="_Ref3386619"/>
      <w:r>
        <w:t xml:space="preserve">[1] </w:t>
      </w:r>
      <w:r>
        <w:tab/>
      </w:r>
      <w:r>
        <w:tab/>
      </w:r>
      <w:r w:rsidR="0000288B" w:rsidRPr="0000288B">
        <w:t>R4-2500252</w:t>
      </w:r>
      <w:r w:rsidR="009F4101">
        <w:t xml:space="preserve">, </w:t>
      </w:r>
      <w:r w:rsidR="0000288B" w:rsidRPr="0000288B">
        <w:t>(NR_RRM_Enh-Core) On gradual timing adjustment and MTTD for CA and DC</w:t>
      </w:r>
      <w:r w:rsidR="009F4101">
        <w:t xml:space="preserve">, </w:t>
      </w:r>
      <w:r w:rsidR="0000288B" w:rsidRPr="0000288B">
        <w:t>Apple</w:t>
      </w:r>
    </w:p>
    <w:p w14:paraId="0714CBBE" w14:textId="79BD9BF5" w:rsidR="003D1BCA" w:rsidRDefault="009F4101" w:rsidP="003D1BCA">
      <w:r>
        <w:t>[2]</w:t>
      </w:r>
      <w:r>
        <w:tab/>
      </w:r>
      <w:r>
        <w:tab/>
      </w:r>
      <w:r w:rsidR="005138D9" w:rsidRPr="005138D9">
        <w:t>R4-2500254</w:t>
      </w:r>
      <w:r w:rsidR="005138D9">
        <w:t xml:space="preserve">, </w:t>
      </w:r>
      <w:r w:rsidR="002939B6">
        <w:t xml:space="preserve">CR, </w:t>
      </w:r>
      <w:r w:rsidR="003D1BCA">
        <w:t>(NR_RRM_Enh-Core) CR to 38.133 for gradual timing adjustment and MTTD-R16, Apple</w:t>
      </w:r>
    </w:p>
    <w:p w14:paraId="7378310E" w14:textId="3D248B80" w:rsidR="005138D9" w:rsidRDefault="005138D9" w:rsidP="003D1BCA">
      <w:r>
        <w:t>[3]</w:t>
      </w:r>
      <w:r>
        <w:tab/>
      </w:r>
      <w:r>
        <w:tab/>
      </w:r>
      <w:r w:rsidR="008F0275" w:rsidRPr="008F0275">
        <w:t>R4-2501614</w:t>
      </w:r>
      <w:r w:rsidR="008F0275">
        <w:t xml:space="preserve">, </w:t>
      </w:r>
      <w:r w:rsidR="007D0523" w:rsidRPr="007D0523">
        <w:t>(NR_newRAT-core) On gradual timing adjustment for CA and DC</w:t>
      </w:r>
      <w:r w:rsidR="007D0523">
        <w:t xml:space="preserve">, </w:t>
      </w:r>
      <w:r w:rsidR="008F0275">
        <w:t>Ericsson</w:t>
      </w:r>
    </w:p>
    <w:p w14:paraId="2EC44DE7" w14:textId="291506F7" w:rsidR="005138D9" w:rsidRDefault="005138D9" w:rsidP="003D1BCA">
      <w:r>
        <w:t>[4]</w:t>
      </w:r>
      <w:r w:rsidR="006C4FA7">
        <w:tab/>
      </w:r>
      <w:r w:rsidR="006C4FA7">
        <w:tab/>
      </w:r>
      <w:r w:rsidR="006C4FA7" w:rsidRPr="006C4FA7">
        <w:t>R4-2501615</w:t>
      </w:r>
      <w:r w:rsidR="006C4FA7">
        <w:t xml:space="preserve">, </w:t>
      </w:r>
      <w:r w:rsidR="002939B6">
        <w:t xml:space="preserve">CR, </w:t>
      </w:r>
      <w:r w:rsidR="002939B6" w:rsidRPr="002939B6">
        <w:t>(NR_newRAT-core) SCell transmission based on MTTD</w:t>
      </w:r>
      <w:r w:rsidR="002939B6">
        <w:t>, Ericsson</w:t>
      </w:r>
    </w:p>
    <w:p w14:paraId="22E6DE42" w14:textId="511D825B" w:rsidR="002939B6" w:rsidRDefault="002939B6" w:rsidP="003D1BCA">
      <w:r>
        <w:t>[5]</w:t>
      </w:r>
      <w:r>
        <w:tab/>
      </w:r>
      <w:r>
        <w:tab/>
      </w:r>
      <w:r w:rsidR="00D415AE" w:rsidRPr="00D415AE">
        <w:t>R4-2501887</w:t>
      </w:r>
      <w:r w:rsidR="00D415AE">
        <w:t xml:space="preserve">, </w:t>
      </w:r>
      <w:r w:rsidR="00D415AE" w:rsidRPr="00D415AE">
        <w:t>CR</w:t>
      </w:r>
      <w:r w:rsidR="00D415AE">
        <w:t xml:space="preserve">, </w:t>
      </w:r>
      <w:r w:rsidR="00D415AE" w:rsidRPr="00D415AE">
        <w:t>(NR_newRAT-Core) CR clarifying the UE UL transmit timing requirements</w:t>
      </w:r>
      <w:r w:rsidR="00D415AE">
        <w:t xml:space="preserve">, </w:t>
      </w:r>
      <w:r w:rsidR="00D415AE" w:rsidRPr="00D415AE">
        <w:t>Nokia</w:t>
      </w:r>
    </w:p>
    <w:p w14:paraId="742D6A07" w14:textId="1F9BDA4A" w:rsidR="00066271" w:rsidRDefault="00066271" w:rsidP="003D1BCA">
      <w:r>
        <w:t>[6]</w:t>
      </w:r>
      <w:r>
        <w:tab/>
      </w:r>
      <w:r>
        <w:tab/>
      </w:r>
      <w:r w:rsidR="00026E7F" w:rsidRPr="00026E7F">
        <w:t>R4-2510769</w:t>
      </w:r>
      <w:r>
        <w:t xml:space="preserve">, CR, </w:t>
      </w:r>
      <w:r w:rsidRPr="00066271">
        <w:t>(NR_newRAT-core) SCell transmission based on MTTD</w:t>
      </w:r>
      <w:r>
        <w:t>, Ericsson</w:t>
      </w:r>
    </w:p>
    <w:p w14:paraId="091B5191" w14:textId="77777777" w:rsidR="003D1BCA" w:rsidRDefault="003D1BCA" w:rsidP="003D1BCA"/>
    <w:p w14:paraId="5F041AEF" w14:textId="43D8FB4F" w:rsidR="009F4101" w:rsidRPr="00FC5F8D" w:rsidRDefault="009F4101" w:rsidP="00A434FD"/>
    <w:bookmarkEnd w:id="5"/>
    <w:bookmarkEnd w:id="6"/>
    <w:p w14:paraId="406C1D4A" w14:textId="2706A27F" w:rsidR="003D429A" w:rsidRPr="00921590" w:rsidRDefault="003D429A" w:rsidP="003D429A"/>
    <w:sectPr w:rsidR="003D429A" w:rsidRPr="00921590">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A27665" w14:textId="77777777" w:rsidR="002616BA" w:rsidRDefault="002616BA">
      <w:r>
        <w:separator/>
      </w:r>
    </w:p>
  </w:endnote>
  <w:endnote w:type="continuationSeparator" w:id="0">
    <w:p w14:paraId="12374E00" w14:textId="77777777" w:rsidR="002616BA" w:rsidRDefault="002616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v4.2.0">
    <w:altName w:val="Times New Roman"/>
    <w:charset w:val="00"/>
    <w:family w:val="auto"/>
    <w:pitch w:val="default"/>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899288" w14:textId="77777777" w:rsidR="006F61D7" w:rsidRDefault="006F61D7" w:rsidP="006F61D7">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w:t>
    </w:r>
    <w:r>
      <w:rPr>
        <w:rFonts w:ascii="Arial" w:hAnsi="Arial" w:cs="Arial"/>
        <w:b/>
        <w:sz w:val="18"/>
        <w:szCs w:val="18"/>
      </w:rPr>
      <w:fldChar w:fldCharType="end"/>
    </w:r>
  </w:p>
  <w:p w14:paraId="53C75F2B" w14:textId="77777777" w:rsidR="00597B11" w:rsidRPr="006F61D7" w:rsidRDefault="00597B11" w:rsidP="00985F99">
    <w:pPr>
      <w:pStyle w:val="Footer"/>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6F38D0" w14:textId="77777777" w:rsidR="002616BA" w:rsidRDefault="002616BA">
      <w:r>
        <w:separator/>
      </w:r>
    </w:p>
  </w:footnote>
  <w:footnote w:type="continuationSeparator" w:id="0">
    <w:p w14:paraId="019D1471" w14:textId="77777777" w:rsidR="002616BA" w:rsidRDefault="002616B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A79066B"/>
    <w:multiLevelType w:val="hybridMultilevel"/>
    <w:tmpl w:val="F15A908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5A0E0C23"/>
    <w:multiLevelType w:val="hybridMultilevel"/>
    <w:tmpl w:val="7F9C1432"/>
    <w:lvl w:ilvl="0" w:tplc="9BAECE2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0696658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8779494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01418901">
    <w:abstractNumId w:val="1"/>
  </w:num>
  <w:num w:numId="4" w16cid:durableId="166678067">
    <w:abstractNumId w:val="4"/>
  </w:num>
  <w:num w:numId="5" w16cid:durableId="1488398004">
    <w:abstractNumId w:val="3"/>
  </w:num>
  <w:num w:numId="6" w16cid:durableId="49152803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88B"/>
    <w:rsid w:val="00026E7F"/>
    <w:rsid w:val="00033397"/>
    <w:rsid w:val="00040095"/>
    <w:rsid w:val="000455F6"/>
    <w:rsid w:val="00051834"/>
    <w:rsid w:val="00054A22"/>
    <w:rsid w:val="00056A26"/>
    <w:rsid w:val="00062023"/>
    <w:rsid w:val="000655A6"/>
    <w:rsid w:val="00066271"/>
    <w:rsid w:val="00067931"/>
    <w:rsid w:val="00080512"/>
    <w:rsid w:val="00092D13"/>
    <w:rsid w:val="000C47C3"/>
    <w:rsid w:val="000D58AB"/>
    <w:rsid w:val="000E46AC"/>
    <w:rsid w:val="001018AF"/>
    <w:rsid w:val="00103A7F"/>
    <w:rsid w:val="00133525"/>
    <w:rsid w:val="00142FA5"/>
    <w:rsid w:val="001665B8"/>
    <w:rsid w:val="00176803"/>
    <w:rsid w:val="00195042"/>
    <w:rsid w:val="001A1951"/>
    <w:rsid w:val="001A4C42"/>
    <w:rsid w:val="001A7420"/>
    <w:rsid w:val="001B6637"/>
    <w:rsid w:val="001C21C3"/>
    <w:rsid w:val="001D02C2"/>
    <w:rsid w:val="001D0C69"/>
    <w:rsid w:val="001F0C1D"/>
    <w:rsid w:val="001F1132"/>
    <w:rsid w:val="001F168B"/>
    <w:rsid w:val="002347A2"/>
    <w:rsid w:val="002616BA"/>
    <w:rsid w:val="002675F0"/>
    <w:rsid w:val="002840A1"/>
    <w:rsid w:val="00286D09"/>
    <w:rsid w:val="00293895"/>
    <w:rsid w:val="002939B6"/>
    <w:rsid w:val="002961D8"/>
    <w:rsid w:val="002A3202"/>
    <w:rsid w:val="002B6339"/>
    <w:rsid w:val="002E00EE"/>
    <w:rsid w:val="00311CBF"/>
    <w:rsid w:val="003172DC"/>
    <w:rsid w:val="00325B7D"/>
    <w:rsid w:val="0033338C"/>
    <w:rsid w:val="00333E8A"/>
    <w:rsid w:val="00343E94"/>
    <w:rsid w:val="0035462D"/>
    <w:rsid w:val="003765B8"/>
    <w:rsid w:val="00384CDA"/>
    <w:rsid w:val="003A71A1"/>
    <w:rsid w:val="003B03D3"/>
    <w:rsid w:val="003C3971"/>
    <w:rsid w:val="003D1BCA"/>
    <w:rsid w:val="003D429A"/>
    <w:rsid w:val="00411B5B"/>
    <w:rsid w:val="00423334"/>
    <w:rsid w:val="004345EC"/>
    <w:rsid w:val="0044364B"/>
    <w:rsid w:val="00465515"/>
    <w:rsid w:val="00466615"/>
    <w:rsid w:val="004819E1"/>
    <w:rsid w:val="004A36C8"/>
    <w:rsid w:val="004D3578"/>
    <w:rsid w:val="004E213A"/>
    <w:rsid w:val="004F0988"/>
    <w:rsid w:val="004F3340"/>
    <w:rsid w:val="0051173F"/>
    <w:rsid w:val="005138D9"/>
    <w:rsid w:val="005161B1"/>
    <w:rsid w:val="0053388B"/>
    <w:rsid w:val="00535773"/>
    <w:rsid w:val="00543E6C"/>
    <w:rsid w:val="0054520A"/>
    <w:rsid w:val="00546D44"/>
    <w:rsid w:val="0056254B"/>
    <w:rsid w:val="00562A3F"/>
    <w:rsid w:val="00565087"/>
    <w:rsid w:val="00570FEB"/>
    <w:rsid w:val="0057305F"/>
    <w:rsid w:val="005841DE"/>
    <w:rsid w:val="00586E2E"/>
    <w:rsid w:val="00597B11"/>
    <w:rsid w:val="005A0C7B"/>
    <w:rsid w:val="005D2E01"/>
    <w:rsid w:val="005D7526"/>
    <w:rsid w:val="005E4BB2"/>
    <w:rsid w:val="005F0842"/>
    <w:rsid w:val="00602AEA"/>
    <w:rsid w:val="00602F17"/>
    <w:rsid w:val="00614FDF"/>
    <w:rsid w:val="00630894"/>
    <w:rsid w:val="0063543D"/>
    <w:rsid w:val="0063585B"/>
    <w:rsid w:val="00642140"/>
    <w:rsid w:val="00647114"/>
    <w:rsid w:val="006A323F"/>
    <w:rsid w:val="006A6909"/>
    <w:rsid w:val="006A6F17"/>
    <w:rsid w:val="006B30D0"/>
    <w:rsid w:val="006C1584"/>
    <w:rsid w:val="006C3D95"/>
    <w:rsid w:val="006C4FA7"/>
    <w:rsid w:val="006D38B5"/>
    <w:rsid w:val="006E02C4"/>
    <w:rsid w:val="006E5C86"/>
    <w:rsid w:val="006F5AC4"/>
    <w:rsid w:val="006F61D7"/>
    <w:rsid w:val="00701116"/>
    <w:rsid w:val="00713C44"/>
    <w:rsid w:val="00734A5B"/>
    <w:rsid w:val="0074026F"/>
    <w:rsid w:val="007429F6"/>
    <w:rsid w:val="00743C71"/>
    <w:rsid w:val="00743C79"/>
    <w:rsid w:val="00744E76"/>
    <w:rsid w:val="007612B8"/>
    <w:rsid w:val="00761C97"/>
    <w:rsid w:val="00773838"/>
    <w:rsid w:val="00774DA4"/>
    <w:rsid w:val="00780EC9"/>
    <w:rsid w:val="00781F0F"/>
    <w:rsid w:val="007B1BFC"/>
    <w:rsid w:val="007B600E"/>
    <w:rsid w:val="007D0523"/>
    <w:rsid w:val="007D70B8"/>
    <w:rsid w:val="007F0F4A"/>
    <w:rsid w:val="008028A4"/>
    <w:rsid w:val="00815856"/>
    <w:rsid w:val="00830747"/>
    <w:rsid w:val="0083684A"/>
    <w:rsid w:val="008768CA"/>
    <w:rsid w:val="00885367"/>
    <w:rsid w:val="008A6463"/>
    <w:rsid w:val="008B02D1"/>
    <w:rsid w:val="008B0987"/>
    <w:rsid w:val="008C384C"/>
    <w:rsid w:val="008D3CDB"/>
    <w:rsid w:val="008F0275"/>
    <w:rsid w:val="0090271F"/>
    <w:rsid w:val="00902E23"/>
    <w:rsid w:val="009114D7"/>
    <w:rsid w:val="0091348E"/>
    <w:rsid w:val="00917CCB"/>
    <w:rsid w:val="00921590"/>
    <w:rsid w:val="00942EC2"/>
    <w:rsid w:val="009523AF"/>
    <w:rsid w:val="00966750"/>
    <w:rsid w:val="00971234"/>
    <w:rsid w:val="00973023"/>
    <w:rsid w:val="00985EAC"/>
    <w:rsid w:val="00985F99"/>
    <w:rsid w:val="009C3E5A"/>
    <w:rsid w:val="009F37B7"/>
    <w:rsid w:val="009F4101"/>
    <w:rsid w:val="009F699B"/>
    <w:rsid w:val="00A10F02"/>
    <w:rsid w:val="00A164B4"/>
    <w:rsid w:val="00A26956"/>
    <w:rsid w:val="00A27486"/>
    <w:rsid w:val="00A434FD"/>
    <w:rsid w:val="00A5108A"/>
    <w:rsid w:val="00A53724"/>
    <w:rsid w:val="00A56066"/>
    <w:rsid w:val="00A6040C"/>
    <w:rsid w:val="00A73129"/>
    <w:rsid w:val="00A82346"/>
    <w:rsid w:val="00A92BA1"/>
    <w:rsid w:val="00AC6BC6"/>
    <w:rsid w:val="00AE29E3"/>
    <w:rsid w:val="00AE5D66"/>
    <w:rsid w:val="00AE65E2"/>
    <w:rsid w:val="00B13020"/>
    <w:rsid w:val="00B15449"/>
    <w:rsid w:val="00B31FF5"/>
    <w:rsid w:val="00B63B9A"/>
    <w:rsid w:val="00B66DD7"/>
    <w:rsid w:val="00B743EF"/>
    <w:rsid w:val="00B93086"/>
    <w:rsid w:val="00B93FB3"/>
    <w:rsid w:val="00BA19ED"/>
    <w:rsid w:val="00BA4B8D"/>
    <w:rsid w:val="00BC0F7D"/>
    <w:rsid w:val="00BD7D31"/>
    <w:rsid w:val="00BE3255"/>
    <w:rsid w:val="00BE4FE5"/>
    <w:rsid w:val="00BF128E"/>
    <w:rsid w:val="00C074DD"/>
    <w:rsid w:val="00C1496A"/>
    <w:rsid w:val="00C1624A"/>
    <w:rsid w:val="00C22415"/>
    <w:rsid w:val="00C33079"/>
    <w:rsid w:val="00C41F2A"/>
    <w:rsid w:val="00C45231"/>
    <w:rsid w:val="00C72833"/>
    <w:rsid w:val="00C80F1D"/>
    <w:rsid w:val="00C93F40"/>
    <w:rsid w:val="00CA3D0C"/>
    <w:rsid w:val="00CB0749"/>
    <w:rsid w:val="00CD2E4F"/>
    <w:rsid w:val="00D12A57"/>
    <w:rsid w:val="00D16638"/>
    <w:rsid w:val="00D415AE"/>
    <w:rsid w:val="00D53843"/>
    <w:rsid w:val="00D544DE"/>
    <w:rsid w:val="00D560A3"/>
    <w:rsid w:val="00D57972"/>
    <w:rsid w:val="00D6299F"/>
    <w:rsid w:val="00D675A9"/>
    <w:rsid w:val="00D700EE"/>
    <w:rsid w:val="00D738D6"/>
    <w:rsid w:val="00D755EB"/>
    <w:rsid w:val="00D76048"/>
    <w:rsid w:val="00D87E00"/>
    <w:rsid w:val="00D87E10"/>
    <w:rsid w:val="00D9134D"/>
    <w:rsid w:val="00DA59B9"/>
    <w:rsid w:val="00DA7A03"/>
    <w:rsid w:val="00DB11B2"/>
    <w:rsid w:val="00DB1818"/>
    <w:rsid w:val="00DC309B"/>
    <w:rsid w:val="00DC4DA2"/>
    <w:rsid w:val="00DD1329"/>
    <w:rsid w:val="00DD4C17"/>
    <w:rsid w:val="00DD74A5"/>
    <w:rsid w:val="00DE682D"/>
    <w:rsid w:val="00DE76E4"/>
    <w:rsid w:val="00DF2B1F"/>
    <w:rsid w:val="00DF62CD"/>
    <w:rsid w:val="00E16509"/>
    <w:rsid w:val="00E44582"/>
    <w:rsid w:val="00E50997"/>
    <w:rsid w:val="00E7470F"/>
    <w:rsid w:val="00E77645"/>
    <w:rsid w:val="00EA15B0"/>
    <w:rsid w:val="00EA2405"/>
    <w:rsid w:val="00EA5EA7"/>
    <w:rsid w:val="00EC3D06"/>
    <w:rsid w:val="00EC4A25"/>
    <w:rsid w:val="00F025A2"/>
    <w:rsid w:val="00F04712"/>
    <w:rsid w:val="00F13360"/>
    <w:rsid w:val="00F22EC7"/>
    <w:rsid w:val="00F314A3"/>
    <w:rsid w:val="00F325C8"/>
    <w:rsid w:val="00F653B8"/>
    <w:rsid w:val="00F76708"/>
    <w:rsid w:val="00F9008D"/>
    <w:rsid w:val="00F90D9C"/>
    <w:rsid w:val="00FA1266"/>
    <w:rsid w:val="00FB7427"/>
    <w:rsid w:val="00FC1192"/>
    <w:rsid w:val="00FC3E8F"/>
    <w:rsid w:val="00FC5F8D"/>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A345CE"/>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42140"/>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customStyle="1" w:styleId="CRCoverPage">
    <w:name w:val="CR Cover Page"/>
    <w:link w:val="CRCoverPageChar"/>
    <w:rsid w:val="00B66DD7"/>
    <w:pPr>
      <w:spacing w:after="120"/>
    </w:pPr>
    <w:rPr>
      <w:rFonts w:ascii="Arial" w:hAnsi="Arial"/>
      <w:lang w:eastAsia="en-US"/>
    </w:rPr>
  </w:style>
  <w:style w:type="character" w:customStyle="1" w:styleId="CRCoverPageChar">
    <w:name w:val="CR Cover Page Char"/>
    <w:link w:val="CRCoverPage"/>
    <w:rsid w:val="00B66DD7"/>
    <w:rPr>
      <w:rFonts w:ascii="Arial" w:hAnsi="Arial"/>
      <w:lang w:eastAsia="en-US"/>
    </w:rPr>
  </w:style>
  <w:style w:type="paragraph" w:styleId="ListParagraph">
    <w:name w:val="List Paragraph"/>
    <w:basedOn w:val="Normal"/>
    <w:uiPriority w:val="34"/>
    <w:qFormat/>
    <w:rsid w:val="005161B1"/>
    <w:pPr>
      <w:ind w:left="720"/>
      <w:contextualSpacing/>
    </w:p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5A0C7B"/>
    <w:rPr>
      <w:rFonts w:ascii="Arial" w:hAnsi="Arial"/>
      <w:sz w:val="24"/>
      <w:lang w:eastAsia="en-US"/>
    </w:rPr>
  </w:style>
  <w:style w:type="character" w:customStyle="1" w:styleId="TACChar">
    <w:name w:val="TAC Char"/>
    <w:link w:val="TAC"/>
    <w:qFormat/>
    <w:rsid w:val="005A0C7B"/>
    <w:rPr>
      <w:rFonts w:ascii="Arial" w:hAnsi="Arial"/>
      <w:sz w:val="18"/>
      <w:lang w:eastAsia="en-US"/>
    </w:rPr>
  </w:style>
  <w:style w:type="character" w:customStyle="1" w:styleId="TAHCar">
    <w:name w:val="TAH Car"/>
    <w:link w:val="TAH"/>
    <w:qFormat/>
    <w:rsid w:val="005A0C7B"/>
    <w:rPr>
      <w:rFonts w:ascii="Arial" w:hAnsi="Arial"/>
      <w:b/>
      <w:sz w:val="18"/>
      <w:lang w:eastAsia="en-US"/>
    </w:rPr>
  </w:style>
  <w:style w:type="character" w:customStyle="1" w:styleId="B1Char">
    <w:name w:val="B1 Char"/>
    <w:link w:val="B1"/>
    <w:qFormat/>
    <w:rsid w:val="005A0C7B"/>
    <w:rPr>
      <w:lang w:eastAsia="en-US"/>
    </w:rPr>
  </w:style>
  <w:style w:type="character" w:customStyle="1" w:styleId="THChar">
    <w:name w:val="TH Char"/>
    <w:link w:val="TH"/>
    <w:qFormat/>
    <w:rsid w:val="005A0C7B"/>
    <w:rPr>
      <w:rFonts w:ascii="Arial" w:hAnsi="Arial"/>
      <w:b/>
      <w:lang w:eastAsia="en-US"/>
    </w:rPr>
  </w:style>
  <w:style w:type="character" w:customStyle="1" w:styleId="TANChar">
    <w:name w:val="TAN Char"/>
    <w:link w:val="TAN"/>
    <w:qFormat/>
    <w:rsid w:val="005A0C7B"/>
    <w:rPr>
      <w:rFonts w:ascii="Arial" w:hAnsi="Arial"/>
      <w:sz w:val="18"/>
      <w:lang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761C97"/>
    <w:rPr>
      <w:rFonts w:ascii="Arial" w:hAnsi="Arial"/>
      <w:sz w:val="28"/>
      <w:lang w:eastAsia="en-US"/>
    </w:rPr>
  </w:style>
  <w:style w:type="character" w:customStyle="1" w:styleId="Heading2Char">
    <w:name w:val="Heading 2 Char"/>
    <w:basedOn w:val="DefaultParagraphFont"/>
    <w:link w:val="Heading2"/>
    <w:rsid w:val="005841DE"/>
    <w:rPr>
      <w:rFonts w:ascii="Arial" w:hAnsi="Arial"/>
      <w:sz w:val="32"/>
      <w:lang w:eastAsia="en-US"/>
    </w:rPr>
  </w:style>
  <w:style w:type="character" w:customStyle="1" w:styleId="Heading3Char">
    <w:name w:val="Heading 3 Char"/>
    <w:basedOn w:val="DefaultParagraphFont"/>
    <w:rsid w:val="005841DE"/>
    <w:rPr>
      <w:rFonts w:ascii="Arial" w:hAnsi="Arial"/>
      <w:sz w:val="28"/>
      <w:lang w:eastAsia="en-US"/>
    </w:rPr>
  </w:style>
  <w:style w:type="character" w:styleId="CommentReference">
    <w:name w:val="annotation reference"/>
    <w:basedOn w:val="DefaultParagraphFont"/>
    <w:rsid w:val="00FC3E8F"/>
    <w:rPr>
      <w:sz w:val="16"/>
      <w:szCs w:val="16"/>
    </w:rPr>
  </w:style>
  <w:style w:type="paragraph" w:styleId="CommentText">
    <w:name w:val="annotation text"/>
    <w:basedOn w:val="Normal"/>
    <w:link w:val="CommentTextChar"/>
    <w:rsid w:val="00FC3E8F"/>
  </w:style>
  <w:style w:type="character" w:customStyle="1" w:styleId="CommentTextChar">
    <w:name w:val="Comment Text Char"/>
    <w:basedOn w:val="DefaultParagraphFont"/>
    <w:link w:val="CommentText"/>
    <w:rsid w:val="00FC3E8F"/>
    <w:rPr>
      <w:lang w:eastAsia="en-US"/>
    </w:rPr>
  </w:style>
  <w:style w:type="paragraph" w:styleId="CommentSubject">
    <w:name w:val="annotation subject"/>
    <w:basedOn w:val="CommentText"/>
    <w:next w:val="CommentText"/>
    <w:link w:val="CommentSubjectChar"/>
    <w:rsid w:val="00FC3E8F"/>
    <w:rPr>
      <w:b/>
      <w:bCs/>
    </w:rPr>
  </w:style>
  <w:style w:type="character" w:customStyle="1" w:styleId="CommentSubjectChar">
    <w:name w:val="Comment Subject Char"/>
    <w:basedOn w:val="CommentTextChar"/>
    <w:link w:val="CommentSubject"/>
    <w:rsid w:val="00FC3E8F"/>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MML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4C7B061-CD6B-4426-93B7-0B7BACDBC87B}">
  <ds:schemaRefs>
    <ds:schemaRef ds:uri="http://schemas.microsoft.com/office/2006/documentManagement/types"/>
    <ds:schemaRef ds:uri="http://purl.org/dc/elements/1.1/"/>
    <ds:schemaRef ds:uri="http://www.w3.org/XML/1998/namespace"/>
    <ds:schemaRef ds:uri="http://schemas.microsoft.com/office/infopath/2007/PartnerControls"/>
    <ds:schemaRef ds:uri="http://purl.org/dc/terms/"/>
    <ds:schemaRef ds:uri="http://purl.org/dc/dcmitype/"/>
    <ds:schemaRef ds:uri="http://schemas.microsoft.com/office/2006/metadata/properties"/>
    <ds:schemaRef ds:uri="http://schemas.openxmlformats.org/package/2006/metadata/core-properties"/>
    <ds:schemaRef ds:uri="d8762117-8292-4133-b1c7-eab5c6487cfd"/>
    <ds:schemaRef ds:uri="9b239327-9e80-40e4-b1b7-4394fed77a33"/>
    <ds:schemaRef ds:uri="2f282d3b-eb4a-4b09-b61f-b9593442e286"/>
    <ds:schemaRef ds:uri="http://schemas.microsoft.com/sharepoint/v3"/>
  </ds:schemaRefs>
</ds:datastoreItem>
</file>

<file path=customXml/itemProps2.xml><?xml version="1.0" encoding="utf-8"?>
<ds:datastoreItem xmlns:ds="http://schemas.openxmlformats.org/officeDocument/2006/customXml" ds:itemID="{6D1ECAC3-39E7-4612-9B60-82DB53263E8E}">
  <ds:schemaRefs>
    <ds:schemaRef ds:uri="http://schemas.openxmlformats.org/officeDocument/2006/bibliography"/>
  </ds:schemaRefs>
</ds:datastoreItem>
</file>

<file path=customXml/itemProps3.xml><?xml version="1.0" encoding="utf-8"?>
<ds:datastoreItem xmlns:ds="http://schemas.openxmlformats.org/officeDocument/2006/customXml" ds:itemID="{4AF73A2F-0122-421A-AE2A-D1322CC191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0802D5B-2EBD-42C5-B0E5-F4704B522FB9}">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51</TotalTime>
  <Pages>3</Pages>
  <Words>993</Words>
  <Characters>5602</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6582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Magnus Larsson</cp:lastModifiedBy>
  <cp:revision>72</cp:revision>
  <cp:lastPrinted>2019-02-25T14:05:00Z</cp:lastPrinted>
  <dcterms:created xsi:type="dcterms:W3CDTF">2025-04-29T11:12:00Z</dcterms:created>
  <dcterms:modified xsi:type="dcterms:W3CDTF">2025-08-15T12:35:00Z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