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611A1" w14:textId="3CBF89D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4A4D24" w:rsidRPr="004A4D24">
        <w:rPr>
          <w:rFonts w:ascii="Arial" w:eastAsia="SimSun" w:hAnsi="Arial" w:cs="Times New Roman"/>
          <w:b/>
          <w:bCs/>
          <w:sz w:val="24"/>
          <w:szCs w:val="20"/>
          <w:lang w:eastAsia="ja-JP"/>
        </w:rPr>
        <w:t>R4-2304280</w:t>
      </w:r>
    </w:p>
    <w:p w14:paraId="6DFF2959"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70E22FB1"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04C9CF3"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62DF5AA" w14:textId="45ACFCBC" w:rsidR="00841BCD" w:rsidRPr="008B4345"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B4345">
        <w:rPr>
          <w:rFonts w:ascii="Arial" w:eastAsia="Calibri" w:hAnsi="Arial" w:cs="Arial"/>
          <w:b/>
          <w:bCs/>
          <w:sz w:val="24"/>
        </w:rPr>
        <w:t>On Mobile IAB RRM Core Requirements</w:t>
      </w:r>
    </w:p>
    <w:p w14:paraId="2C363700" w14:textId="156EB404" w:rsidR="00841BCD" w:rsidRPr="008B4345"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8B4345">
        <w:rPr>
          <w:rFonts w:ascii="Arial" w:eastAsia="MS Mincho" w:hAnsi="Arial" w:cs="Arial"/>
          <w:b/>
          <w:bCs/>
          <w:sz w:val="24"/>
          <w:szCs w:val="20"/>
        </w:rPr>
        <w:t>5.3</w:t>
      </w:r>
      <w:r w:rsidR="00FC12D3">
        <w:rPr>
          <w:rFonts w:ascii="Arial" w:eastAsia="MS Mincho" w:hAnsi="Arial" w:cs="Arial"/>
          <w:b/>
          <w:bCs/>
          <w:sz w:val="24"/>
          <w:szCs w:val="20"/>
          <w:lang w:val="en-150"/>
        </w:rPr>
        <w:t>4</w:t>
      </w:r>
      <w:r w:rsidR="008B4345">
        <w:rPr>
          <w:rFonts w:ascii="Arial" w:eastAsia="MS Mincho" w:hAnsi="Arial" w:cs="Arial"/>
          <w:b/>
          <w:bCs/>
          <w:sz w:val="24"/>
          <w:szCs w:val="20"/>
        </w:rPr>
        <w:t>.4</w:t>
      </w:r>
    </w:p>
    <w:p w14:paraId="36E8D657"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D738B31" w14:textId="77777777" w:rsidR="00E323E9" w:rsidRPr="00EF698B" w:rsidRDefault="00E323E9" w:rsidP="00841BCD">
      <w:pPr>
        <w:tabs>
          <w:tab w:val="left" w:pos="1985"/>
        </w:tabs>
        <w:rPr>
          <w:rFonts w:ascii="Arial" w:eastAsia="Calibri" w:hAnsi="Arial" w:cs="Arial"/>
          <w:b/>
          <w:bCs/>
          <w:sz w:val="24"/>
        </w:rPr>
      </w:pPr>
    </w:p>
    <w:p w14:paraId="74AFAA7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9E291AD" w14:textId="14694F21" w:rsidR="00281F40" w:rsidRDefault="001E68C7" w:rsidP="00281F40">
      <w:r>
        <w:t xml:space="preserve">At </w:t>
      </w:r>
      <w:r w:rsidR="00281F40">
        <w:t>RAN4</w:t>
      </w:r>
      <w:r>
        <w:t>#106 meeting</w:t>
      </w:r>
      <w:r w:rsidR="00281F40">
        <w:t xml:space="preserve"> </w:t>
      </w:r>
      <w:r>
        <w:t xml:space="preserve">the </w:t>
      </w:r>
      <w:r w:rsidR="00281F40">
        <w:t>initial discussion on Mobile IAB RRM</w:t>
      </w:r>
      <w:r>
        <w:t xml:space="preserve"> took place</w:t>
      </w:r>
      <w:r w:rsidR="00281F40">
        <w:t xml:space="preserve"> with following agreements</w:t>
      </w:r>
      <w:r>
        <w:t xml:space="preserve"> achieved </w:t>
      </w:r>
      <w:r w:rsidRPr="006E722D">
        <w:t>[</w:t>
      </w:r>
      <w:r w:rsidR="006E722D" w:rsidRPr="00B87A28">
        <w:rPr>
          <w:lang w:val="en-GB"/>
        </w:rPr>
        <w:t>2</w:t>
      </w:r>
      <w:r>
        <w:t>]</w:t>
      </w:r>
      <w:r w:rsidR="00281F40">
        <w:t>:</w:t>
      </w:r>
    </w:p>
    <w:p w14:paraId="33FB8B84" w14:textId="77777777" w:rsidR="00281F40" w:rsidRDefault="00281F40" w:rsidP="00281F40">
      <w:pPr>
        <w:spacing w:after="40"/>
        <w:ind w:left="360"/>
        <w:rPr>
          <w:b/>
          <w:u w:val="single"/>
        </w:rPr>
      </w:pPr>
      <w:r>
        <w:rPr>
          <w:b/>
          <w:u w:val="single"/>
        </w:rPr>
        <w:t>Issue 1-1: Scope of RRM Requirements</w:t>
      </w:r>
    </w:p>
    <w:p w14:paraId="54240F7C" w14:textId="77777777" w:rsidR="00281F40" w:rsidRDefault="00281F40" w:rsidP="00281F40">
      <w:pPr>
        <w:pStyle w:val="ListParagraph"/>
        <w:numPr>
          <w:ilvl w:val="0"/>
          <w:numId w:val="27"/>
        </w:numPr>
        <w:overflowPunct w:val="0"/>
        <w:autoSpaceDE w:val="0"/>
        <w:autoSpaceDN w:val="0"/>
        <w:adjustRightInd w:val="0"/>
        <w:spacing w:after="120" w:line="252" w:lineRule="auto"/>
        <w:ind w:left="720"/>
        <w:contextualSpacing w:val="0"/>
        <w:rPr>
          <w:lang w:eastAsia="ja-JP"/>
        </w:rPr>
      </w:pPr>
      <w:r>
        <w:rPr>
          <w:bCs/>
        </w:rPr>
        <w:t>Do not define RRM requirements for IAB-DU</w:t>
      </w:r>
    </w:p>
    <w:p w14:paraId="0672DB4C" w14:textId="77777777" w:rsidR="00281F40" w:rsidRDefault="00281F40" w:rsidP="00281F40">
      <w:pPr>
        <w:spacing w:after="40"/>
        <w:ind w:left="360"/>
        <w:rPr>
          <w:b/>
          <w:u w:val="single"/>
          <w:lang w:val="en-GB"/>
        </w:rPr>
      </w:pPr>
      <w:r>
        <w:rPr>
          <w:b/>
          <w:u w:val="single"/>
        </w:rPr>
        <w:t>Issue 1-2: Baseline for RRM Requirements</w:t>
      </w:r>
    </w:p>
    <w:p w14:paraId="7F539E84" w14:textId="77777777" w:rsidR="00281F40" w:rsidRDefault="00281F40" w:rsidP="00281F40">
      <w:pPr>
        <w:pStyle w:val="ListParagraph"/>
        <w:numPr>
          <w:ilvl w:val="0"/>
          <w:numId w:val="27"/>
        </w:numPr>
        <w:overflowPunct w:val="0"/>
        <w:autoSpaceDE w:val="0"/>
        <w:autoSpaceDN w:val="0"/>
        <w:adjustRightInd w:val="0"/>
        <w:spacing w:after="120" w:line="252" w:lineRule="auto"/>
        <w:ind w:left="720"/>
        <w:contextualSpacing w:val="0"/>
        <w:rPr>
          <w:bCs/>
        </w:rPr>
      </w:pPr>
      <w:r>
        <w:rPr>
          <w:bCs/>
        </w:rPr>
        <w:t>UE RRM Requirements which are relevant to mobile IAB-MT are taken as baseline</w:t>
      </w:r>
    </w:p>
    <w:p w14:paraId="45F518BA" w14:textId="77777777" w:rsidR="00281F40" w:rsidRDefault="00281F40" w:rsidP="00281F40">
      <w:pPr>
        <w:spacing w:after="40"/>
        <w:ind w:left="360"/>
        <w:rPr>
          <w:b/>
          <w:u w:val="single"/>
          <w:lang w:val="en-GB"/>
        </w:rPr>
      </w:pPr>
      <w:r>
        <w:rPr>
          <w:b/>
          <w:u w:val="single"/>
        </w:rPr>
        <w:t>Issue 1-3: Co-existence study impact</w:t>
      </w:r>
    </w:p>
    <w:p w14:paraId="66C26B43" w14:textId="77777777" w:rsidR="00281F40" w:rsidRDefault="00281F40" w:rsidP="00281F40">
      <w:pPr>
        <w:pStyle w:val="ListParagraph"/>
        <w:numPr>
          <w:ilvl w:val="0"/>
          <w:numId w:val="27"/>
        </w:numPr>
        <w:overflowPunct w:val="0"/>
        <w:autoSpaceDE w:val="0"/>
        <w:autoSpaceDN w:val="0"/>
        <w:adjustRightInd w:val="0"/>
        <w:spacing w:after="120" w:line="252" w:lineRule="auto"/>
        <w:ind w:left="720"/>
        <w:contextualSpacing w:val="0"/>
        <w:rPr>
          <w:bCs/>
        </w:rPr>
      </w:pPr>
      <w:r>
        <w:rPr>
          <w:bCs/>
        </w:rPr>
        <w:t>No RRM impact is expected from the adjacent channel co-existence study</w:t>
      </w:r>
    </w:p>
    <w:p w14:paraId="4B99E56C" w14:textId="77777777" w:rsidR="00281F40" w:rsidRDefault="00281F40" w:rsidP="00281F40">
      <w:pPr>
        <w:spacing w:after="40"/>
        <w:ind w:left="360"/>
        <w:rPr>
          <w:b/>
          <w:u w:val="single"/>
          <w:lang w:val="en-GB"/>
        </w:rPr>
      </w:pPr>
      <w:r>
        <w:rPr>
          <w:b/>
          <w:u w:val="single"/>
        </w:rPr>
        <w:t>Issue 1-4: Target RRM Requirements</w:t>
      </w:r>
    </w:p>
    <w:p w14:paraId="6A033247" w14:textId="77777777" w:rsidR="00281F40" w:rsidRDefault="00281F40" w:rsidP="00281F40">
      <w:pPr>
        <w:pStyle w:val="ListParagraph"/>
        <w:numPr>
          <w:ilvl w:val="0"/>
          <w:numId w:val="27"/>
        </w:numPr>
        <w:overflowPunct w:val="0"/>
        <w:autoSpaceDE w:val="0"/>
        <w:autoSpaceDN w:val="0"/>
        <w:adjustRightInd w:val="0"/>
        <w:spacing w:after="40" w:line="252" w:lineRule="auto"/>
        <w:ind w:left="720" w:hanging="357"/>
        <w:contextualSpacing w:val="0"/>
        <w:rPr>
          <w:bCs/>
        </w:rPr>
      </w:pPr>
      <w:r>
        <w:rPr>
          <w:bCs/>
        </w:rPr>
        <w:t>Following requirements should be investigated and specified, if needed:</w:t>
      </w:r>
    </w:p>
    <w:p w14:paraId="17ACCA07" w14:textId="77777777" w:rsidR="00281F40" w:rsidRDefault="00281F40" w:rsidP="00281F40">
      <w:pPr>
        <w:pStyle w:val="ListParagraph"/>
        <w:numPr>
          <w:ilvl w:val="1"/>
          <w:numId w:val="27"/>
        </w:numPr>
        <w:overflowPunct w:val="0"/>
        <w:autoSpaceDE w:val="0"/>
        <w:autoSpaceDN w:val="0"/>
        <w:adjustRightInd w:val="0"/>
        <w:spacing w:after="40" w:line="252" w:lineRule="auto"/>
        <w:ind w:left="1440" w:hanging="357"/>
        <w:contextualSpacing w:val="0"/>
        <w:rPr>
          <w:bCs/>
        </w:rPr>
      </w:pPr>
      <w:r>
        <w:rPr>
          <w:bCs/>
        </w:rPr>
        <w:t>RRC_CONNECTED state mobility</w:t>
      </w:r>
    </w:p>
    <w:p w14:paraId="5ACF2829" w14:textId="77777777" w:rsidR="00281F40" w:rsidRDefault="00281F40" w:rsidP="00281F40">
      <w:pPr>
        <w:pStyle w:val="ListParagraph"/>
        <w:numPr>
          <w:ilvl w:val="2"/>
          <w:numId w:val="27"/>
        </w:numPr>
        <w:overflowPunct w:val="0"/>
        <w:autoSpaceDE w:val="0"/>
        <w:autoSpaceDN w:val="0"/>
        <w:adjustRightInd w:val="0"/>
        <w:spacing w:after="40" w:line="252" w:lineRule="auto"/>
        <w:ind w:left="2160" w:hanging="357"/>
        <w:contextualSpacing w:val="0"/>
        <w:rPr>
          <w:bCs/>
        </w:rPr>
      </w:pPr>
      <w:r>
        <w:rPr>
          <w:bCs/>
        </w:rPr>
        <w:t>Handover requirements</w:t>
      </w:r>
    </w:p>
    <w:p w14:paraId="5844A0E2" w14:textId="77777777" w:rsidR="00281F40" w:rsidRDefault="00281F40" w:rsidP="00281F40">
      <w:pPr>
        <w:pStyle w:val="ListParagraph"/>
        <w:numPr>
          <w:ilvl w:val="1"/>
          <w:numId w:val="27"/>
        </w:numPr>
        <w:overflowPunct w:val="0"/>
        <w:autoSpaceDE w:val="0"/>
        <w:autoSpaceDN w:val="0"/>
        <w:adjustRightInd w:val="0"/>
        <w:spacing w:after="40" w:line="252" w:lineRule="auto"/>
        <w:ind w:left="1440" w:hanging="357"/>
        <w:contextualSpacing w:val="0"/>
        <w:rPr>
          <w:bCs/>
        </w:rPr>
      </w:pPr>
      <w:r>
        <w:rPr>
          <w:bCs/>
        </w:rPr>
        <w:t>Signaling characteristics</w:t>
      </w:r>
    </w:p>
    <w:p w14:paraId="5BDCDED5" w14:textId="77777777" w:rsidR="00281F40" w:rsidRDefault="00281F40" w:rsidP="00281F40">
      <w:pPr>
        <w:pStyle w:val="ListParagraph"/>
        <w:numPr>
          <w:ilvl w:val="2"/>
          <w:numId w:val="27"/>
        </w:numPr>
        <w:overflowPunct w:val="0"/>
        <w:autoSpaceDE w:val="0"/>
        <w:autoSpaceDN w:val="0"/>
        <w:adjustRightInd w:val="0"/>
        <w:spacing w:after="40" w:line="252" w:lineRule="auto"/>
        <w:ind w:left="2160" w:hanging="357"/>
        <w:contextualSpacing w:val="0"/>
        <w:rPr>
          <w:bCs/>
        </w:rPr>
      </w:pPr>
      <w:r>
        <w:rPr>
          <w:bCs/>
        </w:rPr>
        <w:t>TCI state switching delays</w:t>
      </w:r>
    </w:p>
    <w:p w14:paraId="435D7E53" w14:textId="77777777" w:rsidR="00281F40" w:rsidRDefault="00281F40" w:rsidP="00281F40">
      <w:pPr>
        <w:pStyle w:val="ListParagraph"/>
        <w:numPr>
          <w:ilvl w:val="1"/>
          <w:numId w:val="27"/>
        </w:numPr>
        <w:overflowPunct w:val="0"/>
        <w:autoSpaceDE w:val="0"/>
        <w:autoSpaceDN w:val="0"/>
        <w:adjustRightInd w:val="0"/>
        <w:spacing w:after="40" w:line="252" w:lineRule="auto"/>
        <w:ind w:left="1440" w:hanging="357"/>
        <w:contextualSpacing w:val="0"/>
        <w:rPr>
          <w:bCs/>
        </w:rPr>
      </w:pPr>
      <w:r>
        <w:rPr>
          <w:bCs/>
        </w:rPr>
        <w:t>Measurement Procedures</w:t>
      </w:r>
    </w:p>
    <w:p w14:paraId="74C41409" w14:textId="77777777" w:rsidR="00281F40" w:rsidRDefault="00281F40" w:rsidP="00281F40">
      <w:pPr>
        <w:pStyle w:val="ListParagraph"/>
        <w:numPr>
          <w:ilvl w:val="2"/>
          <w:numId w:val="27"/>
        </w:numPr>
        <w:overflowPunct w:val="0"/>
        <w:autoSpaceDE w:val="0"/>
        <w:autoSpaceDN w:val="0"/>
        <w:adjustRightInd w:val="0"/>
        <w:spacing w:after="40" w:line="252" w:lineRule="auto"/>
        <w:ind w:left="2160" w:hanging="357"/>
        <w:contextualSpacing w:val="0"/>
        <w:rPr>
          <w:bCs/>
        </w:rPr>
      </w:pPr>
      <w:r>
        <w:rPr>
          <w:bCs/>
        </w:rPr>
        <w:t>Intra-frequency measurements for L3 mobility</w:t>
      </w:r>
    </w:p>
    <w:p w14:paraId="21418DF7" w14:textId="77777777" w:rsidR="00281F40" w:rsidRDefault="00281F40" w:rsidP="00281F40">
      <w:pPr>
        <w:pStyle w:val="ListParagraph"/>
        <w:numPr>
          <w:ilvl w:val="2"/>
          <w:numId w:val="27"/>
        </w:numPr>
        <w:overflowPunct w:val="0"/>
        <w:autoSpaceDE w:val="0"/>
        <w:autoSpaceDN w:val="0"/>
        <w:adjustRightInd w:val="0"/>
        <w:spacing w:after="40" w:line="252" w:lineRule="auto"/>
        <w:ind w:left="2160" w:hanging="357"/>
        <w:contextualSpacing w:val="0"/>
        <w:rPr>
          <w:bCs/>
        </w:rPr>
      </w:pPr>
      <w:r>
        <w:rPr>
          <w:bCs/>
        </w:rPr>
        <w:t>L1-RSRP measurements for beam management</w:t>
      </w:r>
    </w:p>
    <w:p w14:paraId="6AEFF766" w14:textId="77777777" w:rsidR="00281F40" w:rsidRDefault="00281F40" w:rsidP="00281F40">
      <w:pPr>
        <w:pStyle w:val="ListParagraph"/>
        <w:numPr>
          <w:ilvl w:val="1"/>
          <w:numId w:val="27"/>
        </w:numPr>
        <w:overflowPunct w:val="0"/>
        <w:autoSpaceDE w:val="0"/>
        <w:autoSpaceDN w:val="0"/>
        <w:adjustRightInd w:val="0"/>
        <w:spacing w:after="40" w:line="252" w:lineRule="auto"/>
        <w:ind w:left="1440" w:hanging="357"/>
        <w:contextualSpacing w:val="0"/>
        <w:rPr>
          <w:bCs/>
        </w:rPr>
      </w:pPr>
      <w:r>
        <w:rPr>
          <w:bCs/>
        </w:rPr>
        <w:t>FFS on inter-frequency measurements</w:t>
      </w:r>
    </w:p>
    <w:p w14:paraId="12F2E683" w14:textId="77777777" w:rsidR="00281F40" w:rsidRDefault="00281F40" w:rsidP="00281F40">
      <w:pPr>
        <w:pStyle w:val="ListParagraph"/>
        <w:numPr>
          <w:ilvl w:val="1"/>
          <w:numId w:val="27"/>
        </w:numPr>
        <w:overflowPunct w:val="0"/>
        <w:autoSpaceDE w:val="0"/>
        <w:autoSpaceDN w:val="0"/>
        <w:adjustRightInd w:val="0"/>
        <w:spacing w:after="40" w:line="252" w:lineRule="auto"/>
        <w:ind w:left="1440" w:hanging="357"/>
        <w:contextualSpacing w:val="0"/>
        <w:rPr>
          <w:bCs/>
        </w:rPr>
      </w:pPr>
      <w:r>
        <w:rPr>
          <w:bCs/>
        </w:rPr>
        <w:t>FFS on BWP switching delay</w:t>
      </w:r>
    </w:p>
    <w:p w14:paraId="0B81FD25" w14:textId="77777777" w:rsidR="00281F40" w:rsidRDefault="00281F40" w:rsidP="00281F40">
      <w:pPr>
        <w:pStyle w:val="ListParagraph"/>
        <w:numPr>
          <w:ilvl w:val="1"/>
          <w:numId w:val="27"/>
        </w:numPr>
        <w:overflowPunct w:val="0"/>
        <w:autoSpaceDE w:val="0"/>
        <w:autoSpaceDN w:val="0"/>
        <w:adjustRightInd w:val="0"/>
        <w:spacing w:after="120" w:line="252" w:lineRule="auto"/>
        <w:ind w:left="1440"/>
        <w:contextualSpacing w:val="0"/>
        <w:rPr>
          <w:bCs/>
        </w:rPr>
      </w:pPr>
      <w:r>
        <w:rPr>
          <w:bCs/>
        </w:rPr>
        <w:t>FFS whether to include additional requirements or adjust any of existing requirements</w:t>
      </w:r>
    </w:p>
    <w:p w14:paraId="14D927D8" w14:textId="77777777" w:rsidR="00281F40" w:rsidRDefault="00281F40" w:rsidP="00281F40">
      <w:pPr>
        <w:spacing w:after="40"/>
        <w:ind w:left="360"/>
        <w:rPr>
          <w:b/>
          <w:u w:val="single"/>
          <w:lang w:val="en-GB"/>
        </w:rPr>
      </w:pPr>
      <w:r>
        <w:rPr>
          <w:b/>
          <w:u w:val="single"/>
        </w:rPr>
        <w:t>Issue 1-5: Timing requirements impact</w:t>
      </w:r>
    </w:p>
    <w:p w14:paraId="69DA542C" w14:textId="77777777" w:rsidR="00281F40" w:rsidRDefault="00281F40" w:rsidP="00281F40">
      <w:pPr>
        <w:pStyle w:val="ListParagraph"/>
        <w:numPr>
          <w:ilvl w:val="0"/>
          <w:numId w:val="28"/>
        </w:numPr>
        <w:spacing w:after="40" w:line="240" w:lineRule="auto"/>
        <w:ind w:left="720" w:hanging="357"/>
        <w:contextualSpacing w:val="0"/>
      </w:pPr>
      <w:r>
        <w:t xml:space="preserve">Do not define additional timing requirements for mobile IAB. </w:t>
      </w:r>
    </w:p>
    <w:p w14:paraId="77DBF97E" w14:textId="77777777" w:rsidR="00281F40" w:rsidRDefault="00281F40" w:rsidP="00281F40">
      <w:pPr>
        <w:pStyle w:val="ListParagraph"/>
        <w:numPr>
          <w:ilvl w:val="1"/>
          <w:numId w:val="28"/>
        </w:numPr>
        <w:spacing w:after="40" w:line="240" w:lineRule="auto"/>
        <w:ind w:left="1440" w:hanging="357"/>
        <w:contextualSpacing w:val="0"/>
      </w:pPr>
      <w:r>
        <w:t>Timing requirements include initial timing error, autonomous timing adjustment and timing advance</w:t>
      </w:r>
    </w:p>
    <w:p w14:paraId="4CFF4AFD" w14:textId="77777777" w:rsidR="00281F40" w:rsidRDefault="00281F40" w:rsidP="00281F40">
      <w:pPr>
        <w:pStyle w:val="ListParagraph"/>
        <w:numPr>
          <w:ilvl w:val="1"/>
          <w:numId w:val="28"/>
        </w:numPr>
        <w:spacing w:after="40" w:line="240" w:lineRule="auto"/>
        <w:ind w:left="1440" w:hanging="357"/>
        <w:contextualSpacing w:val="0"/>
      </w:pPr>
      <w:r>
        <w:t>Note: the agreement applies for non-HST scenarios</w:t>
      </w:r>
    </w:p>
    <w:p w14:paraId="78EC9B42" w14:textId="77777777" w:rsidR="00281F40" w:rsidRDefault="00281F40" w:rsidP="00281F40">
      <w:pPr>
        <w:pStyle w:val="ListParagraph"/>
        <w:numPr>
          <w:ilvl w:val="0"/>
          <w:numId w:val="28"/>
        </w:numPr>
        <w:spacing w:after="120" w:line="240" w:lineRule="auto"/>
        <w:ind w:left="720"/>
        <w:contextualSpacing w:val="0"/>
      </w:pPr>
      <w:r>
        <w:t>FFS if HST scenario is in the scope of mobile IAB WI scope</w:t>
      </w:r>
    </w:p>
    <w:p w14:paraId="280D1A87" w14:textId="77777777" w:rsidR="00281F40" w:rsidRDefault="00281F40" w:rsidP="00281F40">
      <w:pPr>
        <w:spacing w:after="40"/>
        <w:ind w:left="360"/>
        <w:rPr>
          <w:b/>
          <w:u w:val="single"/>
          <w:lang w:val="en-GB"/>
        </w:rPr>
      </w:pPr>
      <w:r>
        <w:rPr>
          <w:b/>
          <w:u w:val="single"/>
        </w:rPr>
        <w:t>Issue 1-7: Idle mode requirements for mobile IAB-MT</w:t>
      </w:r>
    </w:p>
    <w:p w14:paraId="19BF8815" w14:textId="77777777" w:rsidR="00281F40" w:rsidRDefault="00281F40" w:rsidP="00281F40">
      <w:pPr>
        <w:pStyle w:val="ListParagraph"/>
        <w:numPr>
          <w:ilvl w:val="0"/>
          <w:numId w:val="28"/>
        </w:numPr>
        <w:spacing w:after="120" w:line="240" w:lineRule="auto"/>
        <w:ind w:left="720"/>
        <w:contextualSpacing w:val="0"/>
      </w:pPr>
      <w:r>
        <w:t>Do not introduce idle mode requirements</w:t>
      </w:r>
    </w:p>
    <w:p w14:paraId="63D45BB4" w14:textId="77777777" w:rsidR="00281F40" w:rsidRDefault="00281F40" w:rsidP="00281F40">
      <w:pPr>
        <w:spacing w:after="120" w:line="240" w:lineRule="auto"/>
      </w:pPr>
    </w:p>
    <w:p w14:paraId="64CEEC91" w14:textId="77777777" w:rsidR="00281F40" w:rsidRDefault="00281F40" w:rsidP="00281F40">
      <w:r>
        <w:t>In this paper we elaborate further potential RRM requirements with the focus on identified open items particularly related to Issue 1-4.</w:t>
      </w:r>
    </w:p>
    <w:p w14:paraId="3AD08455" w14:textId="77777777" w:rsidR="0060543D" w:rsidRPr="00EF698B" w:rsidRDefault="0060543D" w:rsidP="005C23A4"/>
    <w:p w14:paraId="6C717E81" w14:textId="77777777" w:rsidR="003B659E" w:rsidRPr="00EF698B" w:rsidRDefault="003B659E" w:rsidP="00AE56B1">
      <w:pPr>
        <w:pStyle w:val="RAN4H1"/>
        <w:rPr>
          <w:lang w:val="en-US"/>
        </w:rPr>
      </w:pPr>
      <w:bookmarkStart w:id="4" w:name="_Toc116995842"/>
      <w:r w:rsidRPr="00EF698B">
        <w:rPr>
          <w:lang w:val="en-US"/>
        </w:rPr>
        <w:lastRenderedPageBreak/>
        <w:t>Discussion</w:t>
      </w:r>
      <w:bookmarkEnd w:id="4"/>
    </w:p>
    <w:p w14:paraId="0A7D2A87" w14:textId="77777777" w:rsidR="006F4B3F" w:rsidRDefault="006F4B3F" w:rsidP="006F4B3F">
      <w:pPr>
        <w:pStyle w:val="RAN4H2"/>
      </w:pPr>
      <w:r>
        <w:t>Connected state mobility</w:t>
      </w:r>
    </w:p>
    <w:p w14:paraId="7ED53E3A" w14:textId="48013E20" w:rsidR="006F4B3F" w:rsidRDefault="006F4B3F" w:rsidP="006F4B3F">
      <w:r w:rsidRPr="003B65F8">
        <w:rPr>
          <w:u w:val="single"/>
        </w:rPr>
        <w:t>Handover:</w:t>
      </w:r>
      <w:r>
        <w:t xml:space="preserve"> The requirements (HO delay, interruption time) for normal </w:t>
      </w:r>
      <w:r w:rsidR="00EC20E1">
        <w:t xml:space="preserve">UE HO </w:t>
      </w:r>
      <w:r>
        <w:t xml:space="preserve">can apply for the mobile IAB-MT. DAPS HO is not supported for the BH connection and hence shall be excluded. CHO is left for implementation and is not mandated as IAB capability. Dual connectivity for the mobile IAB BH link is not supported and therefore </w:t>
      </w:r>
      <w:proofErr w:type="spellStart"/>
      <w:r>
        <w:t>PSCell</w:t>
      </w:r>
      <w:proofErr w:type="spellEnd"/>
      <w:r>
        <w:t xml:space="preserve"> change is not applicable.</w:t>
      </w:r>
    </w:p>
    <w:p w14:paraId="55C13852" w14:textId="6D46767C" w:rsidR="006F4B3F" w:rsidRDefault="006F4B3F" w:rsidP="00531B99">
      <w:pPr>
        <w:pStyle w:val="RAN4observation0"/>
      </w:pPr>
      <w:r>
        <w:t>Only normal handover is relevant and mandatory to be supported by the mobile IAB-node.</w:t>
      </w:r>
    </w:p>
    <w:p w14:paraId="709A885D" w14:textId="6609E5F3" w:rsidR="006F4B3F" w:rsidRPr="003B65F8" w:rsidRDefault="006F4B3F" w:rsidP="00531B99">
      <w:pPr>
        <w:pStyle w:val="RAN4proposal"/>
      </w:pPr>
      <w:r w:rsidRPr="003B65F8">
        <w:t>Handover requirements for basic HO shall be applicable for the mobile IAB-node.</w:t>
      </w:r>
    </w:p>
    <w:p w14:paraId="53E8C65C" w14:textId="77777777" w:rsidR="00531B99" w:rsidRDefault="00531B99" w:rsidP="006F4B3F">
      <w:pPr>
        <w:rPr>
          <w:u w:val="single"/>
        </w:rPr>
      </w:pPr>
    </w:p>
    <w:p w14:paraId="736E4B2C" w14:textId="5BF7FE6F" w:rsidR="006F4B3F" w:rsidRDefault="006F4B3F" w:rsidP="006F4B3F">
      <w:r w:rsidRPr="006802D7">
        <w:rPr>
          <w:u w:val="single"/>
        </w:rPr>
        <w:t>RRC re-establishment:</w:t>
      </w:r>
      <w:r>
        <w:t xml:space="preserve"> Mobile IAB shall be capable</w:t>
      </w:r>
      <w:r w:rsidR="003D45E1">
        <w:t xml:space="preserve"> of</w:t>
      </w:r>
      <w:r>
        <w:t xml:space="preserve"> handling the failure cases the same way as UE. A loss of the BH connection shall trigger re-establishment attempt. Requirements specified for UE for the re-establishment are applicable for the mobile IAB-node.</w:t>
      </w:r>
    </w:p>
    <w:p w14:paraId="6946CCB2" w14:textId="20C8E832" w:rsidR="006F4B3F" w:rsidRPr="006802D7" w:rsidRDefault="006F4B3F" w:rsidP="00531B99">
      <w:pPr>
        <w:pStyle w:val="RAN4proposal"/>
      </w:pPr>
      <w:r w:rsidRPr="006802D7">
        <w:t>UE requirements for re-establishment are applicable for the mobile IAB-node.</w:t>
      </w:r>
    </w:p>
    <w:p w14:paraId="5DAB2BBA" w14:textId="77777777" w:rsidR="00531B99" w:rsidRDefault="00531B99" w:rsidP="006F4B3F">
      <w:pPr>
        <w:rPr>
          <w:u w:val="single"/>
        </w:rPr>
      </w:pPr>
    </w:p>
    <w:p w14:paraId="5C27B04A" w14:textId="5BFC211D" w:rsidR="006F4B3F" w:rsidRDefault="006F4B3F" w:rsidP="006F4B3F">
      <w:r w:rsidRPr="00130D25">
        <w:rPr>
          <w:u w:val="single"/>
        </w:rPr>
        <w:t>Connection setup release with re-direction</w:t>
      </w:r>
      <w:r>
        <w:t xml:space="preserve">: IAB-node is assumed to be active and hence in RRC </w:t>
      </w:r>
      <w:r w:rsidR="00293032">
        <w:t xml:space="preserve">CONNECTED </w:t>
      </w:r>
      <w:r>
        <w:t xml:space="preserve">state. When any failure in the connection, it initiates the attempt to re-establish the connection. There has not been discussion on potential scenarios where the network would release the connection and move the mobile IAB(-MT) into </w:t>
      </w:r>
      <w:r w:rsidR="00531B99">
        <w:rPr>
          <w:lang w:val="en-150"/>
        </w:rPr>
        <w:t>IDLE</w:t>
      </w:r>
      <w:r>
        <w:t>.</w:t>
      </w:r>
      <w:r w:rsidR="006767C5">
        <w:t xml:space="preserve"> The need for connection release with re-direction is </w:t>
      </w:r>
      <w:r w:rsidR="00545817">
        <w:t xml:space="preserve">up to RAN2 to discuss and agree. If the </w:t>
      </w:r>
      <w:r w:rsidR="007A6314">
        <w:t>feature is not mandated, no related requirements apply.</w:t>
      </w:r>
    </w:p>
    <w:p w14:paraId="79A2E8BC" w14:textId="31729872" w:rsidR="006F4B3F" w:rsidRPr="00DF41B3" w:rsidRDefault="69904C4E" w:rsidP="00531B99">
      <w:pPr>
        <w:pStyle w:val="RAN4proposal"/>
      </w:pPr>
      <w:r w:rsidRPr="60CBB092">
        <w:t xml:space="preserve">No requirements for </w:t>
      </w:r>
      <w:r w:rsidR="7DBAED73" w:rsidRPr="60CBB092">
        <w:t>c</w:t>
      </w:r>
      <w:r w:rsidR="00B90EDE" w:rsidRPr="60CBB092">
        <w:t xml:space="preserve">onnection setup release with re-direction </w:t>
      </w:r>
      <w:r w:rsidR="00531B99">
        <w:rPr>
          <w:lang w:val="en-150"/>
        </w:rPr>
        <w:t xml:space="preserve">are needed </w:t>
      </w:r>
      <w:r w:rsidR="34E875F4" w:rsidRPr="60CBB092">
        <w:t>unless requested by other RAN WGs</w:t>
      </w:r>
      <w:r w:rsidR="003B5530" w:rsidRPr="60CBB092">
        <w:t>.</w:t>
      </w:r>
    </w:p>
    <w:p w14:paraId="75DB830C" w14:textId="77777777" w:rsidR="006F4B3F" w:rsidRDefault="006F4B3F" w:rsidP="006F4B3F"/>
    <w:p w14:paraId="6723BF43" w14:textId="2A713F4D" w:rsidR="007E2C44" w:rsidRPr="003906AD" w:rsidRDefault="00FF5FE6" w:rsidP="006F4B3F">
      <w:pPr>
        <w:pStyle w:val="RAN4H2"/>
      </w:pPr>
      <w:r w:rsidRPr="003906AD">
        <w:t xml:space="preserve">Radio </w:t>
      </w:r>
      <w:r w:rsidR="003B301F" w:rsidRPr="003906AD">
        <w:t>link monitoring</w:t>
      </w:r>
    </w:p>
    <w:p w14:paraId="2D78C461" w14:textId="5BA26262" w:rsidR="00842862" w:rsidRDefault="00B428F1">
      <w:pPr>
        <w:pStyle w:val="CommentText"/>
        <w:rPr>
          <w:lang w:val="en-GB"/>
        </w:rPr>
      </w:pPr>
      <w:r w:rsidRPr="00B87A28">
        <w:rPr>
          <w:lang w:val="en-GB"/>
        </w:rPr>
        <w:t xml:space="preserve">To maintain </w:t>
      </w:r>
      <w:r w:rsidR="00F76594" w:rsidRPr="00B87A28">
        <w:rPr>
          <w:lang w:val="en-GB"/>
        </w:rPr>
        <w:t>the connection q</w:t>
      </w:r>
      <w:r w:rsidR="00F76594">
        <w:rPr>
          <w:lang w:val="en-GB"/>
        </w:rPr>
        <w:t>uality</w:t>
      </w:r>
      <w:r w:rsidR="00DC491E">
        <w:rPr>
          <w:lang w:val="en-GB"/>
        </w:rPr>
        <w:t xml:space="preserve"> on the BH link</w:t>
      </w:r>
      <w:r w:rsidR="00BB4EDD">
        <w:rPr>
          <w:lang w:val="en-GB"/>
        </w:rPr>
        <w:t>, radio link monitoring</w:t>
      </w:r>
      <w:r w:rsidR="006D08E7">
        <w:rPr>
          <w:lang w:val="en-GB"/>
        </w:rPr>
        <w:t xml:space="preserve"> </w:t>
      </w:r>
      <w:r w:rsidR="0030692F">
        <w:rPr>
          <w:lang w:val="en-GB"/>
        </w:rPr>
        <w:t xml:space="preserve">should be performed. </w:t>
      </w:r>
      <w:r w:rsidR="0006358D">
        <w:rPr>
          <w:lang w:val="en-GB"/>
        </w:rPr>
        <w:t xml:space="preserve">Relevant </w:t>
      </w:r>
      <w:r w:rsidR="0016128A">
        <w:rPr>
          <w:lang w:val="en-GB"/>
        </w:rPr>
        <w:t xml:space="preserve">requirements for </w:t>
      </w:r>
      <w:r w:rsidR="00213CD7">
        <w:rPr>
          <w:lang w:val="en-GB"/>
        </w:rPr>
        <w:t xml:space="preserve">mobile IAB </w:t>
      </w:r>
      <w:proofErr w:type="gramStart"/>
      <w:r w:rsidR="00DD7314">
        <w:rPr>
          <w:lang w:val="en-GB"/>
        </w:rPr>
        <w:t>is</w:t>
      </w:r>
      <w:proofErr w:type="gramEnd"/>
      <w:r w:rsidR="00DD7314">
        <w:rPr>
          <w:lang w:val="en-GB"/>
        </w:rPr>
        <w:t xml:space="preserve"> at least </w:t>
      </w:r>
      <w:r w:rsidR="00E4787E">
        <w:rPr>
          <w:lang w:val="en-GB"/>
        </w:rPr>
        <w:t>SS</w:t>
      </w:r>
      <w:r w:rsidR="00792C98">
        <w:rPr>
          <w:lang w:val="en-GB"/>
        </w:rPr>
        <w:t>B</w:t>
      </w:r>
      <w:r w:rsidR="00DD7314">
        <w:rPr>
          <w:lang w:val="en-GB"/>
        </w:rPr>
        <w:t xml:space="preserve"> based </w:t>
      </w:r>
      <w:r w:rsidR="004A3CD1">
        <w:rPr>
          <w:lang w:val="en-GB"/>
        </w:rPr>
        <w:t xml:space="preserve">and </w:t>
      </w:r>
      <w:r w:rsidR="00F92E36">
        <w:rPr>
          <w:lang w:val="en-GB"/>
        </w:rPr>
        <w:t>CSI-RS based monitoring</w:t>
      </w:r>
      <w:r w:rsidR="00DD7314">
        <w:rPr>
          <w:lang w:val="en-GB"/>
        </w:rPr>
        <w:t xml:space="preserve">. </w:t>
      </w:r>
      <w:r w:rsidR="00232B23">
        <w:rPr>
          <w:lang w:val="en-GB"/>
        </w:rPr>
        <w:t xml:space="preserve">For </w:t>
      </w:r>
      <w:r w:rsidR="003D32D3">
        <w:rPr>
          <w:lang w:val="en-GB"/>
        </w:rPr>
        <w:t xml:space="preserve">the </w:t>
      </w:r>
      <w:r w:rsidR="00232B23">
        <w:rPr>
          <w:lang w:val="en-GB"/>
        </w:rPr>
        <w:t xml:space="preserve">failure detection </w:t>
      </w:r>
      <w:r w:rsidR="007D529D">
        <w:rPr>
          <w:lang w:val="en-GB"/>
        </w:rPr>
        <w:t>(and consequent actions for failure recovery)</w:t>
      </w:r>
      <w:r w:rsidR="003F4F28">
        <w:rPr>
          <w:lang w:val="en-GB"/>
        </w:rPr>
        <w:t xml:space="preserve">, </w:t>
      </w:r>
      <w:r w:rsidR="004C7851">
        <w:rPr>
          <w:lang w:val="en-GB"/>
        </w:rPr>
        <w:t>L1 out-of-sync indication</w:t>
      </w:r>
      <w:r w:rsidR="006E6584">
        <w:rPr>
          <w:lang w:val="en-GB"/>
        </w:rPr>
        <w:t>s</w:t>
      </w:r>
      <w:r w:rsidR="004C7851">
        <w:rPr>
          <w:lang w:val="en-GB"/>
        </w:rPr>
        <w:t xml:space="preserve"> </w:t>
      </w:r>
      <w:r w:rsidR="00175E3B">
        <w:rPr>
          <w:lang w:val="en-GB"/>
        </w:rPr>
        <w:t xml:space="preserve">should obviously </w:t>
      </w:r>
      <w:r w:rsidR="00407675">
        <w:rPr>
          <w:lang w:val="en-GB"/>
        </w:rPr>
        <w:t xml:space="preserve">be </w:t>
      </w:r>
      <w:r w:rsidR="00117C1F">
        <w:rPr>
          <w:lang w:val="en-GB"/>
        </w:rPr>
        <w:t>p</w:t>
      </w:r>
      <w:r w:rsidR="00C31283">
        <w:rPr>
          <w:lang w:val="en-GB"/>
        </w:rPr>
        <w:t xml:space="preserve">roperly sent to higher layers. Hence, requirements for L1 indication seem relevant for </w:t>
      </w:r>
      <w:r w:rsidR="00B82731">
        <w:rPr>
          <w:lang w:val="en-GB"/>
        </w:rPr>
        <w:t>mobile IAB.</w:t>
      </w:r>
    </w:p>
    <w:p w14:paraId="36D5DFC8" w14:textId="75713F1D" w:rsidR="00B82731" w:rsidRPr="00B87A28" w:rsidRDefault="000C5069" w:rsidP="00531B99">
      <w:pPr>
        <w:pStyle w:val="RAN4proposal"/>
        <w:rPr>
          <w:lang w:val="en-GB"/>
        </w:rPr>
      </w:pPr>
      <w:r w:rsidRPr="00B87A28">
        <w:rPr>
          <w:lang w:val="en-GB"/>
        </w:rPr>
        <w:t xml:space="preserve">For radio link monitoring, RAN4 </w:t>
      </w:r>
      <w:r w:rsidR="00AD24B3" w:rsidRPr="00B87A28">
        <w:rPr>
          <w:lang w:val="en-GB"/>
        </w:rPr>
        <w:t xml:space="preserve">should discuss </w:t>
      </w:r>
      <w:r w:rsidR="00311F56" w:rsidRPr="00B87A28">
        <w:rPr>
          <w:lang w:val="en-GB"/>
        </w:rPr>
        <w:t>relevance of at least SSB and CSI-RS based RLM a</w:t>
      </w:r>
      <w:r w:rsidR="00B25125" w:rsidRPr="00B87A28">
        <w:rPr>
          <w:lang w:val="en-GB"/>
        </w:rPr>
        <w:t>s well as L1 indication</w:t>
      </w:r>
      <w:r w:rsidR="00B25125" w:rsidRPr="00B25125">
        <w:rPr>
          <w:lang w:val="en-GB"/>
        </w:rPr>
        <w:t>.</w:t>
      </w:r>
    </w:p>
    <w:p w14:paraId="4E52F323" w14:textId="66D2B0FB" w:rsidR="00CF7408" w:rsidRDefault="00CF7408" w:rsidP="00CF7408"/>
    <w:p w14:paraId="2D387D48" w14:textId="059A6CC9" w:rsidR="00611350" w:rsidRDefault="00022088" w:rsidP="00611350">
      <w:pPr>
        <w:pStyle w:val="RAN4H2"/>
      </w:pPr>
      <w:r>
        <w:rPr>
          <w:lang w:val="fi-FI"/>
        </w:rPr>
        <w:t xml:space="preserve">TCI </w:t>
      </w:r>
      <w:r w:rsidRPr="003906AD">
        <w:t>state switching delay</w:t>
      </w:r>
    </w:p>
    <w:p w14:paraId="1CC02E37" w14:textId="5FD8E78C" w:rsidR="00CF7408" w:rsidRDefault="00E843D7" w:rsidP="00CF7408">
      <w:pPr>
        <w:rPr>
          <w:lang w:val="en-GB"/>
        </w:rPr>
      </w:pPr>
      <w:r>
        <w:rPr>
          <w:lang w:val="en-GB"/>
        </w:rPr>
        <w:t xml:space="preserve">To achieve adequate </w:t>
      </w:r>
      <w:r w:rsidR="0069068A" w:rsidRPr="00B87A28">
        <w:rPr>
          <w:lang w:val="en-GB"/>
        </w:rPr>
        <w:t>performance of t</w:t>
      </w:r>
      <w:r w:rsidR="0069068A">
        <w:rPr>
          <w:lang w:val="en-GB"/>
        </w:rPr>
        <w:t xml:space="preserve">he BH link, </w:t>
      </w:r>
      <w:r w:rsidR="00F73827">
        <w:rPr>
          <w:lang w:val="en-GB"/>
        </w:rPr>
        <w:t xml:space="preserve">also </w:t>
      </w:r>
      <w:r w:rsidR="0069068A">
        <w:rPr>
          <w:lang w:val="en-GB"/>
        </w:rPr>
        <w:t>T</w:t>
      </w:r>
      <w:r w:rsidR="00D6477C">
        <w:rPr>
          <w:lang w:val="en-GB"/>
        </w:rPr>
        <w:t>CI state swit</w:t>
      </w:r>
      <w:r w:rsidR="00E63155">
        <w:rPr>
          <w:lang w:val="en-GB"/>
        </w:rPr>
        <w:t>c</w:t>
      </w:r>
      <w:r w:rsidR="00D6477C">
        <w:rPr>
          <w:lang w:val="en-GB"/>
        </w:rPr>
        <w:t xml:space="preserve">hing should </w:t>
      </w:r>
      <w:r w:rsidR="008E35E9">
        <w:rPr>
          <w:lang w:val="en-GB"/>
        </w:rPr>
        <w:t>operate</w:t>
      </w:r>
      <w:r w:rsidR="00663674">
        <w:rPr>
          <w:lang w:val="en-GB"/>
        </w:rPr>
        <w:t xml:space="preserve"> </w:t>
      </w:r>
      <w:r w:rsidR="008426F1">
        <w:rPr>
          <w:lang w:val="en-GB"/>
        </w:rPr>
        <w:t>properly</w:t>
      </w:r>
      <w:r w:rsidR="008D395A">
        <w:rPr>
          <w:lang w:val="en-GB"/>
        </w:rPr>
        <w:t xml:space="preserve">. Therefore, it </w:t>
      </w:r>
      <w:r w:rsidR="00E346F8">
        <w:rPr>
          <w:lang w:val="en-GB"/>
        </w:rPr>
        <w:t xml:space="preserve">seems </w:t>
      </w:r>
      <w:r w:rsidR="005C05F4">
        <w:rPr>
          <w:lang w:val="en-GB"/>
        </w:rPr>
        <w:t xml:space="preserve">that the requirements for the TCI state switching delay </w:t>
      </w:r>
      <w:r w:rsidR="001C1F57">
        <w:rPr>
          <w:lang w:val="en-GB"/>
        </w:rPr>
        <w:t xml:space="preserve">will be relevant for the mobile IAB. </w:t>
      </w:r>
      <w:r w:rsidR="00567D4D">
        <w:rPr>
          <w:lang w:val="en-GB"/>
        </w:rPr>
        <w:t xml:space="preserve">Again, the requirements specified for </w:t>
      </w:r>
      <w:r w:rsidR="00D3189E">
        <w:rPr>
          <w:lang w:val="en-GB"/>
        </w:rPr>
        <w:t xml:space="preserve">UE </w:t>
      </w:r>
      <w:r w:rsidR="007343B7">
        <w:rPr>
          <w:lang w:val="en-GB"/>
        </w:rPr>
        <w:t>(</w:t>
      </w:r>
      <w:r w:rsidR="00D12E5F">
        <w:rPr>
          <w:lang w:val="en-GB"/>
        </w:rPr>
        <w:t>8.10</w:t>
      </w:r>
      <w:proofErr w:type="gramStart"/>
      <w:r w:rsidR="00D12E5F">
        <w:rPr>
          <w:lang w:val="en-GB"/>
        </w:rPr>
        <w:t>/[</w:t>
      </w:r>
      <w:proofErr w:type="gramEnd"/>
      <w:r w:rsidR="00D12E5F">
        <w:rPr>
          <w:lang w:val="en-GB"/>
        </w:rPr>
        <w:t>3]</w:t>
      </w:r>
      <w:r w:rsidR="00B063E1">
        <w:rPr>
          <w:lang w:val="en-GB"/>
        </w:rPr>
        <w:t xml:space="preserve">) can be the baseline </w:t>
      </w:r>
      <w:r w:rsidR="0022386B">
        <w:rPr>
          <w:lang w:val="en-GB"/>
        </w:rPr>
        <w:t>for the mobile IAB operation.</w:t>
      </w:r>
    </w:p>
    <w:p w14:paraId="24963B7A" w14:textId="496BA86D" w:rsidR="0022386B" w:rsidRPr="00B87A28" w:rsidRDefault="00EF3E1B" w:rsidP="00531B99">
      <w:pPr>
        <w:pStyle w:val="RAN4proposal"/>
        <w:rPr>
          <w:lang w:val="en-GB"/>
        </w:rPr>
      </w:pPr>
      <w:r w:rsidRPr="00B87A28">
        <w:rPr>
          <w:lang w:val="en-GB"/>
        </w:rPr>
        <w:t>R</w:t>
      </w:r>
      <w:r w:rsidR="00916381" w:rsidRPr="00B87A28">
        <w:rPr>
          <w:lang w:val="en-GB"/>
        </w:rPr>
        <w:t xml:space="preserve">equirements for the TCI state switching delay specified for UE </w:t>
      </w:r>
      <w:r w:rsidR="00FE49BD" w:rsidRPr="00B87A28">
        <w:rPr>
          <w:lang w:val="en-GB"/>
        </w:rPr>
        <w:t xml:space="preserve">can be the baseline for </w:t>
      </w:r>
      <w:r w:rsidR="003B2646" w:rsidRPr="00B87A28">
        <w:rPr>
          <w:lang w:val="en-GB"/>
        </w:rPr>
        <w:t>the mobile IAB operation.</w:t>
      </w:r>
    </w:p>
    <w:p w14:paraId="3DA463A9" w14:textId="722F4532" w:rsidR="00CF7408" w:rsidRPr="00B87A28" w:rsidRDefault="00CF7408" w:rsidP="00B87A28"/>
    <w:p w14:paraId="013F6D3B" w14:textId="0F55BC41" w:rsidR="006F4B3F" w:rsidRDefault="006F4B3F" w:rsidP="006F4B3F">
      <w:pPr>
        <w:pStyle w:val="RAN4H2"/>
      </w:pPr>
      <w:r>
        <w:t>Measurements</w:t>
      </w:r>
    </w:p>
    <w:p w14:paraId="794E2C4C" w14:textId="3BBE53CE" w:rsidR="006F4B3F" w:rsidRDefault="006F4B3F" w:rsidP="006F4B3F">
      <w:r>
        <w:t xml:space="preserve">The carrier allocation for mobile IAB usage can be tailored to mobile scenarios. Like discussed related to the RF/co-existence, the mobile IAB may have dedicated carrier(s) for BH connection separated from the access link carriers of </w:t>
      </w:r>
      <w:r>
        <w:lastRenderedPageBreak/>
        <w:t xml:space="preserve">the access link of the surrounding RAN network. The number of “mobile carriers” may be limited and anyway the mobile IAB(-MT) can be assumed to operate only on a single band and DC is not supported. These all imply that IAB-MT measurements can be limited </w:t>
      </w:r>
      <w:r w:rsidR="003A00A9">
        <w:t xml:space="preserve">compared to </w:t>
      </w:r>
      <w:r>
        <w:t xml:space="preserve">UE </w:t>
      </w:r>
      <w:r w:rsidR="00762D94">
        <w:t>measurements</w:t>
      </w:r>
      <w:r>
        <w:t xml:space="preserve">. </w:t>
      </w:r>
    </w:p>
    <w:p w14:paraId="21C7899C" w14:textId="62CE365E" w:rsidR="00762D94" w:rsidRDefault="00CE26A2" w:rsidP="006F4B3F">
      <w:r>
        <w:t>Due to IAB mobility,</w:t>
      </w:r>
      <w:r w:rsidR="00E9600E">
        <w:t xml:space="preserve"> measurements </w:t>
      </w:r>
      <w:r w:rsidR="00441195">
        <w:t xml:space="preserve">supporting the </w:t>
      </w:r>
      <w:r w:rsidR="00FA5C90">
        <w:t xml:space="preserve">connected state mobility </w:t>
      </w:r>
      <w:r w:rsidR="001454D2">
        <w:t>are required to some degree</w:t>
      </w:r>
      <w:r w:rsidR="00D02774">
        <w:t xml:space="preserve">. </w:t>
      </w:r>
      <w:r w:rsidR="002070AE">
        <w:t xml:space="preserve">The baseline can be </w:t>
      </w:r>
      <w:r w:rsidR="008804B1">
        <w:t xml:space="preserve">the </w:t>
      </w:r>
      <w:r w:rsidR="002056D1">
        <w:t xml:space="preserve">requirements </w:t>
      </w:r>
      <w:r w:rsidR="00725A8C">
        <w:t xml:space="preserve">defined in </w:t>
      </w:r>
      <w:r w:rsidR="00EA2200">
        <w:t>9.2</w:t>
      </w:r>
      <w:r w:rsidR="00725A8C">
        <w:t xml:space="preserve"> </w:t>
      </w:r>
      <w:r w:rsidR="002E7905">
        <w:t xml:space="preserve">of </w:t>
      </w:r>
      <w:r w:rsidR="00FA68FD">
        <w:t>[3]</w:t>
      </w:r>
      <w:r w:rsidR="00FE703C">
        <w:t xml:space="preserve"> for intra-frequency measurements</w:t>
      </w:r>
      <w:r w:rsidR="00145046">
        <w:t>.</w:t>
      </w:r>
      <w:r w:rsidR="00CD040F">
        <w:t xml:space="preserve"> </w:t>
      </w:r>
      <w:r w:rsidR="004B6F80">
        <w:t xml:space="preserve">It should be discussed to what degree </w:t>
      </w:r>
      <w:r w:rsidR="0028422B">
        <w:t>inter-frequency measurem</w:t>
      </w:r>
      <w:r w:rsidR="00C76552">
        <w:t>ents (9.3</w:t>
      </w:r>
      <w:proofErr w:type="gramStart"/>
      <w:r w:rsidR="00C76552">
        <w:t>/[</w:t>
      </w:r>
      <w:proofErr w:type="gramEnd"/>
      <w:r w:rsidR="00C76552">
        <w:t xml:space="preserve">3]) apply for mobile IAB considering the anticipated </w:t>
      </w:r>
      <w:r w:rsidR="005917D8">
        <w:t xml:space="preserve">behavior and restrictions </w:t>
      </w:r>
    </w:p>
    <w:p w14:paraId="470664D5" w14:textId="109E5737" w:rsidR="006F4B3F" w:rsidRPr="00471A83" w:rsidRDefault="00DB4189" w:rsidP="00531B99">
      <w:pPr>
        <w:pStyle w:val="RAN4proposal"/>
      </w:pPr>
      <w:r>
        <w:t>RAN4 to discuss</w:t>
      </w:r>
      <w:r w:rsidR="00497E36">
        <w:t xml:space="preserve"> </w:t>
      </w:r>
      <w:r w:rsidR="00BD4032">
        <w:t xml:space="preserve">the </w:t>
      </w:r>
      <w:r w:rsidR="00672615">
        <w:t xml:space="preserve">applicability </w:t>
      </w:r>
      <w:r w:rsidR="009E09F2">
        <w:t xml:space="preserve">of </w:t>
      </w:r>
      <w:r w:rsidR="00672615">
        <w:t xml:space="preserve">the </w:t>
      </w:r>
      <w:r w:rsidR="0075505F">
        <w:t xml:space="preserve">requirements </w:t>
      </w:r>
      <w:r w:rsidR="00962533">
        <w:t xml:space="preserve">for </w:t>
      </w:r>
      <w:r w:rsidR="00374BD1">
        <w:t xml:space="preserve">mobile IAB </w:t>
      </w:r>
      <w:r w:rsidR="00BD4032">
        <w:t xml:space="preserve">measurement </w:t>
      </w:r>
      <w:r w:rsidR="00374BD1">
        <w:t>using</w:t>
      </w:r>
      <w:r w:rsidR="00C14CA7">
        <w:t xml:space="preserve"> UE requirements</w:t>
      </w:r>
      <w:r w:rsidR="003A583E">
        <w:t xml:space="preserve"> as the refere</w:t>
      </w:r>
      <w:r w:rsidR="00512DA5">
        <w:t>nce</w:t>
      </w:r>
      <w:r w:rsidR="006D19D0">
        <w:t xml:space="preserve"> </w:t>
      </w:r>
      <w:r w:rsidR="00EC520D">
        <w:t>considering the anti</w:t>
      </w:r>
      <w:r w:rsidR="005E6B8F">
        <w:t xml:space="preserve">cipated </w:t>
      </w:r>
      <w:r w:rsidR="00E568C0">
        <w:t>mobile IAB deployments and carrier allocations</w:t>
      </w:r>
      <w:r w:rsidR="006F4B3F" w:rsidRPr="00471A83">
        <w:t>.</w:t>
      </w:r>
    </w:p>
    <w:p w14:paraId="53EC6545" w14:textId="77777777" w:rsidR="00531B99" w:rsidRDefault="000D7ECD" w:rsidP="006F4B3F">
      <w:r>
        <w:t>For beam management</w:t>
      </w:r>
      <w:r w:rsidR="0009172F">
        <w:t>, L1 RSRP measurements</w:t>
      </w:r>
      <w:r w:rsidR="002B7C1A">
        <w:t xml:space="preserve"> for reporting </w:t>
      </w:r>
      <w:r w:rsidR="000D3DEB">
        <w:t xml:space="preserve">will be relevant. Hence, </w:t>
      </w:r>
      <w:r w:rsidR="006C554D">
        <w:t>RAN</w:t>
      </w:r>
      <w:r w:rsidR="005B06A4">
        <w:t xml:space="preserve">4 should consider </w:t>
      </w:r>
      <w:r w:rsidR="00B17F44">
        <w:t>the relevance of those requirements to the mobile IAB</w:t>
      </w:r>
      <w:r w:rsidR="006921EC">
        <w:t>.</w:t>
      </w:r>
    </w:p>
    <w:p w14:paraId="55CC78E7" w14:textId="2287D961" w:rsidR="006921EC" w:rsidRPr="00B87A28" w:rsidRDefault="00AC1078" w:rsidP="00531B99">
      <w:pPr>
        <w:pStyle w:val="RAN4proposal"/>
      </w:pPr>
      <w:r w:rsidRPr="00B87A28">
        <w:t>RAN4 to consider requirements for L1 RSRP measurements for reporting</w:t>
      </w:r>
      <w:r w:rsidR="00531B99">
        <w:rPr>
          <w:lang w:val="en-150"/>
        </w:rPr>
        <w:t xml:space="preserve"> for mobile IAB-MT using</w:t>
      </w:r>
      <w:r w:rsidR="004D6F48" w:rsidRPr="00B87A28">
        <w:t xml:space="preserve"> UE requirements as </w:t>
      </w:r>
      <w:r w:rsidR="007A0134" w:rsidRPr="00B87A28">
        <w:t>reference.</w:t>
      </w:r>
    </w:p>
    <w:p w14:paraId="4DAEE0D5" w14:textId="4D07A505" w:rsidR="002858D5" w:rsidRDefault="002858D5" w:rsidP="006F4B3F"/>
    <w:p w14:paraId="38EAB9F2" w14:textId="77777777" w:rsidR="006F4B3F" w:rsidRDefault="006F4B3F" w:rsidP="006F4B3F">
      <w:pPr>
        <w:pStyle w:val="RAN4H2"/>
      </w:pPr>
      <w:r>
        <w:t>Timing/HST requirements</w:t>
      </w:r>
    </w:p>
    <w:p w14:paraId="1FEC4B6A" w14:textId="77777777" w:rsidR="006F4B3F" w:rsidRDefault="006F4B3F" w:rsidP="006F4B3F">
      <w:r>
        <w:t xml:space="preserve">The timing, basically IAB-MT UL TX timing, is assumed to apply principles specified for the UEs. Hence, it was agreed not to define any mobile IAB specific requirements for the timing. </w:t>
      </w:r>
    </w:p>
    <w:p w14:paraId="4715D475" w14:textId="1DA7E266" w:rsidR="006F4B3F" w:rsidRDefault="006F4B3F" w:rsidP="006F4B3F">
      <w:r>
        <w:t xml:space="preserve">It was left FFS whether requirements specified for HST (Hight Speed Train) apply for mobile IAB. HST can be considered as a special deployment scenario with higher than typical operational requirements. The other foreseeable mobile IAB scenarios have mobility behavior presumably </w:t>
      </w:r>
      <w:proofErr w:type="gramStart"/>
      <w:r>
        <w:t>similar to</w:t>
      </w:r>
      <w:proofErr w:type="gramEnd"/>
      <w:r>
        <w:t xml:space="preserve"> the end user UEs. That would imply that not all mobile IAB nodes are mandated to support requirements of HST. The HST support can be considered as mobile IAB capability and, when supported </w:t>
      </w:r>
      <w:proofErr w:type="gramStart"/>
      <w:r>
        <w:t>in order to</w:t>
      </w:r>
      <w:proofErr w:type="gramEnd"/>
      <w:r>
        <w:t xml:space="preserve"> be deployable to high-speed trains, it is up to mobile IAB implementation and requirement from the operator providing the services inside the trains.</w:t>
      </w:r>
      <w:r w:rsidR="007B786F">
        <w:t xml:space="preserve"> It should be noted </w:t>
      </w:r>
      <w:r w:rsidR="00A416DB">
        <w:t xml:space="preserve">that </w:t>
      </w:r>
      <w:r w:rsidR="00AF035B">
        <w:t xml:space="preserve">Rel.18 WID does </w:t>
      </w:r>
      <w:r w:rsidR="00637B80">
        <w:t xml:space="preserve">not have HST as a </w:t>
      </w:r>
      <w:r w:rsidR="004C63B8">
        <w:t>specific objective.</w:t>
      </w:r>
    </w:p>
    <w:p w14:paraId="2B847A20" w14:textId="110999F8" w:rsidR="006F4B3F" w:rsidRPr="008754F1" w:rsidRDefault="006F4B3F" w:rsidP="008E3DD5">
      <w:pPr>
        <w:pStyle w:val="RAN4proposal"/>
      </w:pPr>
      <w:r w:rsidRPr="008754F1">
        <w:t>HST support can be a capability that is indicated for the mobile IAB implementation.</w:t>
      </w:r>
      <w:r w:rsidR="00CD03B5">
        <w:t xml:space="preserve"> No </w:t>
      </w:r>
      <w:r w:rsidR="00D64356">
        <w:t>r</w:t>
      </w:r>
      <w:r w:rsidR="00CC595F">
        <w:t xml:space="preserve">equirements </w:t>
      </w:r>
      <w:proofErr w:type="gramStart"/>
      <w:r w:rsidR="00CC595F">
        <w:t>have to</w:t>
      </w:r>
      <w:proofErr w:type="gramEnd"/>
      <w:r w:rsidR="00CC595F">
        <w:t xml:space="preserve"> be specified.</w:t>
      </w:r>
    </w:p>
    <w:p w14:paraId="7F0748BE" w14:textId="241AEE0A" w:rsidR="0060543D" w:rsidRDefault="0060543D" w:rsidP="0060543D"/>
    <w:p w14:paraId="382ACA01" w14:textId="77777777" w:rsidR="00D7737A" w:rsidRPr="0060543D" w:rsidRDefault="00D7737A" w:rsidP="0060543D"/>
    <w:p w14:paraId="557E9204" w14:textId="77777777" w:rsidR="00CD7492" w:rsidRPr="00EF698B" w:rsidRDefault="00CD7492" w:rsidP="00A37002">
      <w:pPr>
        <w:pStyle w:val="RAN4H1"/>
        <w:rPr>
          <w:lang w:val="en-US"/>
        </w:rPr>
      </w:pPr>
      <w:bookmarkStart w:id="5" w:name="_Toc116995848"/>
      <w:r w:rsidRPr="00EF698B">
        <w:rPr>
          <w:lang w:val="en-US"/>
        </w:rPr>
        <w:t>Conclusion</w:t>
      </w:r>
      <w:bookmarkEnd w:id="5"/>
    </w:p>
    <w:p w14:paraId="38770F1B" w14:textId="5F9F1FB6" w:rsidR="00E52A5B" w:rsidRDefault="00683EAC" w:rsidP="005C23A4">
      <w:r>
        <w:t xml:space="preserve">In this contribution we have </w:t>
      </w:r>
      <w:r w:rsidR="008B325E">
        <w:t>elaborated potential RRM requirements for the mobile IAB</w:t>
      </w:r>
      <w:r w:rsidR="00B03F50">
        <w:t xml:space="preserve"> ending up with following </w:t>
      </w:r>
      <w:r w:rsidR="00531B99">
        <w:rPr>
          <w:lang w:val="en-150"/>
        </w:rPr>
        <w:t xml:space="preserve">observations and </w:t>
      </w:r>
      <w:r w:rsidR="00B03F50">
        <w:t>proposals:</w:t>
      </w:r>
    </w:p>
    <w:p w14:paraId="7DE32C23" w14:textId="77777777" w:rsidR="00D7737A" w:rsidRDefault="00D7737A" w:rsidP="008E3DD5">
      <w:pPr>
        <w:pStyle w:val="RAN4Observation"/>
        <w:numPr>
          <w:ilvl w:val="0"/>
          <w:numId w:val="29"/>
        </w:numPr>
      </w:pPr>
      <w:r>
        <w:t>Only normal handover is relevant and mandatory to be supported by the mobile IAB-node.</w:t>
      </w:r>
    </w:p>
    <w:p w14:paraId="0F213826" w14:textId="77777777" w:rsidR="00D7737A" w:rsidRPr="003B65F8" w:rsidRDefault="00D7737A" w:rsidP="008E3DD5">
      <w:pPr>
        <w:pStyle w:val="RAN4proposal"/>
        <w:numPr>
          <w:ilvl w:val="0"/>
          <w:numId w:val="30"/>
        </w:numPr>
      </w:pPr>
      <w:r w:rsidRPr="003B65F8">
        <w:t>Handover requirements for basic HO shall be applicable for the mobile IAB-node.</w:t>
      </w:r>
    </w:p>
    <w:p w14:paraId="370C5F8D" w14:textId="77777777" w:rsidR="008E3DD5" w:rsidRPr="006802D7" w:rsidRDefault="008E3DD5" w:rsidP="008E3DD5">
      <w:pPr>
        <w:pStyle w:val="RAN4proposal"/>
        <w:numPr>
          <w:ilvl w:val="0"/>
          <w:numId w:val="30"/>
        </w:numPr>
      </w:pPr>
      <w:r w:rsidRPr="006802D7">
        <w:t>UE requirements for re-establishment are applicable for the mobile IAB-node.</w:t>
      </w:r>
    </w:p>
    <w:p w14:paraId="5204CD51" w14:textId="77777777" w:rsidR="008E3DD5" w:rsidRPr="00DF41B3" w:rsidRDefault="008E3DD5" w:rsidP="008E3DD5">
      <w:pPr>
        <w:pStyle w:val="RAN4proposal"/>
        <w:numPr>
          <w:ilvl w:val="0"/>
          <w:numId w:val="30"/>
        </w:numPr>
      </w:pPr>
      <w:r w:rsidRPr="60CBB092">
        <w:t xml:space="preserve">No requirements for connection setup release with re-direction </w:t>
      </w:r>
      <w:r w:rsidRPr="008E3DD5">
        <w:rPr>
          <w:lang w:val="en-150"/>
        </w:rPr>
        <w:t xml:space="preserve">are needed </w:t>
      </w:r>
      <w:r w:rsidRPr="60CBB092">
        <w:t>unless requested by other RAN WGs.</w:t>
      </w:r>
    </w:p>
    <w:p w14:paraId="5A3453D4" w14:textId="77777777" w:rsidR="008E3DD5" w:rsidRPr="008E3DD5" w:rsidRDefault="008E3DD5" w:rsidP="008E3DD5">
      <w:pPr>
        <w:pStyle w:val="RAN4proposal"/>
        <w:numPr>
          <w:ilvl w:val="0"/>
          <w:numId w:val="30"/>
        </w:numPr>
        <w:rPr>
          <w:lang w:val="en-GB"/>
        </w:rPr>
      </w:pPr>
      <w:r w:rsidRPr="008E3DD5">
        <w:rPr>
          <w:lang w:val="en-GB"/>
        </w:rPr>
        <w:t>For radio link monitoring, RAN4 should discuss relevance of at least SSB and CSI-RS based RLM as well as L1 indication.</w:t>
      </w:r>
    </w:p>
    <w:p w14:paraId="2970CFAB" w14:textId="77777777" w:rsidR="008E3DD5" w:rsidRPr="008E3DD5" w:rsidRDefault="008E3DD5" w:rsidP="008E3DD5">
      <w:pPr>
        <w:pStyle w:val="RAN4proposal"/>
        <w:numPr>
          <w:ilvl w:val="0"/>
          <w:numId w:val="30"/>
        </w:numPr>
        <w:rPr>
          <w:lang w:val="en-GB"/>
        </w:rPr>
      </w:pPr>
      <w:r w:rsidRPr="008E3DD5">
        <w:rPr>
          <w:lang w:val="en-GB"/>
        </w:rPr>
        <w:t>Requirements for the TCI state switching delay specified for UE can be the baseline for the mobile IAB operation.</w:t>
      </w:r>
    </w:p>
    <w:p w14:paraId="2C5157CF" w14:textId="77777777" w:rsidR="008E3DD5" w:rsidRPr="00471A83" w:rsidRDefault="008E3DD5" w:rsidP="008E3DD5">
      <w:pPr>
        <w:pStyle w:val="RAN4proposal"/>
        <w:numPr>
          <w:ilvl w:val="0"/>
          <w:numId w:val="30"/>
        </w:numPr>
      </w:pPr>
      <w:r>
        <w:t>RAN4 to discuss the applicability of the requirements for mobile IAB measurement using UE requirements as the reference considering the anticipated mobile IAB deployments and carrier allocations</w:t>
      </w:r>
      <w:r w:rsidRPr="00471A83">
        <w:t>.</w:t>
      </w:r>
    </w:p>
    <w:p w14:paraId="0B760383" w14:textId="77777777" w:rsidR="008E3DD5" w:rsidRPr="00B87A28" w:rsidRDefault="008E3DD5" w:rsidP="008E3DD5">
      <w:pPr>
        <w:pStyle w:val="RAN4proposal"/>
        <w:numPr>
          <w:ilvl w:val="0"/>
          <w:numId w:val="30"/>
        </w:numPr>
      </w:pPr>
      <w:r w:rsidRPr="00B87A28">
        <w:lastRenderedPageBreak/>
        <w:t>RAN4 to consider requirements for L1 RSRP measurements for reporting</w:t>
      </w:r>
      <w:r w:rsidRPr="008E3DD5">
        <w:rPr>
          <w:lang w:val="en-150"/>
        </w:rPr>
        <w:t xml:space="preserve"> for mobile IAB-MT using</w:t>
      </w:r>
      <w:r w:rsidRPr="00B87A28">
        <w:t xml:space="preserve"> UE requirements as reference.</w:t>
      </w:r>
    </w:p>
    <w:p w14:paraId="0288A6E3" w14:textId="77777777" w:rsidR="008E3DD5" w:rsidRPr="008754F1" w:rsidRDefault="008E3DD5" w:rsidP="008E3DD5">
      <w:pPr>
        <w:pStyle w:val="RAN4proposal"/>
        <w:numPr>
          <w:ilvl w:val="0"/>
          <w:numId w:val="30"/>
        </w:numPr>
      </w:pPr>
      <w:r w:rsidRPr="008754F1">
        <w:t>HST support can be a capability that is indicated for the mobile IAB implementation.</w:t>
      </w:r>
      <w:r>
        <w:t xml:space="preserve"> No requirements </w:t>
      </w:r>
      <w:proofErr w:type="gramStart"/>
      <w:r>
        <w:t>have to</w:t>
      </w:r>
      <w:proofErr w:type="gramEnd"/>
      <w:r>
        <w:t xml:space="preserve"> be specified.</w:t>
      </w:r>
    </w:p>
    <w:p w14:paraId="61E205FB" w14:textId="77777777" w:rsidR="008E3DD5" w:rsidRDefault="008E3DD5" w:rsidP="00F72CB1">
      <w:pPr>
        <w:rPr>
          <w:i/>
          <w:iCs/>
          <w:noProof/>
          <w:u w:val="single"/>
        </w:rPr>
      </w:pPr>
    </w:p>
    <w:p w14:paraId="4F5C1210" w14:textId="630F6D53" w:rsidR="007716CB" w:rsidRPr="00F72CB1" w:rsidRDefault="00A4355E" w:rsidP="00F72CB1">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p>
    <w:p w14:paraId="0B3E01E8" w14:textId="77777777" w:rsidR="003B659E" w:rsidRPr="0060543D" w:rsidRDefault="00A4355E" w:rsidP="0060543D">
      <w:pPr>
        <w:pStyle w:val="RAN4H1"/>
        <w:numPr>
          <w:ilvl w:val="0"/>
          <w:numId w:val="0"/>
        </w:numPr>
        <w:ind w:left="360" w:hanging="360"/>
      </w:pPr>
      <w:r>
        <w:rPr>
          <w:noProof/>
        </w:rPr>
        <w:fldChar w:fldCharType="end"/>
      </w:r>
      <w:bookmarkStart w:id="6" w:name="_Toc116995849"/>
      <w:r w:rsidR="003B659E" w:rsidRPr="00EF698B">
        <w:t>References</w:t>
      </w:r>
      <w:bookmarkEnd w:id="6"/>
    </w:p>
    <w:p w14:paraId="719F2982" w14:textId="77777777" w:rsidR="005C557C" w:rsidRPr="003C4FDE" w:rsidRDefault="005C557C" w:rsidP="005C557C">
      <w:pPr>
        <w:pStyle w:val="ListParagraph"/>
        <w:numPr>
          <w:ilvl w:val="0"/>
          <w:numId w:val="21"/>
        </w:numPr>
        <w:ind w:right="-22"/>
      </w:pPr>
      <w:bookmarkStart w:id="7" w:name="_Ref114500673"/>
      <w:bookmarkEnd w:id="7"/>
      <w:r w:rsidRPr="003C4FDE">
        <w:t>R4-</w:t>
      </w:r>
      <w:r>
        <w:t>23</w:t>
      </w:r>
      <w:r w:rsidRPr="003C4FDE">
        <w:t xml:space="preserve">xxxx, </w:t>
      </w:r>
      <w:r w:rsidRPr="00A12B58">
        <w:t xml:space="preserve">Topic summary for [106][231] </w:t>
      </w:r>
      <w:proofErr w:type="spellStart"/>
      <w:r w:rsidRPr="00A12B58">
        <w:t>NR_mobile_IAB</w:t>
      </w:r>
      <w:proofErr w:type="spellEnd"/>
      <w:r w:rsidRPr="003C4FDE">
        <w:t>,</w:t>
      </w:r>
      <w:r>
        <w:t xml:space="preserve"> Moderator (Qualcomm)</w:t>
      </w:r>
      <w:r w:rsidRPr="003C4FDE">
        <w:t xml:space="preserve"> </w:t>
      </w:r>
    </w:p>
    <w:p w14:paraId="0208605C" w14:textId="77777777" w:rsidR="005C557C" w:rsidRDefault="005C557C" w:rsidP="005C557C">
      <w:pPr>
        <w:pStyle w:val="ListParagraph"/>
        <w:numPr>
          <w:ilvl w:val="0"/>
          <w:numId w:val="21"/>
        </w:numPr>
        <w:ind w:right="-22"/>
      </w:pPr>
      <w:r w:rsidRPr="003C4FDE">
        <w:t>R4-</w:t>
      </w:r>
      <w:r w:rsidRPr="00A12B58">
        <w:t xml:space="preserve"> 2303250</w:t>
      </w:r>
      <w:r w:rsidRPr="003C4FDE">
        <w:t xml:space="preserve">, </w:t>
      </w:r>
      <w:r w:rsidRPr="00A12B58">
        <w:t>WF on Mobile IAB RRM requirements</w:t>
      </w:r>
      <w:r w:rsidRPr="003C4FDE">
        <w:t xml:space="preserve">, </w:t>
      </w:r>
      <w:r>
        <w:t>Qualcomm</w:t>
      </w:r>
    </w:p>
    <w:p w14:paraId="2C5F0C2C" w14:textId="5A1AD516" w:rsidR="00EA2200" w:rsidRPr="003C4FDE" w:rsidRDefault="00A40714" w:rsidP="005C557C">
      <w:pPr>
        <w:pStyle w:val="ListParagraph"/>
        <w:numPr>
          <w:ilvl w:val="0"/>
          <w:numId w:val="21"/>
        </w:numPr>
        <w:ind w:right="-22"/>
      </w:pPr>
      <w:r>
        <w:t>TS 38.133</w:t>
      </w:r>
      <w:r w:rsidR="003D51F3">
        <w:t xml:space="preserve">, </w:t>
      </w:r>
      <w:r w:rsidR="00642F8C" w:rsidRPr="00642F8C">
        <w:t>NR; Requirements for support of radio resource management</w:t>
      </w:r>
    </w:p>
    <w:p w14:paraId="68423F1A" w14:textId="77777777" w:rsidR="00860DF6" w:rsidRDefault="00860DF6" w:rsidP="005C557C">
      <w:pPr>
        <w:pStyle w:val="ListParagraph"/>
        <w:ind w:right="-22"/>
      </w:pPr>
    </w:p>
    <w:sectPr w:rsidR="00860DF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938B7" w14:textId="77777777" w:rsidR="00FA0ECA" w:rsidRDefault="00FA0ECA" w:rsidP="00001C9B">
      <w:pPr>
        <w:spacing w:after="0" w:line="240" w:lineRule="auto"/>
      </w:pPr>
      <w:r>
        <w:separator/>
      </w:r>
    </w:p>
  </w:endnote>
  <w:endnote w:type="continuationSeparator" w:id="0">
    <w:p w14:paraId="609BC5CD" w14:textId="77777777" w:rsidR="00FA0ECA" w:rsidRDefault="00FA0ECA" w:rsidP="00001C9B">
      <w:pPr>
        <w:spacing w:after="0" w:line="240" w:lineRule="auto"/>
      </w:pPr>
      <w:r>
        <w:continuationSeparator/>
      </w:r>
    </w:p>
  </w:endnote>
  <w:endnote w:type="continuationNotice" w:id="1">
    <w:p w14:paraId="4BC9D285" w14:textId="77777777" w:rsidR="00FA0ECA" w:rsidRDefault="00FA0E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eufile Grotesk">
    <w:altName w:val="Calibri"/>
    <w:panose1 w:val="00000000000000000000"/>
    <w:charset w:val="4D"/>
    <w:family w:val="auto"/>
    <w:notTrueType/>
    <w:pitch w:val="variable"/>
    <w:sig w:usb0="00000007" w:usb1="00000001" w:usb2="00000000" w:usb3="00000000" w:csb0="00000093"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788B2" w14:textId="77777777" w:rsidR="00FA0ECA" w:rsidRDefault="00FA0ECA" w:rsidP="00001C9B">
      <w:pPr>
        <w:spacing w:after="0" w:line="240" w:lineRule="auto"/>
      </w:pPr>
      <w:r>
        <w:separator/>
      </w:r>
    </w:p>
  </w:footnote>
  <w:footnote w:type="continuationSeparator" w:id="0">
    <w:p w14:paraId="01FA88C5" w14:textId="77777777" w:rsidR="00FA0ECA" w:rsidRDefault="00FA0ECA" w:rsidP="00001C9B">
      <w:pPr>
        <w:spacing w:after="0" w:line="240" w:lineRule="auto"/>
      </w:pPr>
      <w:r>
        <w:continuationSeparator/>
      </w:r>
    </w:p>
  </w:footnote>
  <w:footnote w:type="continuationNotice" w:id="1">
    <w:p w14:paraId="386586C7" w14:textId="77777777" w:rsidR="00FA0ECA" w:rsidRDefault="00FA0E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0446839">
    <w:abstractNumId w:val="1"/>
  </w:num>
  <w:num w:numId="2" w16cid:durableId="253588598">
    <w:abstractNumId w:val="5"/>
  </w:num>
  <w:num w:numId="3" w16cid:durableId="139807391">
    <w:abstractNumId w:val="9"/>
  </w:num>
  <w:num w:numId="4" w16cid:durableId="261190368">
    <w:abstractNumId w:val="4"/>
  </w:num>
  <w:num w:numId="5" w16cid:durableId="351077133">
    <w:abstractNumId w:val="14"/>
  </w:num>
  <w:num w:numId="6" w16cid:durableId="595670123">
    <w:abstractNumId w:val="7"/>
  </w:num>
  <w:num w:numId="7" w16cid:durableId="1996255291">
    <w:abstractNumId w:val="8"/>
  </w:num>
  <w:num w:numId="8" w16cid:durableId="1486973902">
    <w:abstractNumId w:val="8"/>
    <w:lvlOverride w:ilvl="0">
      <w:startOverride w:val="1"/>
    </w:lvlOverride>
  </w:num>
  <w:num w:numId="9" w16cid:durableId="729309829">
    <w:abstractNumId w:val="8"/>
    <w:lvlOverride w:ilvl="0">
      <w:startOverride w:val="1"/>
    </w:lvlOverride>
  </w:num>
  <w:num w:numId="10" w16cid:durableId="1471288697">
    <w:abstractNumId w:val="8"/>
    <w:lvlOverride w:ilvl="0">
      <w:startOverride w:val="1"/>
    </w:lvlOverride>
  </w:num>
  <w:num w:numId="11" w16cid:durableId="1622802768">
    <w:abstractNumId w:val="7"/>
    <w:lvlOverride w:ilvl="0">
      <w:startOverride w:val="1"/>
    </w:lvlOverride>
  </w:num>
  <w:num w:numId="12" w16cid:durableId="2108033772">
    <w:abstractNumId w:val="8"/>
    <w:lvlOverride w:ilvl="0">
      <w:startOverride w:val="1"/>
    </w:lvlOverride>
  </w:num>
  <w:num w:numId="13" w16cid:durableId="1743133960">
    <w:abstractNumId w:val="7"/>
    <w:lvlOverride w:ilvl="0">
      <w:startOverride w:val="1"/>
    </w:lvlOverride>
  </w:num>
  <w:num w:numId="14" w16cid:durableId="523440291">
    <w:abstractNumId w:val="8"/>
    <w:lvlOverride w:ilvl="0">
      <w:startOverride w:val="1"/>
    </w:lvlOverride>
  </w:num>
  <w:num w:numId="15" w16cid:durableId="339310980">
    <w:abstractNumId w:val="15"/>
  </w:num>
  <w:num w:numId="16" w16cid:durableId="1188714366">
    <w:abstractNumId w:val="3"/>
  </w:num>
  <w:num w:numId="17" w16cid:durableId="296837290">
    <w:abstractNumId w:val="12"/>
  </w:num>
  <w:num w:numId="18" w16cid:durableId="1950309882">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687825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730603">
    <w:abstractNumId w:val="6"/>
  </w:num>
  <w:num w:numId="21" w16cid:durableId="851190544">
    <w:abstractNumId w:val="11"/>
  </w:num>
  <w:num w:numId="22" w16cid:durableId="990212297">
    <w:abstractNumId w:val="7"/>
    <w:lvlOverride w:ilvl="0">
      <w:startOverride w:val="1"/>
    </w:lvlOverride>
  </w:num>
  <w:num w:numId="23" w16cid:durableId="972639256">
    <w:abstractNumId w:val="8"/>
    <w:lvlOverride w:ilvl="0">
      <w:startOverride w:val="1"/>
    </w:lvlOverride>
  </w:num>
  <w:num w:numId="24" w16cid:durableId="1333223524">
    <w:abstractNumId w:val="2"/>
  </w:num>
  <w:num w:numId="25" w16cid:durableId="1318608384">
    <w:abstractNumId w:val="0"/>
  </w:num>
  <w:num w:numId="26" w16cid:durableId="1557274245">
    <w:abstractNumId w:val="0"/>
    <w:lvlOverride w:ilvl="0">
      <w:startOverride w:val="1"/>
    </w:lvlOverride>
  </w:num>
  <w:num w:numId="27" w16cid:durableId="101002534">
    <w:abstractNumId w:val="13"/>
  </w:num>
  <w:num w:numId="28" w16cid:durableId="1520044387">
    <w:abstractNumId w:val="10"/>
  </w:num>
  <w:num w:numId="29" w16cid:durableId="1042175817">
    <w:abstractNumId w:val="7"/>
    <w:lvlOverride w:ilvl="0">
      <w:startOverride w:val="1"/>
    </w:lvlOverride>
  </w:num>
  <w:num w:numId="30" w16cid:durableId="55016475">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B4345"/>
    <w:rsid w:val="00001C9B"/>
    <w:rsid w:val="000040DC"/>
    <w:rsid w:val="000151EF"/>
    <w:rsid w:val="0001557A"/>
    <w:rsid w:val="00022088"/>
    <w:rsid w:val="000239F5"/>
    <w:rsid w:val="00041ABD"/>
    <w:rsid w:val="0006358D"/>
    <w:rsid w:val="00065D05"/>
    <w:rsid w:val="0008612A"/>
    <w:rsid w:val="00090E18"/>
    <w:rsid w:val="0009172F"/>
    <w:rsid w:val="000A0E5C"/>
    <w:rsid w:val="000A10BC"/>
    <w:rsid w:val="000B0056"/>
    <w:rsid w:val="000C3C7B"/>
    <w:rsid w:val="000C5069"/>
    <w:rsid w:val="000C5E20"/>
    <w:rsid w:val="000D0F93"/>
    <w:rsid w:val="000D3DEB"/>
    <w:rsid w:val="000D59FA"/>
    <w:rsid w:val="000D7ECD"/>
    <w:rsid w:val="000F2D2C"/>
    <w:rsid w:val="000F7B4E"/>
    <w:rsid w:val="0010342D"/>
    <w:rsid w:val="00106416"/>
    <w:rsid w:val="00110481"/>
    <w:rsid w:val="001127C9"/>
    <w:rsid w:val="00115B88"/>
    <w:rsid w:val="00117C1F"/>
    <w:rsid w:val="00130D25"/>
    <w:rsid w:val="00132F6A"/>
    <w:rsid w:val="00133913"/>
    <w:rsid w:val="001347AC"/>
    <w:rsid w:val="00140221"/>
    <w:rsid w:val="00140F9A"/>
    <w:rsid w:val="00145046"/>
    <w:rsid w:val="001454D2"/>
    <w:rsid w:val="0015650F"/>
    <w:rsid w:val="001610BD"/>
    <w:rsid w:val="0016128A"/>
    <w:rsid w:val="001642FC"/>
    <w:rsid w:val="0016496B"/>
    <w:rsid w:val="001743E2"/>
    <w:rsid w:val="001745F8"/>
    <w:rsid w:val="00175E3B"/>
    <w:rsid w:val="001776CA"/>
    <w:rsid w:val="001838CF"/>
    <w:rsid w:val="001868EE"/>
    <w:rsid w:val="001A3BA4"/>
    <w:rsid w:val="001A6D1F"/>
    <w:rsid w:val="001C1F57"/>
    <w:rsid w:val="001D6B08"/>
    <w:rsid w:val="001E0B25"/>
    <w:rsid w:val="001E30F6"/>
    <w:rsid w:val="001E68C7"/>
    <w:rsid w:val="001F39C2"/>
    <w:rsid w:val="00200670"/>
    <w:rsid w:val="002056D1"/>
    <w:rsid w:val="002070AE"/>
    <w:rsid w:val="002104D4"/>
    <w:rsid w:val="00213CD7"/>
    <w:rsid w:val="00217EE5"/>
    <w:rsid w:val="0022088C"/>
    <w:rsid w:val="0022386B"/>
    <w:rsid w:val="00232B23"/>
    <w:rsid w:val="00235F5C"/>
    <w:rsid w:val="0023668A"/>
    <w:rsid w:val="00252BE3"/>
    <w:rsid w:val="00257FA3"/>
    <w:rsid w:val="002712B6"/>
    <w:rsid w:val="00277B56"/>
    <w:rsid w:val="00281F40"/>
    <w:rsid w:val="0028422B"/>
    <w:rsid w:val="002858D5"/>
    <w:rsid w:val="00290CD4"/>
    <w:rsid w:val="00293032"/>
    <w:rsid w:val="002A19F5"/>
    <w:rsid w:val="002B4922"/>
    <w:rsid w:val="002B7C1A"/>
    <w:rsid w:val="002C22C3"/>
    <w:rsid w:val="002C2D19"/>
    <w:rsid w:val="002D10FA"/>
    <w:rsid w:val="002D4C55"/>
    <w:rsid w:val="002E6DED"/>
    <w:rsid w:val="002E7905"/>
    <w:rsid w:val="00300956"/>
    <w:rsid w:val="00303111"/>
    <w:rsid w:val="003045AB"/>
    <w:rsid w:val="0030692F"/>
    <w:rsid w:val="00311F56"/>
    <w:rsid w:val="0031231B"/>
    <w:rsid w:val="00317187"/>
    <w:rsid w:val="0032499A"/>
    <w:rsid w:val="0032796B"/>
    <w:rsid w:val="003341F7"/>
    <w:rsid w:val="00344B35"/>
    <w:rsid w:val="00347FEC"/>
    <w:rsid w:val="00356F45"/>
    <w:rsid w:val="00363E4D"/>
    <w:rsid w:val="003656E9"/>
    <w:rsid w:val="00366B74"/>
    <w:rsid w:val="00374BD1"/>
    <w:rsid w:val="003906AD"/>
    <w:rsid w:val="003A00A9"/>
    <w:rsid w:val="003A583E"/>
    <w:rsid w:val="003A710A"/>
    <w:rsid w:val="003B2646"/>
    <w:rsid w:val="003B301F"/>
    <w:rsid w:val="003B5530"/>
    <w:rsid w:val="003B659E"/>
    <w:rsid w:val="003C275E"/>
    <w:rsid w:val="003C4707"/>
    <w:rsid w:val="003C4FDE"/>
    <w:rsid w:val="003D32D3"/>
    <w:rsid w:val="003D45E1"/>
    <w:rsid w:val="003D50EC"/>
    <w:rsid w:val="003D51F3"/>
    <w:rsid w:val="003E0D3B"/>
    <w:rsid w:val="003E58DF"/>
    <w:rsid w:val="003E73F8"/>
    <w:rsid w:val="003F1C0C"/>
    <w:rsid w:val="003F4F28"/>
    <w:rsid w:val="00403FDD"/>
    <w:rsid w:val="00404C4C"/>
    <w:rsid w:val="00407675"/>
    <w:rsid w:val="0041423F"/>
    <w:rsid w:val="00414F81"/>
    <w:rsid w:val="00422FC4"/>
    <w:rsid w:val="00430A03"/>
    <w:rsid w:val="00436A0F"/>
    <w:rsid w:val="00437150"/>
    <w:rsid w:val="0043750A"/>
    <w:rsid w:val="00441195"/>
    <w:rsid w:val="00457603"/>
    <w:rsid w:val="0046084D"/>
    <w:rsid w:val="0046665C"/>
    <w:rsid w:val="004732E9"/>
    <w:rsid w:val="004854BB"/>
    <w:rsid w:val="00486F03"/>
    <w:rsid w:val="004917E5"/>
    <w:rsid w:val="00496606"/>
    <w:rsid w:val="00497E36"/>
    <w:rsid w:val="004A3CD1"/>
    <w:rsid w:val="004A4D24"/>
    <w:rsid w:val="004B6F80"/>
    <w:rsid w:val="004C4C92"/>
    <w:rsid w:val="004C63B8"/>
    <w:rsid w:val="004C7851"/>
    <w:rsid w:val="004D6F48"/>
    <w:rsid w:val="004E1F6B"/>
    <w:rsid w:val="004E5441"/>
    <w:rsid w:val="004E5E66"/>
    <w:rsid w:val="004E7ADB"/>
    <w:rsid w:val="00503B4D"/>
    <w:rsid w:val="00504EE9"/>
    <w:rsid w:val="00512027"/>
    <w:rsid w:val="00512DA5"/>
    <w:rsid w:val="0051522B"/>
    <w:rsid w:val="00521576"/>
    <w:rsid w:val="00521D53"/>
    <w:rsid w:val="005230D4"/>
    <w:rsid w:val="005250E6"/>
    <w:rsid w:val="00531B99"/>
    <w:rsid w:val="00542D23"/>
    <w:rsid w:val="0054442C"/>
    <w:rsid w:val="00545817"/>
    <w:rsid w:val="00550285"/>
    <w:rsid w:val="00562492"/>
    <w:rsid w:val="00567D4D"/>
    <w:rsid w:val="00572A20"/>
    <w:rsid w:val="00573408"/>
    <w:rsid w:val="005836F8"/>
    <w:rsid w:val="005917D8"/>
    <w:rsid w:val="005918FA"/>
    <w:rsid w:val="00592A86"/>
    <w:rsid w:val="00594821"/>
    <w:rsid w:val="005B06A4"/>
    <w:rsid w:val="005B4801"/>
    <w:rsid w:val="005C05F4"/>
    <w:rsid w:val="005C23A4"/>
    <w:rsid w:val="005C557C"/>
    <w:rsid w:val="005D1CDF"/>
    <w:rsid w:val="005D2BB7"/>
    <w:rsid w:val="005E61A8"/>
    <w:rsid w:val="005E6B8F"/>
    <w:rsid w:val="005F6419"/>
    <w:rsid w:val="0060543D"/>
    <w:rsid w:val="006104DD"/>
    <w:rsid w:val="00611350"/>
    <w:rsid w:val="006130B5"/>
    <w:rsid w:val="0061442B"/>
    <w:rsid w:val="00617400"/>
    <w:rsid w:val="00632D29"/>
    <w:rsid w:val="00637B80"/>
    <w:rsid w:val="00642F8C"/>
    <w:rsid w:val="00650C24"/>
    <w:rsid w:val="00663674"/>
    <w:rsid w:val="00664950"/>
    <w:rsid w:val="00672615"/>
    <w:rsid w:val="006767C5"/>
    <w:rsid w:val="006812C2"/>
    <w:rsid w:val="00683220"/>
    <w:rsid w:val="00683EAC"/>
    <w:rsid w:val="00687FA0"/>
    <w:rsid w:val="0069068A"/>
    <w:rsid w:val="006921EC"/>
    <w:rsid w:val="006A3C11"/>
    <w:rsid w:val="006B623D"/>
    <w:rsid w:val="006B7010"/>
    <w:rsid w:val="006C3095"/>
    <w:rsid w:val="006C554D"/>
    <w:rsid w:val="006C59F5"/>
    <w:rsid w:val="006D051A"/>
    <w:rsid w:val="006D08E7"/>
    <w:rsid w:val="006D19D0"/>
    <w:rsid w:val="006E07DD"/>
    <w:rsid w:val="006E1151"/>
    <w:rsid w:val="006E2DD3"/>
    <w:rsid w:val="006E6311"/>
    <w:rsid w:val="006E6584"/>
    <w:rsid w:val="006E722D"/>
    <w:rsid w:val="006F4B3F"/>
    <w:rsid w:val="006F549E"/>
    <w:rsid w:val="007145FF"/>
    <w:rsid w:val="00715B2A"/>
    <w:rsid w:val="007235B9"/>
    <w:rsid w:val="00725A8C"/>
    <w:rsid w:val="007261FC"/>
    <w:rsid w:val="007343B7"/>
    <w:rsid w:val="007346D7"/>
    <w:rsid w:val="0074084B"/>
    <w:rsid w:val="007450F1"/>
    <w:rsid w:val="00751515"/>
    <w:rsid w:val="0075505F"/>
    <w:rsid w:val="007626B7"/>
    <w:rsid w:val="00762D94"/>
    <w:rsid w:val="007716CB"/>
    <w:rsid w:val="0078212B"/>
    <w:rsid w:val="00784DF6"/>
    <w:rsid w:val="00785232"/>
    <w:rsid w:val="00792C98"/>
    <w:rsid w:val="00792D24"/>
    <w:rsid w:val="007A0134"/>
    <w:rsid w:val="007A1CC1"/>
    <w:rsid w:val="007A6314"/>
    <w:rsid w:val="007B186C"/>
    <w:rsid w:val="007B786F"/>
    <w:rsid w:val="007C1696"/>
    <w:rsid w:val="007C2850"/>
    <w:rsid w:val="007C3ED0"/>
    <w:rsid w:val="007C5971"/>
    <w:rsid w:val="007D529D"/>
    <w:rsid w:val="007E2C44"/>
    <w:rsid w:val="007F54B9"/>
    <w:rsid w:val="00806A76"/>
    <w:rsid w:val="00810EA7"/>
    <w:rsid w:val="00811C9D"/>
    <w:rsid w:val="00816C80"/>
    <w:rsid w:val="00823AE4"/>
    <w:rsid w:val="00841BCD"/>
    <w:rsid w:val="008426F1"/>
    <w:rsid w:val="00842862"/>
    <w:rsid w:val="00851A8E"/>
    <w:rsid w:val="0085365B"/>
    <w:rsid w:val="00860DF6"/>
    <w:rsid w:val="00870C46"/>
    <w:rsid w:val="0087620F"/>
    <w:rsid w:val="008804B1"/>
    <w:rsid w:val="008826C1"/>
    <w:rsid w:val="00883DFD"/>
    <w:rsid w:val="00885D94"/>
    <w:rsid w:val="008A1BF7"/>
    <w:rsid w:val="008A5B0E"/>
    <w:rsid w:val="008A6C41"/>
    <w:rsid w:val="008B0961"/>
    <w:rsid w:val="008B17C6"/>
    <w:rsid w:val="008B325E"/>
    <w:rsid w:val="008B4345"/>
    <w:rsid w:val="008D102A"/>
    <w:rsid w:val="008D395A"/>
    <w:rsid w:val="008E35E9"/>
    <w:rsid w:val="008E3DD5"/>
    <w:rsid w:val="008F3AD2"/>
    <w:rsid w:val="0090091A"/>
    <w:rsid w:val="00902BF8"/>
    <w:rsid w:val="009042BD"/>
    <w:rsid w:val="00916381"/>
    <w:rsid w:val="009214E8"/>
    <w:rsid w:val="00936159"/>
    <w:rsid w:val="00944ED4"/>
    <w:rsid w:val="00962533"/>
    <w:rsid w:val="00965296"/>
    <w:rsid w:val="00971BC0"/>
    <w:rsid w:val="00977E1D"/>
    <w:rsid w:val="00992998"/>
    <w:rsid w:val="009A77F3"/>
    <w:rsid w:val="009B0573"/>
    <w:rsid w:val="009B1C4E"/>
    <w:rsid w:val="009B7B4B"/>
    <w:rsid w:val="009B7C21"/>
    <w:rsid w:val="009D0574"/>
    <w:rsid w:val="009E09F2"/>
    <w:rsid w:val="009E43CE"/>
    <w:rsid w:val="009E5AE9"/>
    <w:rsid w:val="00A04992"/>
    <w:rsid w:val="00A12801"/>
    <w:rsid w:val="00A147AA"/>
    <w:rsid w:val="00A20757"/>
    <w:rsid w:val="00A21D71"/>
    <w:rsid w:val="00A22B78"/>
    <w:rsid w:val="00A25AE5"/>
    <w:rsid w:val="00A37002"/>
    <w:rsid w:val="00A40714"/>
    <w:rsid w:val="00A416DB"/>
    <w:rsid w:val="00A4197B"/>
    <w:rsid w:val="00A4355E"/>
    <w:rsid w:val="00A46644"/>
    <w:rsid w:val="00A63ADF"/>
    <w:rsid w:val="00A64397"/>
    <w:rsid w:val="00A70B5C"/>
    <w:rsid w:val="00A81B3C"/>
    <w:rsid w:val="00A92BCD"/>
    <w:rsid w:val="00AA1B0E"/>
    <w:rsid w:val="00AA47B6"/>
    <w:rsid w:val="00AA5D5D"/>
    <w:rsid w:val="00AC1078"/>
    <w:rsid w:val="00AC163B"/>
    <w:rsid w:val="00AC2D21"/>
    <w:rsid w:val="00AC5CA7"/>
    <w:rsid w:val="00AC6058"/>
    <w:rsid w:val="00AD24B3"/>
    <w:rsid w:val="00AE2BA5"/>
    <w:rsid w:val="00AE3A80"/>
    <w:rsid w:val="00AE56B1"/>
    <w:rsid w:val="00AE6D09"/>
    <w:rsid w:val="00AF035B"/>
    <w:rsid w:val="00AF7A7C"/>
    <w:rsid w:val="00B02FC0"/>
    <w:rsid w:val="00B03F50"/>
    <w:rsid w:val="00B063E1"/>
    <w:rsid w:val="00B16DE1"/>
    <w:rsid w:val="00B17F44"/>
    <w:rsid w:val="00B25125"/>
    <w:rsid w:val="00B372EB"/>
    <w:rsid w:val="00B408B6"/>
    <w:rsid w:val="00B428F1"/>
    <w:rsid w:val="00B4371A"/>
    <w:rsid w:val="00B542DA"/>
    <w:rsid w:val="00B64B23"/>
    <w:rsid w:val="00B73862"/>
    <w:rsid w:val="00B73F43"/>
    <w:rsid w:val="00B82731"/>
    <w:rsid w:val="00B87A28"/>
    <w:rsid w:val="00B90EDE"/>
    <w:rsid w:val="00B91BDC"/>
    <w:rsid w:val="00BA6B66"/>
    <w:rsid w:val="00BA6E48"/>
    <w:rsid w:val="00BB4EDD"/>
    <w:rsid w:val="00BC4122"/>
    <w:rsid w:val="00BD11BC"/>
    <w:rsid w:val="00BD4032"/>
    <w:rsid w:val="00BE0AF6"/>
    <w:rsid w:val="00BE1F03"/>
    <w:rsid w:val="00BE58A7"/>
    <w:rsid w:val="00BF2218"/>
    <w:rsid w:val="00C03774"/>
    <w:rsid w:val="00C0426B"/>
    <w:rsid w:val="00C045DF"/>
    <w:rsid w:val="00C070AC"/>
    <w:rsid w:val="00C14CA7"/>
    <w:rsid w:val="00C17322"/>
    <w:rsid w:val="00C25829"/>
    <w:rsid w:val="00C26D43"/>
    <w:rsid w:val="00C31283"/>
    <w:rsid w:val="00C37686"/>
    <w:rsid w:val="00C458B9"/>
    <w:rsid w:val="00C46548"/>
    <w:rsid w:val="00C50178"/>
    <w:rsid w:val="00C574D5"/>
    <w:rsid w:val="00C65A09"/>
    <w:rsid w:val="00C73F32"/>
    <w:rsid w:val="00C75E24"/>
    <w:rsid w:val="00C76552"/>
    <w:rsid w:val="00C87462"/>
    <w:rsid w:val="00CA180C"/>
    <w:rsid w:val="00CB22B2"/>
    <w:rsid w:val="00CB7070"/>
    <w:rsid w:val="00CC3EE2"/>
    <w:rsid w:val="00CC595F"/>
    <w:rsid w:val="00CC5FE3"/>
    <w:rsid w:val="00CD03B5"/>
    <w:rsid w:val="00CD040F"/>
    <w:rsid w:val="00CD7492"/>
    <w:rsid w:val="00CE26A2"/>
    <w:rsid w:val="00CE3A6B"/>
    <w:rsid w:val="00CF7408"/>
    <w:rsid w:val="00D00211"/>
    <w:rsid w:val="00D02774"/>
    <w:rsid w:val="00D06309"/>
    <w:rsid w:val="00D12E5F"/>
    <w:rsid w:val="00D257E5"/>
    <w:rsid w:val="00D25E39"/>
    <w:rsid w:val="00D3189E"/>
    <w:rsid w:val="00D33561"/>
    <w:rsid w:val="00D351EA"/>
    <w:rsid w:val="00D4019B"/>
    <w:rsid w:val="00D40288"/>
    <w:rsid w:val="00D43403"/>
    <w:rsid w:val="00D5270B"/>
    <w:rsid w:val="00D61DAC"/>
    <w:rsid w:val="00D62E71"/>
    <w:rsid w:val="00D631E5"/>
    <w:rsid w:val="00D6430D"/>
    <w:rsid w:val="00D64356"/>
    <w:rsid w:val="00D6477C"/>
    <w:rsid w:val="00D66188"/>
    <w:rsid w:val="00D731F6"/>
    <w:rsid w:val="00D740CA"/>
    <w:rsid w:val="00D7737A"/>
    <w:rsid w:val="00D824FA"/>
    <w:rsid w:val="00D85728"/>
    <w:rsid w:val="00D860E9"/>
    <w:rsid w:val="00D908B1"/>
    <w:rsid w:val="00D95481"/>
    <w:rsid w:val="00DA7BC8"/>
    <w:rsid w:val="00DB4189"/>
    <w:rsid w:val="00DB4251"/>
    <w:rsid w:val="00DB6191"/>
    <w:rsid w:val="00DC491E"/>
    <w:rsid w:val="00DC7A13"/>
    <w:rsid w:val="00DD395A"/>
    <w:rsid w:val="00DD54C3"/>
    <w:rsid w:val="00DD7314"/>
    <w:rsid w:val="00DF2997"/>
    <w:rsid w:val="00E003DD"/>
    <w:rsid w:val="00E10BC4"/>
    <w:rsid w:val="00E1415D"/>
    <w:rsid w:val="00E15BAC"/>
    <w:rsid w:val="00E323E9"/>
    <w:rsid w:val="00E34018"/>
    <w:rsid w:val="00E346F8"/>
    <w:rsid w:val="00E437D2"/>
    <w:rsid w:val="00E4787E"/>
    <w:rsid w:val="00E52A5B"/>
    <w:rsid w:val="00E55751"/>
    <w:rsid w:val="00E568C0"/>
    <w:rsid w:val="00E630CE"/>
    <w:rsid w:val="00E63155"/>
    <w:rsid w:val="00E739F2"/>
    <w:rsid w:val="00E74495"/>
    <w:rsid w:val="00E82505"/>
    <w:rsid w:val="00E843D7"/>
    <w:rsid w:val="00E90FBA"/>
    <w:rsid w:val="00E93E56"/>
    <w:rsid w:val="00E94CAF"/>
    <w:rsid w:val="00E9600E"/>
    <w:rsid w:val="00E969BE"/>
    <w:rsid w:val="00EA2200"/>
    <w:rsid w:val="00EA2311"/>
    <w:rsid w:val="00EA5FCF"/>
    <w:rsid w:val="00EA649A"/>
    <w:rsid w:val="00EC20E1"/>
    <w:rsid w:val="00EC520D"/>
    <w:rsid w:val="00EC7BC3"/>
    <w:rsid w:val="00ED3E1E"/>
    <w:rsid w:val="00ED5965"/>
    <w:rsid w:val="00ED7600"/>
    <w:rsid w:val="00EE299E"/>
    <w:rsid w:val="00EF393D"/>
    <w:rsid w:val="00EF3E1B"/>
    <w:rsid w:val="00EF517A"/>
    <w:rsid w:val="00EF6073"/>
    <w:rsid w:val="00EF698B"/>
    <w:rsid w:val="00F030D3"/>
    <w:rsid w:val="00F1362C"/>
    <w:rsid w:val="00F1448D"/>
    <w:rsid w:val="00F33111"/>
    <w:rsid w:val="00F414F1"/>
    <w:rsid w:val="00F508B8"/>
    <w:rsid w:val="00F56B68"/>
    <w:rsid w:val="00F72CB1"/>
    <w:rsid w:val="00F73827"/>
    <w:rsid w:val="00F76594"/>
    <w:rsid w:val="00F8215E"/>
    <w:rsid w:val="00F8224B"/>
    <w:rsid w:val="00F824F5"/>
    <w:rsid w:val="00F90FAB"/>
    <w:rsid w:val="00F92E36"/>
    <w:rsid w:val="00F9374D"/>
    <w:rsid w:val="00FA08F4"/>
    <w:rsid w:val="00FA0ECA"/>
    <w:rsid w:val="00FA5C90"/>
    <w:rsid w:val="00FA68FD"/>
    <w:rsid w:val="00FB116A"/>
    <w:rsid w:val="00FC12D3"/>
    <w:rsid w:val="00FC29B9"/>
    <w:rsid w:val="00FC6FD3"/>
    <w:rsid w:val="00FE305C"/>
    <w:rsid w:val="00FE49BD"/>
    <w:rsid w:val="00FE703C"/>
    <w:rsid w:val="00FF0301"/>
    <w:rsid w:val="00FF5FE6"/>
    <w:rsid w:val="2966F61F"/>
    <w:rsid w:val="34E875F4"/>
    <w:rsid w:val="60CBB092"/>
    <w:rsid w:val="69904C4E"/>
    <w:rsid w:val="7DBAE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6C20E"/>
  <w15:chartTrackingRefBased/>
  <w15:docId w15:val="{49166D67-BD57-4647-8413-A67CA9D65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eufile Grotesk" w:hAnsi="Neufile Grotesk"/>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130D25"/>
    <w:pPr>
      <w:spacing w:after="0" w:line="240" w:lineRule="auto"/>
    </w:pPr>
    <w:rPr>
      <w:rFonts w:ascii="Times New Roman" w:hAnsi="Times New Roman"/>
      <w:sz w:val="20"/>
    </w:rPr>
  </w:style>
  <w:style w:type="character" w:styleId="Mention">
    <w:name w:val="Mention"/>
    <w:basedOn w:val="DefaultParagraphFont"/>
    <w:uiPriority w:val="99"/>
    <w:unhideWhenUsed/>
    <w:rsid w:val="00B16DE1"/>
    <w:rPr>
      <w:color w:val="2B579A"/>
      <w:shd w:val="clear" w:color="auto" w:fill="E1DFDD"/>
    </w:rPr>
  </w:style>
  <w:style w:type="paragraph" w:styleId="Header">
    <w:name w:val="header"/>
    <w:basedOn w:val="Normal"/>
    <w:link w:val="HeaderChar"/>
    <w:uiPriority w:val="99"/>
    <w:semiHidden/>
    <w:unhideWhenUsed/>
    <w:rsid w:val="00A63ADF"/>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63ADF"/>
    <w:rPr>
      <w:rFonts w:ascii="Times New Roman" w:hAnsi="Times New Roman"/>
      <w:sz w:val="20"/>
    </w:rPr>
  </w:style>
  <w:style w:type="paragraph" w:styleId="Footer">
    <w:name w:val="footer"/>
    <w:basedOn w:val="Normal"/>
    <w:link w:val="FooterChar"/>
    <w:uiPriority w:val="99"/>
    <w:semiHidden/>
    <w:unhideWhenUsed/>
    <w:rsid w:val="00A63AD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63AD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https://nokia.sharepoint.com/sites/c5g/5gradio/_layouts/15/DocIdRedir.aspx?ID=5AIRPNAIUNRU-1328258698-21367</Url>
      <Description>5AIRPNAIUNRU-1328258698-21367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1</TotalTime>
  <Pages>4</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8009</CharactersWithSpaces>
  <SharedDoc>false</SharedDoc>
  <HLinks>
    <vt:vector size="12" baseType="variant">
      <vt:variant>
        <vt:i4>1310834</vt:i4>
      </vt:variant>
      <vt:variant>
        <vt:i4>3</vt:i4>
      </vt:variant>
      <vt:variant>
        <vt:i4>0</vt:i4>
      </vt:variant>
      <vt:variant>
        <vt:i4>5</vt:i4>
      </vt:variant>
      <vt:variant>
        <vt:lpwstr>mailto:ilkka.keskitalo@nokia.com</vt:lpwstr>
      </vt:variant>
      <vt:variant>
        <vt:lpwstr/>
      </vt:variant>
      <vt:variant>
        <vt:i4>1310834</vt:i4>
      </vt:variant>
      <vt:variant>
        <vt:i4>0</vt:i4>
      </vt:variant>
      <vt:variant>
        <vt:i4>0</vt:i4>
      </vt:variant>
      <vt:variant>
        <vt:i4>5</vt:i4>
      </vt:variant>
      <vt:variant>
        <vt:lpwstr>mailto:ilkka.keskitalo@nokia.com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4</cp:revision>
  <dcterms:created xsi:type="dcterms:W3CDTF">2023-04-10T10:43:00Z</dcterms:created>
  <dcterms:modified xsi:type="dcterms:W3CDTF">2023-04-10T10:44:00Z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800a6e1e-7f6c-47db-b8b4-d97abb12c9f6</vt:lpwstr>
  </property>
  <property fmtid="{D5CDD505-2E9C-101B-9397-08002B2CF9AE}" pid="11" name="MediaServiceImageTags">
    <vt:lpwstr/>
  </property>
</Properties>
</file>