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7CC2FB8"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104bis</w:t>
      </w:r>
      <w:r w:rsidR="00277C15">
        <w:t>-e</w:t>
      </w:r>
      <w:r w:rsidRPr="00CE0424">
        <w:tab/>
      </w:r>
      <w:r w:rsidR="00231C47" w:rsidRPr="00231C47">
        <w:rPr>
          <w:sz w:val="32"/>
          <w:szCs w:val="32"/>
        </w:rPr>
        <w:t>R4-2216767</w:t>
      </w:r>
    </w:p>
    <w:p w14:paraId="0CE7B7E6" w14:textId="1757C293" w:rsidR="00E90E49" w:rsidRPr="00CE0424" w:rsidRDefault="00D4554E" w:rsidP="00311702">
      <w:pPr>
        <w:pStyle w:val="3GPPHeader"/>
      </w:pPr>
      <w:r w:rsidRPr="009740F8">
        <w:t>Electronic meeting</w:t>
      </w:r>
      <w:r w:rsidR="0027144F" w:rsidRPr="009740F8">
        <w:t xml:space="preserve">, </w:t>
      </w:r>
      <w:r w:rsidRPr="009740F8">
        <w:t>October</w:t>
      </w:r>
      <w:r w:rsidR="0027144F" w:rsidRPr="009740F8">
        <w:t xml:space="preserve"> </w:t>
      </w:r>
      <w:r w:rsidR="009740F8" w:rsidRPr="009740F8">
        <w:t>10</w:t>
      </w:r>
      <w:r w:rsidR="001D53E7" w:rsidRPr="009740F8">
        <w:t xml:space="preserve">th – </w:t>
      </w:r>
      <w:r w:rsidR="009740F8" w:rsidRPr="009740F8">
        <w:t>19</w:t>
      </w:r>
      <w:r w:rsidR="001D53E7" w:rsidRPr="009740F8">
        <w:t>th</w:t>
      </w:r>
      <w:r w:rsidR="00C37CB2" w:rsidRPr="009740F8">
        <w:t xml:space="preserve"> </w:t>
      </w:r>
      <w:r w:rsidR="0027144F" w:rsidRPr="009740F8">
        <w:t>20</w:t>
      </w:r>
      <w:r w:rsidR="009740F8" w:rsidRPr="009740F8">
        <w:t>22</w:t>
      </w:r>
    </w:p>
    <w:p w14:paraId="3086AC07" w14:textId="77777777" w:rsidR="00E90E49" w:rsidRPr="00CE0424" w:rsidRDefault="00E90E49" w:rsidP="00357380">
      <w:pPr>
        <w:pStyle w:val="3GPPHeader"/>
      </w:pPr>
    </w:p>
    <w:p w14:paraId="3982483C" w14:textId="3C7ED858" w:rsidR="00E90E49" w:rsidRPr="00E15F3E" w:rsidRDefault="00E90E49" w:rsidP="00311702">
      <w:pPr>
        <w:pStyle w:val="3GPPHeader"/>
        <w:rPr>
          <w:sz w:val="22"/>
          <w:lang w:val="sv-FI"/>
        </w:rPr>
      </w:pPr>
      <w:r w:rsidRPr="00E15F3E">
        <w:rPr>
          <w:sz w:val="22"/>
          <w:lang w:val="sv-FI"/>
        </w:rPr>
        <w:t>Agenda Item:</w:t>
      </w:r>
      <w:r w:rsidRPr="00E15F3E">
        <w:rPr>
          <w:sz w:val="22"/>
          <w:lang w:val="sv-FI"/>
        </w:rPr>
        <w:tab/>
      </w:r>
      <w:r w:rsidR="006C2D10" w:rsidRPr="00E15F3E">
        <w:rPr>
          <w:sz w:val="22"/>
          <w:lang w:val="sv-FI"/>
        </w:rPr>
        <w:t>7.5.6</w:t>
      </w:r>
      <w:r w:rsidR="006C2D10" w:rsidRPr="00E15F3E" w:rsidDel="006C2D10">
        <w:rPr>
          <w:sz w:val="22"/>
          <w:lang w:val="sv-FI"/>
        </w:rPr>
        <w:t xml:space="preserve"> </w:t>
      </w:r>
    </w:p>
    <w:p w14:paraId="5619E868" w14:textId="77777777" w:rsidR="00E90E49" w:rsidRPr="00E15F3E" w:rsidRDefault="003D3C45" w:rsidP="00F64C2B">
      <w:pPr>
        <w:pStyle w:val="3GPPHeader"/>
        <w:rPr>
          <w:sz w:val="22"/>
        </w:rPr>
      </w:pPr>
      <w:r w:rsidRPr="00E15F3E">
        <w:rPr>
          <w:sz w:val="22"/>
        </w:rPr>
        <w:t>Source:</w:t>
      </w:r>
      <w:r w:rsidR="00E90E49" w:rsidRPr="00E15F3E">
        <w:rPr>
          <w:sz w:val="22"/>
        </w:rPr>
        <w:tab/>
      </w:r>
      <w:r w:rsidR="00F64C2B" w:rsidRPr="00E15F3E">
        <w:rPr>
          <w:sz w:val="22"/>
        </w:rPr>
        <w:t>Ericsson</w:t>
      </w:r>
    </w:p>
    <w:p w14:paraId="3AF5C9FA" w14:textId="5D589AFF" w:rsidR="00E90E49" w:rsidRPr="00E15F3E" w:rsidRDefault="003D3C45" w:rsidP="00311702">
      <w:pPr>
        <w:pStyle w:val="3GPPHeader"/>
        <w:rPr>
          <w:sz w:val="22"/>
        </w:rPr>
      </w:pPr>
      <w:r w:rsidRPr="00E15F3E">
        <w:rPr>
          <w:sz w:val="22"/>
        </w:rPr>
        <w:t>Title:</w:t>
      </w:r>
      <w:r w:rsidR="00E90E49" w:rsidRPr="00E15F3E">
        <w:rPr>
          <w:sz w:val="22"/>
        </w:rPr>
        <w:tab/>
      </w:r>
      <w:r w:rsidR="00082090" w:rsidRPr="00E15F3E">
        <w:rPr>
          <w:sz w:val="22"/>
        </w:rPr>
        <w:t xml:space="preserve">Discussions on </w:t>
      </w:r>
      <w:r w:rsidR="002929BA" w:rsidRPr="00E15F3E">
        <w:rPr>
          <w:sz w:val="22"/>
        </w:rPr>
        <w:t xml:space="preserve">NTN IoT </w:t>
      </w:r>
      <w:r w:rsidR="00082090" w:rsidRPr="00E15F3E">
        <w:rPr>
          <w:sz w:val="22"/>
        </w:rPr>
        <w:t>RRM requirements</w:t>
      </w:r>
    </w:p>
    <w:p w14:paraId="025260C1" w14:textId="77777777" w:rsidR="00E90E49" w:rsidRPr="00CE0424" w:rsidRDefault="00E90E49" w:rsidP="00D546FF">
      <w:pPr>
        <w:pStyle w:val="3GPPHeader"/>
        <w:rPr>
          <w:sz w:val="22"/>
        </w:rPr>
      </w:pPr>
      <w:r w:rsidRPr="00E15F3E">
        <w:rPr>
          <w:sz w:val="22"/>
        </w:rPr>
        <w:t>Document for:</w:t>
      </w:r>
      <w:r w:rsidRPr="00E15F3E">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7AC3D6C8" w14:textId="50298735" w:rsidR="002843B9" w:rsidRDefault="00940DE9" w:rsidP="00940DE9">
      <w:pPr>
        <w:pStyle w:val="BodyText"/>
      </w:pPr>
      <w:r>
        <w:t xml:space="preserve">During RAN4#104-e, </w:t>
      </w:r>
      <w:r w:rsidR="00BC3D55">
        <w:t xml:space="preserve">RAN4 had initial discussions to identify the </w:t>
      </w:r>
      <w:r w:rsidR="00440C79">
        <w:t xml:space="preserve">RRM impact of introducing requirements for </w:t>
      </w:r>
      <w:r w:rsidR="002843B9">
        <w:t xml:space="preserve">IoT NTN and good progress wade made. The summary of the discussions </w:t>
      </w:r>
      <w:r w:rsidR="003847FD">
        <w:t>was</w:t>
      </w:r>
      <w:r w:rsidR="002843B9">
        <w:t xml:space="preserve"> summarized in [1]</w:t>
      </w:r>
      <w:r w:rsidR="00F248FA">
        <w:t>.</w:t>
      </w:r>
    </w:p>
    <w:p w14:paraId="72393555" w14:textId="23A1DD76" w:rsidR="003B2DAE" w:rsidRPr="007348C3" w:rsidRDefault="00F248FA" w:rsidP="00940DE9">
      <w:pPr>
        <w:pStyle w:val="BodyText"/>
      </w:pPr>
      <w:r>
        <w:t>In this contribution we further discuss and provide our view on the open issues identified at last meeting and other issues necessary to complete the work item.</w:t>
      </w:r>
    </w:p>
    <w:p w14:paraId="60123794" w14:textId="44508DEF" w:rsidR="004000E8" w:rsidRDefault="00230D18" w:rsidP="00CE0424">
      <w:pPr>
        <w:pStyle w:val="Heading1"/>
      </w:pPr>
      <w:bookmarkStart w:id="0" w:name="_Ref178064866"/>
      <w:r>
        <w:t>2</w:t>
      </w:r>
      <w:r>
        <w:tab/>
      </w:r>
      <w:r w:rsidR="004000E8" w:rsidRPr="00CE0424">
        <w:t>Discussion</w:t>
      </w:r>
      <w:bookmarkEnd w:id="0"/>
    </w:p>
    <w:p w14:paraId="4BC66E43" w14:textId="77777777" w:rsidR="001A7CD0" w:rsidRDefault="001A7CD0" w:rsidP="001A7CD0">
      <w:pPr>
        <w:pStyle w:val="Heading2"/>
      </w:pPr>
      <w:r>
        <w:t>2.1</w:t>
      </w:r>
      <w:r>
        <w:tab/>
      </w:r>
      <w:r w:rsidR="007C584C">
        <w:t>General</w:t>
      </w:r>
    </w:p>
    <w:p w14:paraId="6CE51BFC" w14:textId="2D5B216C" w:rsidR="004F6DB8" w:rsidRDefault="004F6DB8" w:rsidP="004F6DB8">
      <w:pPr>
        <w:pStyle w:val="Heading2"/>
      </w:pPr>
      <w:r>
        <w:t>2.2</w:t>
      </w:r>
      <w:r>
        <w:tab/>
      </w:r>
      <w:r w:rsidR="00F72E80">
        <w:t xml:space="preserve">IDLE mode </w:t>
      </w:r>
      <w:r>
        <w:t>Mobility</w:t>
      </w:r>
    </w:p>
    <w:p w14:paraId="307F7663" w14:textId="039EDA9B" w:rsidR="008372A1" w:rsidRDefault="008372A1" w:rsidP="008372A1">
      <w:pPr>
        <w:rPr>
          <w:lang w:val="en-GB" w:eastAsia="ja-JP"/>
        </w:rPr>
      </w:pPr>
      <w:r>
        <w:rPr>
          <w:lang w:val="en-GB" w:eastAsia="ja-JP"/>
        </w:rPr>
        <w:t xml:space="preserve">Following agreement was reached regarding availability of </w:t>
      </w:r>
      <w:r w:rsidR="00026FC2">
        <w:rPr>
          <w:lang w:val="en-GB" w:eastAsia="ja-JP"/>
        </w:rPr>
        <w:t>valid information for the neighbour/target cell</w:t>
      </w:r>
      <w:r w:rsidR="0060050C">
        <w:rPr>
          <w:lang w:val="en-GB" w:eastAsia="ja-JP"/>
        </w:rPr>
        <w:t xml:space="preserve"> [1]</w:t>
      </w:r>
      <w:r w:rsidR="00026FC2">
        <w:rPr>
          <w:lang w:val="en-GB" w:eastAsia="ja-JP"/>
        </w:rPr>
        <w:t>:</w:t>
      </w:r>
    </w:p>
    <w:tbl>
      <w:tblPr>
        <w:tblStyle w:val="TableGrid"/>
        <w:tblW w:w="0" w:type="auto"/>
        <w:tblLook w:val="04A0" w:firstRow="1" w:lastRow="0" w:firstColumn="1" w:lastColumn="0" w:noHBand="0" w:noVBand="1"/>
      </w:tblPr>
      <w:tblGrid>
        <w:gridCol w:w="9629"/>
      </w:tblGrid>
      <w:tr w:rsidR="00026FC2" w14:paraId="03DE9FAB" w14:textId="77777777" w:rsidTr="00026FC2">
        <w:tc>
          <w:tcPr>
            <w:tcW w:w="9629" w:type="dxa"/>
          </w:tcPr>
          <w:p w14:paraId="77D87495" w14:textId="77777777" w:rsidR="0060050C" w:rsidRPr="004C3164" w:rsidRDefault="0060050C" w:rsidP="0060050C">
            <w:pPr>
              <w:pStyle w:val="Heading4"/>
              <w:ind w:left="0" w:firstLine="0"/>
              <w:outlineLvl w:val="3"/>
            </w:pPr>
            <w:r w:rsidRPr="004C3164">
              <w:t>Issue 1-3-2: information for the neighbor/target cell</w:t>
            </w:r>
          </w:p>
          <w:p w14:paraId="66952CA5" w14:textId="260BD83F" w:rsidR="00026FC2" w:rsidRPr="0060050C" w:rsidRDefault="0060050C" w:rsidP="0016206D">
            <w:pPr>
              <w:pStyle w:val="ListParagraph"/>
              <w:numPr>
                <w:ilvl w:val="0"/>
                <w:numId w:val="13"/>
              </w:numPr>
              <w:overflowPunct w:val="0"/>
              <w:autoSpaceDE w:val="0"/>
              <w:autoSpaceDN w:val="0"/>
              <w:adjustRightInd w:val="0"/>
              <w:spacing w:after="180" w:line="240" w:lineRule="auto"/>
              <w:textAlignment w:val="baseline"/>
              <w:rPr>
                <w:rFonts w:eastAsia="PMingLiU"/>
                <w:iCs/>
                <w:color w:val="4472C4" w:themeColor="accent1"/>
                <w:lang w:val="en-US" w:eastAsia="zh-TW"/>
              </w:rPr>
            </w:pPr>
            <w:r w:rsidRPr="004C3164">
              <w:rPr>
                <w:rFonts w:eastAsia="PMingLiU"/>
                <w:color w:val="4472C4" w:themeColor="accent1"/>
                <w:szCs w:val="24"/>
                <w:lang w:eastAsia="zh-TW"/>
              </w:rPr>
              <w:t>Similar as NR NTN, the mobility and measurement requirements for IoT NTN apply provided that valid information for the neighbour/target cell is made available to the UE.</w:t>
            </w:r>
          </w:p>
        </w:tc>
      </w:tr>
    </w:tbl>
    <w:p w14:paraId="46ED679A" w14:textId="77777777" w:rsidR="00026FC2" w:rsidRPr="008372A1" w:rsidRDefault="00026FC2" w:rsidP="008372A1">
      <w:pPr>
        <w:rPr>
          <w:lang w:val="en-GB" w:eastAsia="ja-JP"/>
        </w:rPr>
      </w:pPr>
    </w:p>
    <w:p w14:paraId="0E8A156A" w14:textId="45984AD8" w:rsidR="00F71DCE" w:rsidRDefault="0060050C" w:rsidP="00C92A67">
      <w:pPr>
        <w:rPr>
          <w:lang w:val="en-GB" w:eastAsia="ja-JP"/>
        </w:rPr>
      </w:pPr>
      <w:r>
        <w:rPr>
          <w:lang w:val="en-GB" w:eastAsia="ja-JP"/>
        </w:rPr>
        <w:t xml:space="preserve">As this agreement affects RAN2, it is suggested to </w:t>
      </w:r>
      <w:r w:rsidR="008537C5">
        <w:rPr>
          <w:lang w:val="en-GB" w:eastAsia="ja-JP"/>
        </w:rPr>
        <w:t>inform RAN2 to ensure that valid information about the neighbour/target cells are made available at the UE for performing the IDLE/INACTIVE mode procedures.</w:t>
      </w:r>
    </w:p>
    <w:p w14:paraId="46A27671" w14:textId="3B40B820" w:rsidR="008537C5" w:rsidRPr="00D96491" w:rsidRDefault="00B37F7E" w:rsidP="0016206D">
      <w:pPr>
        <w:pStyle w:val="Proposal"/>
        <w:numPr>
          <w:ilvl w:val="0"/>
          <w:numId w:val="2"/>
        </w:numPr>
        <w:tabs>
          <w:tab w:val="clear" w:pos="5841"/>
        </w:tabs>
        <w:ind w:left="1701" w:hanging="1701"/>
        <w:rPr>
          <w:color w:val="000000" w:themeColor="text1"/>
          <w:lang w:val="en-GB"/>
        </w:rPr>
      </w:pPr>
      <w:r w:rsidRPr="001025E2">
        <w:rPr>
          <w:color w:val="000000" w:themeColor="text1"/>
          <w:lang w:val="en-GB"/>
        </w:rPr>
        <w:t>RAN4 to inform RAN2 about RAN4 agreement th</w:t>
      </w:r>
      <w:r w:rsidR="001025E2" w:rsidRPr="001025E2">
        <w:rPr>
          <w:color w:val="000000" w:themeColor="text1"/>
          <w:lang w:val="en-GB"/>
        </w:rPr>
        <w:t xml:space="preserve">at RAN4 assumes valid information about neighbour cells are available at the UE to perform the neighbour cell measurements. </w:t>
      </w:r>
    </w:p>
    <w:p w14:paraId="0EE38CC9" w14:textId="77777777" w:rsidR="0060050C" w:rsidRDefault="0060050C" w:rsidP="00C92A67">
      <w:pPr>
        <w:rPr>
          <w:u w:val="single"/>
          <w:lang w:val="en-GB" w:eastAsia="ja-JP"/>
        </w:rPr>
      </w:pPr>
    </w:p>
    <w:p w14:paraId="39B2F3EF" w14:textId="1613C0DE" w:rsidR="00A85DAB" w:rsidRDefault="00DC0EBA" w:rsidP="008F661C">
      <w:r>
        <w:t>T</w:t>
      </w:r>
      <w:r w:rsidR="00F97E03">
        <w:t xml:space="preserve">he </w:t>
      </w:r>
      <w:r>
        <w:t>open issue related to the exact measurement capability of NGSO satellites is shown below:</w:t>
      </w:r>
    </w:p>
    <w:tbl>
      <w:tblPr>
        <w:tblStyle w:val="TableGrid"/>
        <w:tblW w:w="0" w:type="auto"/>
        <w:tblLook w:val="04A0" w:firstRow="1" w:lastRow="0" w:firstColumn="1" w:lastColumn="0" w:noHBand="0" w:noVBand="1"/>
      </w:tblPr>
      <w:tblGrid>
        <w:gridCol w:w="9629"/>
      </w:tblGrid>
      <w:tr w:rsidR="00886F73" w14:paraId="3ADE88C5" w14:textId="77777777" w:rsidTr="00886F73">
        <w:tc>
          <w:tcPr>
            <w:tcW w:w="9629" w:type="dxa"/>
          </w:tcPr>
          <w:p w14:paraId="0631C8FC" w14:textId="77777777" w:rsidR="00886F73" w:rsidRPr="004C3164" w:rsidRDefault="00886F73" w:rsidP="00886F73">
            <w:pPr>
              <w:pStyle w:val="Heading4"/>
              <w:ind w:left="0" w:firstLine="0"/>
              <w:outlineLvl w:val="3"/>
            </w:pPr>
            <w:r w:rsidRPr="004C3164">
              <w:lastRenderedPageBreak/>
              <w:t>__Issue 1-3-4: measurement capability on number of NGSO satellites</w:t>
            </w:r>
          </w:p>
          <w:p w14:paraId="3EF80FBD" w14:textId="77777777" w:rsidR="00886F73" w:rsidRPr="004C3164" w:rsidRDefault="00886F73" w:rsidP="0016206D">
            <w:pPr>
              <w:pStyle w:val="ListParagraph"/>
              <w:numPr>
                <w:ilvl w:val="0"/>
                <w:numId w:val="13"/>
              </w:numPr>
              <w:overflowPunct w:val="0"/>
              <w:autoSpaceDE w:val="0"/>
              <w:autoSpaceDN w:val="0"/>
              <w:adjustRightInd w:val="0"/>
              <w:spacing w:after="180" w:line="240" w:lineRule="auto"/>
              <w:textAlignment w:val="baseline"/>
              <w:rPr>
                <w:rFonts w:eastAsia="PMingLiU"/>
                <w:iCs/>
                <w:lang w:val="en-US" w:eastAsia="zh-TW"/>
              </w:rPr>
            </w:pPr>
            <w:r w:rsidRPr="004C3164">
              <w:rPr>
                <w:szCs w:val="24"/>
                <w:lang w:eastAsia="zh-CN"/>
              </w:rPr>
              <w:t>FFS For both NB and M1 in NGSO, the number of target satellites UE needs to monitor [per carrier] is 2 including serving LEO satellite.</w:t>
            </w:r>
          </w:p>
          <w:p w14:paraId="3C2A3921" w14:textId="0EF4EF12" w:rsidR="00886F73" w:rsidRPr="00886F73" w:rsidRDefault="00886F73" w:rsidP="0016206D">
            <w:pPr>
              <w:pStyle w:val="ListParagraph"/>
              <w:numPr>
                <w:ilvl w:val="1"/>
                <w:numId w:val="13"/>
              </w:numPr>
              <w:overflowPunct w:val="0"/>
              <w:autoSpaceDE w:val="0"/>
              <w:autoSpaceDN w:val="0"/>
              <w:adjustRightInd w:val="0"/>
              <w:spacing w:after="180" w:line="240" w:lineRule="auto"/>
              <w:textAlignment w:val="baseline"/>
              <w:rPr>
                <w:rFonts w:eastAsia="PMingLiU"/>
                <w:iCs/>
                <w:lang w:val="en-US" w:eastAsia="zh-TW"/>
              </w:rPr>
            </w:pPr>
            <w:r w:rsidRPr="004C3164">
              <w:rPr>
                <w:rFonts w:eastAsia="PMingLiU"/>
                <w:iCs/>
                <w:lang w:val="en-US" w:eastAsia="zh-TW"/>
              </w:rPr>
              <w:t>FFS whether to introduce UE capability for the number of target satellites the UE can monitor per carrier including serving LEO satellite, which can be up to 4</w:t>
            </w:r>
          </w:p>
        </w:tc>
      </w:tr>
    </w:tbl>
    <w:p w14:paraId="3926CFDC" w14:textId="77777777" w:rsidR="00886F73" w:rsidRDefault="00886F73" w:rsidP="008F661C"/>
    <w:p w14:paraId="7112C126" w14:textId="52658689" w:rsidR="00F97E03" w:rsidRDefault="00CD1B4E" w:rsidP="008F661C">
      <w:r>
        <w:t xml:space="preserve">The measurement capability in Rel-17 NTN WI is </w:t>
      </w:r>
      <w:r w:rsidR="00D95773">
        <w:t xml:space="preserve">that the NTN UE monitors 4 </w:t>
      </w:r>
      <w:r w:rsidR="002A0AE9">
        <w:t xml:space="preserve">satellites </w:t>
      </w:r>
      <w:r w:rsidR="00BD5A3A">
        <w:t>including LEO</w:t>
      </w:r>
      <w:r w:rsidR="00932110">
        <w:t xml:space="preserve">. </w:t>
      </w:r>
      <w:r w:rsidR="00636B5E">
        <w:t>However, w</w:t>
      </w:r>
      <w:r w:rsidR="00932110">
        <w:t>e understand that the IoT UEs are typically low complexity UEs compared to legacy UEs</w:t>
      </w:r>
      <w:r w:rsidR="00636B5E">
        <w:t xml:space="preserve"> and hence may not have the same capability to monitor the same number of satellites as normal NR NTN UE</w:t>
      </w:r>
      <w:r w:rsidR="00932110">
        <w:t xml:space="preserve">. </w:t>
      </w:r>
      <w:r w:rsidR="004213A5">
        <w:t>Therefore,</w:t>
      </w:r>
      <w:r w:rsidR="00932110">
        <w:t xml:space="preserve"> we can compromise to </w:t>
      </w:r>
      <w:r w:rsidR="008746A8">
        <w:t xml:space="preserve">the option that UE monitors 2 satellites including a LEO satellite. </w:t>
      </w:r>
    </w:p>
    <w:p w14:paraId="5CE3D6E9" w14:textId="7B33ED36" w:rsidR="00FC3EF3" w:rsidRPr="006630FD" w:rsidRDefault="00FC3EF3" w:rsidP="0016206D">
      <w:pPr>
        <w:pStyle w:val="Proposal"/>
        <w:numPr>
          <w:ilvl w:val="0"/>
          <w:numId w:val="2"/>
        </w:numPr>
        <w:tabs>
          <w:tab w:val="clear" w:pos="5841"/>
        </w:tabs>
        <w:ind w:left="1701" w:hanging="1701"/>
        <w:rPr>
          <w:color w:val="000000" w:themeColor="text1"/>
          <w:lang w:val="en-GB"/>
        </w:rPr>
      </w:pPr>
      <w:r w:rsidRPr="006630FD">
        <w:rPr>
          <w:szCs w:val="24"/>
        </w:rPr>
        <w:t>For both NB</w:t>
      </w:r>
      <w:r w:rsidR="005F7B6E" w:rsidRPr="006630FD">
        <w:rPr>
          <w:szCs w:val="24"/>
        </w:rPr>
        <w:t>-IoT</w:t>
      </w:r>
      <w:r w:rsidRPr="006630FD">
        <w:rPr>
          <w:szCs w:val="24"/>
        </w:rPr>
        <w:t xml:space="preserve"> and </w:t>
      </w:r>
      <w:r w:rsidR="005F7B6E" w:rsidRPr="006630FD">
        <w:rPr>
          <w:szCs w:val="24"/>
        </w:rPr>
        <w:t>eMTC UEs</w:t>
      </w:r>
      <w:r w:rsidRPr="006630FD">
        <w:rPr>
          <w:szCs w:val="24"/>
        </w:rPr>
        <w:t xml:space="preserve"> in NGSO, the number of target satellites UE needs to monitor per carrier is 2 including serving LEO satellite.</w:t>
      </w:r>
    </w:p>
    <w:p w14:paraId="3E3D744F" w14:textId="77777777" w:rsidR="00807443" w:rsidRPr="00F86C99" w:rsidRDefault="00807443" w:rsidP="008F661C"/>
    <w:tbl>
      <w:tblPr>
        <w:tblStyle w:val="TableGrid"/>
        <w:tblW w:w="0" w:type="auto"/>
        <w:tblLook w:val="04A0" w:firstRow="1" w:lastRow="0" w:firstColumn="1" w:lastColumn="0" w:noHBand="0" w:noVBand="1"/>
      </w:tblPr>
      <w:tblGrid>
        <w:gridCol w:w="9629"/>
      </w:tblGrid>
      <w:tr w:rsidR="008006BF" w:rsidRPr="00F86C99" w14:paraId="3DD999C8" w14:textId="77777777" w:rsidTr="008006BF">
        <w:tc>
          <w:tcPr>
            <w:tcW w:w="9629" w:type="dxa"/>
          </w:tcPr>
          <w:p w14:paraId="53C6355E" w14:textId="52BADABB" w:rsidR="008006BF" w:rsidRPr="00F86C99" w:rsidRDefault="008006BF" w:rsidP="008006BF">
            <w:pPr>
              <w:pStyle w:val="Heading4"/>
              <w:ind w:left="0" w:firstLine="0"/>
              <w:outlineLvl w:val="3"/>
              <w:rPr>
                <w:rFonts w:eastAsia="SimSun"/>
                <w:szCs w:val="18"/>
                <w:lang w:val="en-US" w:eastAsia="zh-CN"/>
              </w:rPr>
            </w:pPr>
            <w:r w:rsidRPr="00F86C99">
              <w:rPr>
                <w:rFonts w:eastAsia="SimSun"/>
              </w:rPr>
              <w:t>__Issue 1-3-5: For NGSO, Doppler shift impact in Multiple NGSO satellites</w:t>
            </w:r>
          </w:p>
          <w:p w14:paraId="75FA2B71" w14:textId="77777777" w:rsidR="008006BF" w:rsidRPr="00F86C99" w:rsidRDefault="008006BF" w:rsidP="0016206D">
            <w:pPr>
              <w:pStyle w:val="ListParagraph"/>
              <w:numPr>
                <w:ilvl w:val="0"/>
                <w:numId w:val="24"/>
              </w:numPr>
              <w:overflowPunct w:val="0"/>
              <w:autoSpaceDE w:val="0"/>
              <w:autoSpaceDN w:val="0"/>
              <w:adjustRightInd w:val="0"/>
              <w:spacing w:after="180" w:line="240" w:lineRule="auto"/>
              <w:rPr>
                <w:rFonts w:eastAsia="PMingLiU"/>
                <w:iCs/>
                <w:lang w:val="en-US" w:eastAsia="zh-TW"/>
              </w:rPr>
            </w:pPr>
            <w:r w:rsidRPr="00F86C99">
              <w:rPr>
                <w:lang w:val="en-US"/>
              </w:rPr>
              <w:t>RAN4 shall investigate Doppler shift impact on the overlapping receiving window from multiple intra-frequency and multiple inter-frequency satellites on IoT NTN</w:t>
            </w:r>
          </w:p>
          <w:p w14:paraId="19617528" w14:textId="77777777" w:rsidR="008006BF" w:rsidRPr="00F86C99" w:rsidRDefault="008006BF" w:rsidP="0016206D">
            <w:pPr>
              <w:pStyle w:val="ListParagraph"/>
              <w:numPr>
                <w:ilvl w:val="1"/>
                <w:numId w:val="24"/>
              </w:numPr>
              <w:overflowPunct w:val="0"/>
              <w:autoSpaceDE w:val="0"/>
              <w:autoSpaceDN w:val="0"/>
              <w:adjustRightInd w:val="0"/>
              <w:spacing w:after="180" w:line="240" w:lineRule="auto"/>
              <w:rPr>
                <w:rFonts w:eastAsia="PMingLiU"/>
                <w:iCs/>
                <w:lang w:val="en-US" w:eastAsia="zh-TW"/>
              </w:rPr>
            </w:pPr>
            <w:r w:rsidRPr="00F86C99">
              <w:rPr>
                <w:rFonts w:eastAsia="PMingLiU"/>
                <w:iCs/>
                <w:lang w:val="en-US" w:eastAsia="zh-TW"/>
              </w:rPr>
              <w:t>Except NB-IoT in Connected mode</w:t>
            </w:r>
          </w:p>
          <w:p w14:paraId="4AD8309C" w14:textId="77777777" w:rsidR="008006BF" w:rsidRPr="00F86C99" w:rsidRDefault="008006BF" w:rsidP="0016206D">
            <w:pPr>
              <w:pStyle w:val="ListParagraph"/>
              <w:numPr>
                <w:ilvl w:val="0"/>
                <w:numId w:val="24"/>
              </w:numPr>
              <w:overflowPunct w:val="0"/>
              <w:autoSpaceDE w:val="0"/>
              <w:autoSpaceDN w:val="0"/>
              <w:adjustRightInd w:val="0"/>
              <w:spacing w:after="180" w:line="240" w:lineRule="auto"/>
              <w:rPr>
                <w:rFonts w:eastAsia="PMingLiU"/>
                <w:iCs/>
                <w:lang w:val="en-US" w:eastAsia="zh-TW"/>
              </w:rPr>
            </w:pPr>
            <w:r w:rsidRPr="00F86C99">
              <w:rPr>
                <w:rFonts w:eastAsia="PMingLiU"/>
                <w:lang w:val="en-US" w:eastAsia="zh-TW"/>
              </w:rPr>
              <w:t>FFS the following proposals</w:t>
            </w:r>
          </w:p>
          <w:p w14:paraId="62CDA989" w14:textId="77777777" w:rsidR="008006BF" w:rsidRPr="00F86C99" w:rsidRDefault="008006BF" w:rsidP="0016206D">
            <w:pPr>
              <w:pStyle w:val="ListParagraph"/>
              <w:numPr>
                <w:ilvl w:val="1"/>
                <w:numId w:val="24"/>
              </w:numPr>
              <w:overflowPunct w:val="0"/>
              <w:autoSpaceDE w:val="0"/>
              <w:autoSpaceDN w:val="0"/>
              <w:adjustRightInd w:val="0"/>
              <w:spacing w:after="180" w:line="240" w:lineRule="auto"/>
              <w:rPr>
                <w:rFonts w:eastAsia="PMingLiU"/>
                <w:iCs/>
                <w:lang w:val="en-US" w:eastAsia="zh-TW"/>
              </w:rPr>
            </w:pPr>
            <w:r w:rsidRPr="00F86C99">
              <w:rPr>
                <w:rFonts w:eastAsia="PMingLiU"/>
                <w:iCs/>
                <w:lang w:val="en-US" w:eastAsia="zh-TW"/>
              </w:rPr>
              <w:t xml:space="preserve">the scaling factor for measurement of multiple LEO satellites should also apply </w:t>
            </w:r>
          </w:p>
          <w:p w14:paraId="06EDD6F2" w14:textId="77777777" w:rsidR="008006BF" w:rsidRPr="00F86C99" w:rsidRDefault="008006BF" w:rsidP="0016206D">
            <w:pPr>
              <w:pStyle w:val="ListParagraph"/>
              <w:numPr>
                <w:ilvl w:val="1"/>
                <w:numId w:val="24"/>
              </w:numPr>
              <w:overflowPunct w:val="0"/>
              <w:autoSpaceDE w:val="0"/>
              <w:autoSpaceDN w:val="0"/>
              <w:adjustRightInd w:val="0"/>
              <w:spacing w:after="180" w:line="240" w:lineRule="auto"/>
              <w:rPr>
                <w:rFonts w:eastAsia="PMingLiU"/>
                <w:iCs/>
                <w:lang w:val="en-US" w:eastAsia="zh-TW"/>
              </w:rPr>
            </w:pPr>
            <w:r w:rsidRPr="00F86C99">
              <w:rPr>
                <w:rFonts w:eastAsia="PMingLiU"/>
                <w:iCs/>
                <w:lang w:val="en-US" w:eastAsia="zh-TW"/>
              </w:rPr>
              <w:t>For eMTC over NTN, RAN4 not to define scheduling restriction due to RRM measurement</w:t>
            </w:r>
          </w:p>
          <w:p w14:paraId="278BEB96" w14:textId="77777777" w:rsidR="008006BF" w:rsidRPr="00F86C99" w:rsidRDefault="008006BF" w:rsidP="008F661C"/>
        </w:tc>
      </w:tr>
    </w:tbl>
    <w:p w14:paraId="7F6BE3C0" w14:textId="77777777" w:rsidR="008006BF" w:rsidRPr="00F86C99" w:rsidRDefault="008006BF" w:rsidP="008F661C"/>
    <w:p w14:paraId="0D5E5EFA" w14:textId="2A959255" w:rsidR="001121DD" w:rsidRPr="00F86C99" w:rsidRDefault="001121DD" w:rsidP="001121DD">
      <w:pPr>
        <w:pStyle w:val="IvDbodytext"/>
        <w:rPr>
          <w:rStyle w:val="IvDbodytextChar"/>
        </w:rPr>
      </w:pPr>
      <w:r w:rsidRPr="00F86C99">
        <w:rPr>
          <w:rStyle w:val="IvDbodytextChar"/>
        </w:rPr>
        <w:t xml:space="preserve">Doppler frequency in IoT NTN </w:t>
      </w:r>
      <w:r w:rsidR="00ED6B74" w:rsidRPr="00F86C99">
        <w:rPr>
          <w:rStyle w:val="IvDbodytextChar"/>
        </w:rPr>
        <w:t>may</w:t>
      </w:r>
      <w:r w:rsidRPr="00F86C99">
        <w:rPr>
          <w:rStyle w:val="IvDbodytextChar"/>
        </w:rPr>
        <w:t xml:space="preserve"> be </w:t>
      </w:r>
      <w:r w:rsidR="007A724B" w:rsidRPr="00F86C99">
        <w:rPr>
          <w:rStyle w:val="IvDbodytextChar"/>
        </w:rPr>
        <w:t>rather</w:t>
      </w:r>
      <w:r w:rsidRPr="00F86C99">
        <w:rPr>
          <w:rStyle w:val="IvDbodytextChar"/>
        </w:rPr>
        <w:t xml:space="preserve"> large depending on the satellite deployment scenario. The Doppler frequencies corresponding to different satellite deployment scenario are listed below in table 1 from TR 38.811 v15.4.0. The maximal Doppler shift is 48KHz in LEO case. The Doppler frequency is therefore much more critical issue</w:t>
      </w:r>
      <w:r w:rsidRPr="00F86C99" w:rsidDel="00AB58D1">
        <w:rPr>
          <w:rStyle w:val="IvDbodytextChar"/>
        </w:rPr>
        <w:t xml:space="preserve"> </w:t>
      </w:r>
      <w:r w:rsidRPr="00F86C99">
        <w:rPr>
          <w:rStyle w:val="IvDbodytextChar"/>
        </w:rPr>
        <w:t>compared to legacy TN system.</w:t>
      </w:r>
    </w:p>
    <w:tbl>
      <w:tblPr>
        <w:tblStyle w:val="TableGrid"/>
        <w:tblW w:w="0" w:type="auto"/>
        <w:tblLook w:val="04A0" w:firstRow="1" w:lastRow="0" w:firstColumn="1" w:lastColumn="0" w:noHBand="0" w:noVBand="1"/>
      </w:tblPr>
      <w:tblGrid>
        <w:gridCol w:w="9062"/>
      </w:tblGrid>
      <w:tr w:rsidR="006105B8" w:rsidRPr="00F86C99" w14:paraId="36DF3BA0" w14:textId="77777777" w:rsidTr="00CF2DDE">
        <w:tc>
          <w:tcPr>
            <w:tcW w:w="9062" w:type="dxa"/>
          </w:tcPr>
          <w:p w14:paraId="1562399D" w14:textId="77777777" w:rsidR="006105B8" w:rsidRPr="00F86C99" w:rsidRDefault="006105B8" w:rsidP="00CF2DDE">
            <w:pPr>
              <w:pStyle w:val="TH"/>
              <w:rPr>
                <w:rFonts w:eastAsia="Times New Roman" w:cs="Arial"/>
                <w:sz w:val="16"/>
                <w:szCs w:val="14"/>
                <w:lang w:val="en-US"/>
              </w:rPr>
            </w:pPr>
            <w:r w:rsidRPr="00F86C99">
              <w:rPr>
                <w:sz w:val="16"/>
                <w:szCs w:val="16"/>
                <w:lang w:val="en-US"/>
              </w:rPr>
              <w:t>Table 1: Summary of Doppler shift and shift variation for different altitudes</w:t>
            </w:r>
          </w:p>
          <w:tbl>
            <w:tblPr>
              <w:tblpPr w:leftFromText="180" w:rightFromText="180" w:vertAnchor="text"/>
              <w:tblW w:w="5000" w:type="pct"/>
              <w:tblCellMar>
                <w:left w:w="0" w:type="dxa"/>
                <w:right w:w="0" w:type="dxa"/>
              </w:tblCellMar>
              <w:tblLook w:val="04A0" w:firstRow="1" w:lastRow="0" w:firstColumn="1" w:lastColumn="0" w:noHBand="0" w:noVBand="1"/>
            </w:tblPr>
            <w:tblGrid>
              <w:gridCol w:w="1476"/>
              <w:gridCol w:w="1906"/>
              <w:gridCol w:w="1658"/>
              <w:gridCol w:w="1894"/>
              <w:gridCol w:w="1892"/>
            </w:tblGrid>
            <w:tr w:rsidR="006105B8" w:rsidRPr="00F86C99" w14:paraId="5FD23FEE" w14:textId="77777777" w:rsidTr="00CF2DDE">
              <w:trPr>
                <w:cantSplit/>
              </w:trPr>
              <w:tc>
                <w:tcPr>
                  <w:tcW w:w="836"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448EDB6" w14:textId="77777777" w:rsidR="006105B8" w:rsidRPr="00F86C99" w:rsidRDefault="006105B8" w:rsidP="00CF2DDE">
                  <w:pPr>
                    <w:pStyle w:val="TAH"/>
                    <w:rPr>
                      <w:sz w:val="12"/>
                      <w:szCs w:val="16"/>
                      <w:lang w:eastAsia="fr-FR"/>
                    </w:rPr>
                  </w:pPr>
                  <w:r w:rsidRPr="00F86C99">
                    <w:rPr>
                      <w:sz w:val="12"/>
                      <w:szCs w:val="16"/>
                      <w:lang w:eastAsia="fr-FR"/>
                    </w:rPr>
                    <w:t>Frequency (GHz)</w:t>
                  </w:r>
                </w:p>
              </w:tc>
              <w:tc>
                <w:tcPr>
                  <w:tcW w:w="1080"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2CD4495E" w14:textId="77777777" w:rsidR="006105B8" w:rsidRPr="00F86C99" w:rsidRDefault="006105B8" w:rsidP="00CF2DDE">
                  <w:pPr>
                    <w:pStyle w:val="TAH"/>
                    <w:rPr>
                      <w:sz w:val="12"/>
                      <w:szCs w:val="16"/>
                      <w:lang w:val="fr-FR" w:eastAsia="fr-FR"/>
                    </w:rPr>
                  </w:pPr>
                  <w:r w:rsidRPr="00F86C99">
                    <w:rPr>
                      <w:sz w:val="12"/>
                      <w:szCs w:val="16"/>
                      <w:lang w:eastAsia="fr-FR"/>
                    </w:rPr>
                    <w:t xml:space="preserve">Max </w:t>
                  </w:r>
                  <w:r w:rsidRPr="00F86C99">
                    <w:rPr>
                      <w:sz w:val="12"/>
                      <w:szCs w:val="16"/>
                      <w:lang w:val="fr-FR" w:eastAsia="fr-FR"/>
                    </w:rPr>
                    <w:t>Doppler</w:t>
                  </w:r>
                </w:p>
              </w:tc>
              <w:tc>
                <w:tcPr>
                  <w:tcW w:w="939"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70F6480" w14:textId="77777777" w:rsidR="006105B8" w:rsidRPr="00F86C99" w:rsidRDefault="006105B8" w:rsidP="00CF2DDE">
                  <w:pPr>
                    <w:pStyle w:val="TAH"/>
                    <w:rPr>
                      <w:sz w:val="12"/>
                      <w:szCs w:val="16"/>
                      <w:lang w:val="fr-FR" w:eastAsia="fr-FR"/>
                    </w:rPr>
                  </w:pPr>
                  <w:r w:rsidRPr="00F86C99">
                    <w:rPr>
                      <w:sz w:val="12"/>
                      <w:szCs w:val="16"/>
                      <w:lang w:val="fr-FR" w:eastAsia="fr-FR"/>
                    </w:rPr>
                    <w:t>Relative Doppler</w:t>
                  </w:r>
                </w:p>
              </w:tc>
              <w:tc>
                <w:tcPr>
                  <w:tcW w:w="107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48F7C08" w14:textId="77777777" w:rsidR="006105B8" w:rsidRPr="00F86C99" w:rsidRDefault="006105B8" w:rsidP="00CF2DDE">
                  <w:pPr>
                    <w:pStyle w:val="TAH"/>
                    <w:rPr>
                      <w:sz w:val="12"/>
                      <w:szCs w:val="16"/>
                      <w:lang w:val="fr-FR" w:eastAsia="fr-FR"/>
                    </w:rPr>
                  </w:pPr>
                  <w:r w:rsidRPr="00F86C99">
                    <w:rPr>
                      <w:sz w:val="12"/>
                      <w:szCs w:val="16"/>
                      <w:lang w:val="fr-FR" w:eastAsia="fr-FR"/>
                    </w:rPr>
                    <w:t>Max Doppler shift variation</w:t>
                  </w:r>
                </w:p>
              </w:tc>
              <w:tc>
                <w:tcPr>
                  <w:tcW w:w="1072" w:type="pct"/>
                  <w:tcBorders>
                    <w:top w:val="single" w:sz="8" w:space="0" w:color="auto"/>
                    <w:left w:val="nil"/>
                    <w:bottom w:val="single" w:sz="8" w:space="0" w:color="auto"/>
                    <w:right w:val="single" w:sz="8" w:space="0" w:color="auto"/>
                  </w:tcBorders>
                  <w:tcMar>
                    <w:top w:w="0" w:type="dxa"/>
                    <w:left w:w="70" w:type="dxa"/>
                    <w:bottom w:w="0" w:type="dxa"/>
                    <w:right w:w="70" w:type="dxa"/>
                  </w:tcMar>
                </w:tcPr>
                <w:p w14:paraId="1F963093" w14:textId="77777777" w:rsidR="006105B8" w:rsidRPr="00F86C99" w:rsidRDefault="006105B8" w:rsidP="00CF2DDE">
                  <w:pPr>
                    <w:pStyle w:val="TAH"/>
                    <w:rPr>
                      <w:sz w:val="12"/>
                      <w:szCs w:val="16"/>
                      <w:lang w:val="fr-FR" w:eastAsia="fr-FR"/>
                    </w:rPr>
                  </w:pPr>
                </w:p>
              </w:tc>
            </w:tr>
            <w:tr w:rsidR="006105B8" w:rsidRPr="00F86C99" w14:paraId="76DBF39E"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EB8712" w14:textId="77777777" w:rsidR="006105B8" w:rsidRPr="00F86C99" w:rsidRDefault="006105B8" w:rsidP="00CF2DDE">
                  <w:pPr>
                    <w:jc w:val="center"/>
                    <w:rPr>
                      <w:sz w:val="14"/>
                      <w:szCs w:val="16"/>
                      <w:lang w:val="en-GB" w:eastAsia="fr-FR"/>
                    </w:rPr>
                  </w:pPr>
                  <w:r w:rsidRPr="00F86C99">
                    <w:rPr>
                      <w:sz w:val="14"/>
                      <w:szCs w:val="16"/>
                      <w:lang w:eastAsia="fr-FR"/>
                    </w:rPr>
                    <w:t>2</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9A98FD0" w14:textId="77777777" w:rsidR="006105B8" w:rsidRPr="00F86C99" w:rsidRDefault="006105B8" w:rsidP="00CF2DDE">
                  <w:pPr>
                    <w:jc w:val="center"/>
                    <w:rPr>
                      <w:sz w:val="14"/>
                      <w:szCs w:val="16"/>
                      <w:lang w:val="fr-FR" w:eastAsia="fr-FR"/>
                    </w:rPr>
                  </w:pPr>
                  <w:r w:rsidRPr="00F86C99">
                    <w:rPr>
                      <w:sz w:val="14"/>
                      <w:szCs w:val="16"/>
                      <w:lang w:val="fr-FR" w:eastAsia="fr-FR"/>
                    </w:rPr>
                    <w:t>+/- 48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8FEE2F8" w14:textId="77777777" w:rsidR="006105B8" w:rsidRPr="00F86C99" w:rsidRDefault="006105B8" w:rsidP="00CF2DDE">
                  <w:pPr>
                    <w:jc w:val="center"/>
                    <w:rPr>
                      <w:sz w:val="14"/>
                      <w:szCs w:val="16"/>
                      <w:lang w:val="fr-FR" w:eastAsia="fr-FR"/>
                    </w:rPr>
                  </w:pPr>
                  <w:r w:rsidRPr="00F86C99">
                    <w:rPr>
                      <w:sz w:val="14"/>
                      <w:szCs w:val="16"/>
                      <w:lang w:val="fr-FR" w:eastAsia="fr-FR"/>
                    </w:rPr>
                    <w:t>0.0024 %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5563E14" w14:textId="77777777" w:rsidR="006105B8" w:rsidRPr="00F86C99" w:rsidRDefault="006105B8" w:rsidP="00CF2DDE">
                  <w:pPr>
                    <w:jc w:val="center"/>
                    <w:rPr>
                      <w:sz w:val="14"/>
                      <w:szCs w:val="16"/>
                      <w:lang w:val="fr-FR" w:eastAsia="fr-FR"/>
                    </w:rPr>
                  </w:pPr>
                  <w:r w:rsidRPr="00F86C99">
                    <w:rPr>
                      <w:sz w:val="14"/>
                      <w:szCs w:val="16"/>
                      <w:lang w:val="fr-FR" w:eastAsia="fr-FR"/>
                    </w:rPr>
                    <w:t>- 544 Hz/s</w:t>
                  </w:r>
                </w:p>
              </w:tc>
              <w:tc>
                <w:tcPr>
                  <w:tcW w:w="1072" w:type="pct"/>
                  <w:vMerge w:val="restart"/>
                  <w:tcBorders>
                    <w:top w:val="nil"/>
                    <w:left w:val="nil"/>
                    <w:bottom w:val="single" w:sz="8" w:space="0" w:color="auto"/>
                    <w:right w:val="single" w:sz="8" w:space="0" w:color="auto"/>
                  </w:tcBorders>
                  <w:tcMar>
                    <w:top w:w="0" w:type="dxa"/>
                    <w:left w:w="70" w:type="dxa"/>
                    <w:bottom w:w="0" w:type="dxa"/>
                    <w:right w:w="70" w:type="dxa"/>
                  </w:tcMar>
                  <w:hideMark/>
                </w:tcPr>
                <w:p w14:paraId="28985404" w14:textId="77777777" w:rsidR="006105B8" w:rsidRPr="00F86C99" w:rsidRDefault="006105B8" w:rsidP="00CF2DDE">
                  <w:pPr>
                    <w:jc w:val="center"/>
                    <w:rPr>
                      <w:sz w:val="14"/>
                      <w:szCs w:val="16"/>
                      <w:lang w:val="fr-FR" w:eastAsia="fr-FR"/>
                    </w:rPr>
                  </w:pPr>
                  <w:r w:rsidRPr="00F86C99">
                    <w:rPr>
                      <w:sz w:val="14"/>
                      <w:szCs w:val="16"/>
                      <w:lang w:val="fr-FR" w:eastAsia="fr-FR"/>
                    </w:rPr>
                    <w:t>LEO at 600 km altitude</w:t>
                  </w:r>
                </w:p>
              </w:tc>
            </w:tr>
            <w:tr w:rsidR="006105B8" w:rsidRPr="00F86C99" w14:paraId="39267EA6"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F1DF041" w14:textId="77777777" w:rsidR="006105B8" w:rsidRPr="00F86C99" w:rsidRDefault="006105B8" w:rsidP="00CF2DDE">
                  <w:pPr>
                    <w:jc w:val="center"/>
                    <w:rPr>
                      <w:sz w:val="14"/>
                      <w:szCs w:val="16"/>
                      <w:lang w:val="en-GB" w:eastAsia="fr-FR"/>
                    </w:rPr>
                  </w:pPr>
                  <w:r w:rsidRPr="00F86C99">
                    <w:rPr>
                      <w:sz w:val="14"/>
                      <w:szCs w:val="16"/>
                      <w:lang w:eastAsia="fr-FR"/>
                    </w:rPr>
                    <w:t>20</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A96D131" w14:textId="77777777" w:rsidR="006105B8" w:rsidRPr="00F86C99" w:rsidRDefault="006105B8" w:rsidP="00CF2DDE">
                  <w:pPr>
                    <w:jc w:val="center"/>
                    <w:rPr>
                      <w:sz w:val="14"/>
                      <w:szCs w:val="16"/>
                    </w:rPr>
                  </w:pPr>
                  <w:r w:rsidRPr="00F86C99">
                    <w:rPr>
                      <w:sz w:val="14"/>
                      <w:szCs w:val="16"/>
                      <w:lang w:val="fr-FR" w:eastAsia="fr-FR"/>
                    </w:rPr>
                    <w:t>+/- 480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6E42E13" w14:textId="77777777" w:rsidR="006105B8" w:rsidRPr="00F86C99" w:rsidRDefault="006105B8" w:rsidP="00CF2DDE">
                  <w:pPr>
                    <w:jc w:val="center"/>
                    <w:rPr>
                      <w:sz w:val="14"/>
                      <w:szCs w:val="16"/>
                      <w:lang w:val="fr-FR" w:eastAsia="fr-FR"/>
                    </w:rPr>
                  </w:pPr>
                  <w:r w:rsidRPr="00F86C99">
                    <w:rPr>
                      <w:sz w:val="14"/>
                      <w:szCs w:val="16"/>
                      <w:lang w:val="fr-FR" w:eastAsia="fr-FR"/>
                    </w:rPr>
                    <w:t>0.0024 %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C8709B" w14:textId="77777777" w:rsidR="006105B8" w:rsidRPr="00F86C99" w:rsidRDefault="006105B8" w:rsidP="00CF2DDE">
                  <w:pPr>
                    <w:jc w:val="center"/>
                    <w:rPr>
                      <w:sz w:val="14"/>
                      <w:szCs w:val="16"/>
                      <w:lang w:val="fr-FR" w:eastAsia="fr-FR"/>
                    </w:rPr>
                  </w:pPr>
                  <w:r w:rsidRPr="00F86C99">
                    <w:rPr>
                      <w:sz w:val="14"/>
                      <w:szCs w:val="16"/>
                      <w:lang w:val="fr-FR" w:eastAsia="fr-FR"/>
                    </w:rPr>
                    <w:t>-5.44 kHz/s</w:t>
                  </w:r>
                </w:p>
              </w:tc>
              <w:tc>
                <w:tcPr>
                  <w:tcW w:w="0" w:type="auto"/>
                  <w:vMerge/>
                  <w:tcBorders>
                    <w:top w:val="nil"/>
                    <w:left w:val="nil"/>
                    <w:bottom w:val="single" w:sz="8" w:space="0" w:color="auto"/>
                    <w:right w:val="single" w:sz="8" w:space="0" w:color="auto"/>
                  </w:tcBorders>
                  <w:vAlign w:val="center"/>
                  <w:hideMark/>
                </w:tcPr>
                <w:p w14:paraId="2694E51E" w14:textId="77777777" w:rsidR="006105B8" w:rsidRPr="00F86C99" w:rsidRDefault="006105B8" w:rsidP="00CF2DDE">
                  <w:pPr>
                    <w:rPr>
                      <w:sz w:val="14"/>
                      <w:szCs w:val="16"/>
                      <w:lang w:val="fr-FR" w:eastAsia="fr-FR"/>
                    </w:rPr>
                  </w:pPr>
                </w:p>
              </w:tc>
            </w:tr>
            <w:tr w:rsidR="006105B8" w:rsidRPr="00F86C99" w14:paraId="13B1F4D9"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D57C7A" w14:textId="77777777" w:rsidR="006105B8" w:rsidRPr="00F86C99" w:rsidRDefault="006105B8" w:rsidP="00CF2DDE">
                  <w:pPr>
                    <w:jc w:val="center"/>
                    <w:rPr>
                      <w:sz w:val="14"/>
                      <w:szCs w:val="16"/>
                      <w:lang w:val="en-GB" w:eastAsia="fr-FR"/>
                    </w:rPr>
                  </w:pPr>
                  <w:r w:rsidRPr="00F86C99">
                    <w:rPr>
                      <w:sz w:val="14"/>
                      <w:szCs w:val="16"/>
                      <w:lang w:eastAsia="fr-FR"/>
                    </w:rPr>
                    <w:t>30</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D150373" w14:textId="77777777" w:rsidR="006105B8" w:rsidRPr="00F86C99" w:rsidRDefault="006105B8" w:rsidP="00CF2DDE">
                  <w:pPr>
                    <w:jc w:val="center"/>
                    <w:rPr>
                      <w:sz w:val="14"/>
                      <w:szCs w:val="16"/>
                    </w:rPr>
                  </w:pPr>
                  <w:r w:rsidRPr="00F86C99">
                    <w:rPr>
                      <w:sz w:val="14"/>
                      <w:szCs w:val="16"/>
                      <w:lang w:val="fr-FR" w:eastAsia="fr-FR"/>
                    </w:rPr>
                    <w:t>+/- 720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A323649" w14:textId="77777777" w:rsidR="006105B8" w:rsidRPr="00F86C99" w:rsidRDefault="006105B8" w:rsidP="00CF2DDE">
                  <w:pPr>
                    <w:jc w:val="center"/>
                    <w:rPr>
                      <w:sz w:val="14"/>
                      <w:szCs w:val="16"/>
                      <w:lang w:val="fr-FR" w:eastAsia="fr-FR"/>
                    </w:rPr>
                  </w:pPr>
                  <w:r w:rsidRPr="00F86C99">
                    <w:rPr>
                      <w:sz w:val="14"/>
                      <w:szCs w:val="16"/>
                      <w:lang w:val="fr-FR" w:eastAsia="fr-FR"/>
                    </w:rPr>
                    <w:t>0.0024 %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594A63" w14:textId="77777777" w:rsidR="006105B8" w:rsidRPr="00F86C99" w:rsidRDefault="006105B8" w:rsidP="00CF2DDE">
                  <w:pPr>
                    <w:jc w:val="center"/>
                    <w:rPr>
                      <w:sz w:val="14"/>
                      <w:szCs w:val="16"/>
                      <w:lang w:val="fr-FR" w:eastAsia="fr-FR"/>
                    </w:rPr>
                  </w:pPr>
                  <w:r w:rsidRPr="00F86C99">
                    <w:rPr>
                      <w:sz w:val="14"/>
                      <w:szCs w:val="16"/>
                      <w:lang w:val="fr-FR" w:eastAsia="fr-FR"/>
                    </w:rPr>
                    <w:t>-8.16 kHz/s</w:t>
                  </w:r>
                </w:p>
              </w:tc>
              <w:tc>
                <w:tcPr>
                  <w:tcW w:w="0" w:type="auto"/>
                  <w:vMerge/>
                  <w:tcBorders>
                    <w:top w:val="nil"/>
                    <w:left w:val="nil"/>
                    <w:bottom w:val="single" w:sz="8" w:space="0" w:color="auto"/>
                    <w:right w:val="single" w:sz="8" w:space="0" w:color="auto"/>
                  </w:tcBorders>
                  <w:vAlign w:val="center"/>
                  <w:hideMark/>
                </w:tcPr>
                <w:p w14:paraId="538796D3" w14:textId="77777777" w:rsidR="006105B8" w:rsidRPr="00F86C99" w:rsidRDefault="006105B8" w:rsidP="00CF2DDE">
                  <w:pPr>
                    <w:rPr>
                      <w:sz w:val="14"/>
                      <w:szCs w:val="16"/>
                      <w:lang w:val="fr-FR" w:eastAsia="fr-FR"/>
                    </w:rPr>
                  </w:pPr>
                </w:p>
              </w:tc>
            </w:tr>
            <w:tr w:rsidR="006105B8" w:rsidRPr="00F86C99" w14:paraId="1427F728"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D0AD44B" w14:textId="77777777" w:rsidR="006105B8" w:rsidRPr="00F86C99" w:rsidRDefault="006105B8" w:rsidP="00CF2DDE">
                  <w:pPr>
                    <w:jc w:val="center"/>
                    <w:rPr>
                      <w:sz w:val="14"/>
                      <w:szCs w:val="16"/>
                      <w:lang w:val="en-GB" w:eastAsia="fr-FR"/>
                    </w:rPr>
                  </w:pPr>
                  <w:r w:rsidRPr="00F86C99">
                    <w:rPr>
                      <w:sz w:val="14"/>
                      <w:szCs w:val="16"/>
                      <w:lang w:eastAsia="fr-FR"/>
                    </w:rPr>
                    <w:t>2</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37F0236" w14:textId="77777777" w:rsidR="006105B8" w:rsidRPr="00F86C99" w:rsidRDefault="006105B8" w:rsidP="00CF2DDE">
                  <w:pPr>
                    <w:jc w:val="center"/>
                    <w:rPr>
                      <w:sz w:val="14"/>
                      <w:szCs w:val="16"/>
                      <w:lang w:val="fr-FR" w:eastAsia="fr-FR"/>
                    </w:rPr>
                  </w:pPr>
                  <w:r w:rsidRPr="00F86C99">
                    <w:rPr>
                      <w:sz w:val="14"/>
                      <w:szCs w:val="16"/>
                      <w:lang w:val="fr-FR" w:eastAsia="fr-FR"/>
                    </w:rPr>
                    <w:t>+/- 40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A84979B" w14:textId="77777777" w:rsidR="006105B8" w:rsidRPr="00F86C99" w:rsidRDefault="006105B8" w:rsidP="00CF2DDE">
                  <w:pPr>
                    <w:jc w:val="center"/>
                    <w:rPr>
                      <w:sz w:val="14"/>
                      <w:szCs w:val="16"/>
                      <w:lang w:val="fr-FR" w:eastAsia="fr-FR"/>
                    </w:rPr>
                  </w:pPr>
                  <w:r w:rsidRPr="00F86C99">
                    <w:rPr>
                      <w:sz w:val="14"/>
                      <w:szCs w:val="16"/>
                      <w:lang w:val="fr-FR" w:eastAsia="fr-FR"/>
                    </w:rPr>
                    <w:t>0.002 %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BB8BB73" w14:textId="77777777" w:rsidR="006105B8" w:rsidRPr="00F86C99" w:rsidRDefault="006105B8" w:rsidP="00CF2DDE">
                  <w:pPr>
                    <w:jc w:val="center"/>
                    <w:rPr>
                      <w:sz w:val="14"/>
                      <w:szCs w:val="16"/>
                      <w:lang w:val="fr-FR" w:eastAsia="fr-FR"/>
                    </w:rPr>
                  </w:pPr>
                  <w:r w:rsidRPr="00F86C99">
                    <w:rPr>
                      <w:sz w:val="14"/>
                      <w:szCs w:val="16"/>
                      <w:lang w:val="fr-FR" w:eastAsia="fr-FR"/>
                    </w:rPr>
                    <w:t>-180 Hz/s</w:t>
                  </w:r>
                </w:p>
              </w:tc>
              <w:tc>
                <w:tcPr>
                  <w:tcW w:w="1072" w:type="pct"/>
                  <w:vMerge w:val="restart"/>
                  <w:tcBorders>
                    <w:top w:val="nil"/>
                    <w:left w:val="nil"/>
                    <w:bottom w:val="single" w:sz="8" w:space="0" w:color="auto"/>
                    <w:right w:val="single" w:sz="8" w:space="0" w:color="auto"/>
                  </w:tcBorders>
                  <w:tcMar>
                    <w:top w:w="0" w:type="dxa"/>
                    <w:left w:w="70" w:type="dxa"/>
                    <w:bottom w:w="0" w:type="dxa"/>
                    <w:right w:w="70" w:type="dxa"/>
                  </w:tcMar>
                  <w:hideMark/>
                </w:tcPr>
                <w:p w14:paraId="18FBEFB7" w14:textId="77777777" w:rsidR="006105B8" w:rsidRPr="00F86C99" w:rsidRDefault="006105B8" w:rsidP="00CF2DDE">
                  <w:pPr>
                    <w:jc w:val="center"/>
                    <w:rPr>
                      <w:sz w:val="14"/>
                      <w:szCs w:val="16"/>
                      <w:lang w:val="fr-FR" w:eastAsia="fr-FR"/>
                    </w:rPr>
                  </w:pPr>
                  <w:r w:rsidRPr="00F86C99">
                    <w:rPr>
                      <w:sz w:val="14"/>
                      <w:szCs w:val="16"/>
                      <w:lang w:val="fr-FR" w:eastAsia="fr-FR"/>
                    </w:rPr>
                    <w:t>LEO at 1500 km altitude</w:t>
                  </w:r>
                </w:p>
              </w:tc>
            </w:tr>
            <w:tr w:rsidR="006105B8" w:rsidRPr="00F86C99" w14:paraId="7AF3DAF8"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C416B6F" w14:textId="77777777" w:rsidR="006105B8" w:rsidRPr="00F86C99" w:rsidRDefault="006105B8" w:rsidP="00CF2DDE">
                  <w:pPr>
                    <w:jc w:val="center"/>
                    <w:rPr>
                      <w:sz w:val="14"/>
                      <w:szCs w:val="16"/>
                      <w:lang w:val="en-GB" w:eastAsia="fr-FR"/>
                    </w:rPr>
                  </w:pPr>
                  <w:r w:rsidRPr="00F86C99">
                    <w:rPr>
                      <w:sz w:val="14"/>
                      <w:szCs w:val="16"/>
                      <w:lang w:eastAsia="fr-FR"/>
                    </w:rPr>
                    <w:t>20</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4C35A1D" w14:textId="77777777" w:rsidR="006105B8" w:rsidRPr="00F86C99" w:rsidRDefault="006105B8" w:rsidP="00CF2DDE">
                  <w:pPr>
                    <w:jc w:val="center"/>
                    <w:rPr>
                      <w:sz w:val="14"/>
                      <w:szCs w:val="16"/>
                      <w:lang w:val="fr-FR" w:eastAsia="fr-FR"/>
                    </w:rPr>
                  </w:pPr>
                  <w:r w:rsidRPr="00F86C99">
                    <w:rPr>
                      <w:sz w:val="14"/>
                      <w:szCs w:val="16"/>
                      <w:lang w:val="fr-FR" w:eastAsia="fr-FR"/>
                    </w:rPr>
                    <w:t>+/- 400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hideMark/>
                </w:tcPr>
                <w:p w14:paraId="6564EDBD" w14:textId="77777777" w:rsidR="006105B8" w:rsidRPr="00F86C99" w:rsidRDefault="006105B8" w:rsidP="00CF2DDE">
                  <w:pPr>
                    <w:jc w:val="center"/>
                    <w:rPr>
                      <w:sz w:val="14"/>
                      <w:szCs w:val="16"/>
                      <w:lang w:val="fr-FR" w:eastAsia="fr-FR"/>
                    </w:rPr>
                  </w:pPr>
                  <w:r w:rsidRPr="00F86C99">
                    <w:rPr>
                      <w:sz w:val="14"/>
                      <w:szCs w:val="16"/>
                      <w:lang w:val="fr-FR" w:eastAsia="fr-FR"/>
                    </w:rPr>
                    <w:t>0.002 %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015861" w14:textId="77777777" w:rsidR="006105B8" w:rsidRPr="00F86C99" w:rsidRDefault="006105B8" w:rsidP="00CF2DDE">
                  <w:pPr>
                    <w:jc w:val="center"/>
                    <w:rPr>
                      <w:sz w:val="14"/>
                      <w:szCs w:val="16"/>
                      <w:lang w:val="fr-FR" w:eastAsia="fr-FR"/>
                    </w:rPr>
                  </w:pPr>
                  <w:r w:rsidRPr="00F86C99">
                    <w:rPr>
                      <w:sz w:val="14"/>
                      <w:szCs w:val="16"/>
                      <w:lang w:val="fr-FR" w:eastAsia="fr-FR"/>
                    </w:rPr>
                    <w:t>-1.8 kHz/s</w:t>
                  </w:r>
                </w:p>
              </w:tc>
              <w:tc>
                <w:tcPr>
                  <w:tcW w:w="0" w:type="auto"/>
                  <w:vMerge/>
                  <w:tcBorders>
                    <w:top w:val="nil"/>
                    <w:left w:val="nil"/>
                    <w:bottom w:val="single" w:sz="8" w:space="0" w:color="auto"/>
                    <w:right w:val="single" w:sz="8" w:space="0" w:color="auto"/>
                  </w:tcBorders>
                  <w:vAlign w:val="center"/>
                  <w:hideMark/>
                </w:tcPr>
                <w:p w14:paraId="0AA87096" w14:textId="77777777" w:rsidR="006105B8" w:rsidRPr="00F86C99" w:rsidRDefault="006105B8" w:rsidP="00CF2DDE">
                  <w:pPr>
                    <w:rPr>
                      <w:sz w:val="14"/>
                      <w:szCs w:val="16"/>
                      <w:lang w:val="fr-FR" w:eastAsia="fr-FR"/>
                    </w:rPr>
                  </w:pPr>
                </w:p>
              </w:tc>
            </w:tr>
            <w:tr w:rsidR="006105B8" w:rsidRPr="00F86C99" w14:paraId="19252E4E"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2449EF" w14:textId="77777777" w:rsidR="006105B8" w:rsidRPr="00F86C99" w:rsidRDefault="006105B8" w:rsidP="00CF2DDE">
                  <w:pPr>
                    <w:jc w:val="center"/>
                    <w:rPr>
                      <w:sz w:val="14"/>
                      <w:szCs w:val="16"/>
                      <w:lang w:val="en-GB" w:eastAsia="fr-FR"/>
                    </w:rPr>
                  </w:pPr>
                  <w:r w:rsidRPr="00F86C99">
                    <w:rPr>
                      <w:sz w:val="14"/>
                      <w:szCs w:val="16"/>
                      <w:lang w:eastAsia="fr-FR"/>
                    </w:rPr>
                    <w:t>30</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335611E" w14:textId="77777777" w:rsidR="006105B8" w:rsidRPr="00F86C99" w:rsidRDefault="006105B8" w:rsidP="00CF2DDE">
                  <w:pPr>
                    <w:jc w:val="center"/>
                    <w:rPr>
                      <w:sz w:val="14"/>
                      <w:szCs w:val="16"/>
                      <w:lang w:val="fr-FR" w:eastAsia="fr-FR"/>
                    </w:rPr>
                  </w:pPr>
                  <w:r w:rsidRPr="00F86C99">
                    <w:rPr>
                      <w:sz w:val="14"/>
                      <w:szCs w:val="16"/>
                      <w:lang w:val="fr-FR" w:eastAsia="fr-FR"/>
                    </w:rPr>
                    <w:t>+/- 600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hideMark/>
                </w:tcPr>
                <w:p w14:paraId="51DB8926" w14:textId="77777777" w:rsidR="006105B8" w:rsidRPr="00F86C99" w:rsidRDefault="006105B8" w:rsidP="00CF2DDE">
                  <w:pPr>
                    <w:jc w:val="center"/>
                    <w:rPr>
                      <w:sz w:val="14"/>
                      <w:szCs w:val="16"/>
                      <w:lang w:val="fr-FR" w:eastAsia="fr-FR"/>
                    </w:rPr>
                  </w:pPr>
                  <w:r w:rsidRPr="00F86C99">
                    <w:rPr>
                      <w:sz w:val="14"/>
                      <w:szCs w:val="16"/>
                      <w:lang w:val="fr-FR" w:eastAsia="fr-FR"/>
                    </w:rPr>
                    <w:t>0.002 %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E295B0E" w14:textId="77777777" w:rsidR="006105B8" w:rsidRPr="00F86C99" w:rsidRDefault="006105B8" w:rsidP="00CF2DDE">
                  <w:pPr>
                    <w:jc w:val="center"/>
                    <w:rPr>
                      <w:sz w:val="14"/>
                      <w:szCs w:val="16"/>
                      <w:lang w:val="fr-FR" w:eastAsia="fr-FR"/>
                    </w:rPr>
                  </w:pPr>
                  <w:r w:rsidRPr="00F86C99">
                    <w:rPr>
                      <w:sz w:val="14"/>
                      <w:szCs w:val="16"/>
                      <w:lang w:val="fr-FR" w:eastAsia="fr-FR"/>
                    </w:rPr>
                    <w:t>-2.7 kHz/s</w:t>
                  </w:r>
                </w:p>
              </w:tc>
              <w:tc>
                <w:tcPr>
                  <w:tcW w:w="0" w:type="auto"/>
                  <w:vMerge/>
                  <w:tcBorders>
                    <w:top w:val="nil"/>
                    <w:left w:val="nil"/>
                    <w:bottom w:val="single" w:sz="8" w:space="0" w:color="auto"/>
                    <w:right w:val="single" w:sz="8" w:space="0" w:color="auto"/>
                  </w:tcBorders>
                  <w:vAlign w:val="center"/>
                  <w:hideMark/>
                </w:tcPr>
                <w:p w14:paraId="439729A3" w14:textId="77777777" w:rsidR="006105B8" w:rsidRPr="00F86C99" w:rsidRDefault="006105B8" w:rsidP="00CF2DDE">
                  <w:pPr>
                    <w:rPr>
                      <w:sz w:val="14"/>
                      <w:szCs w:val="16"/>
                      <w:lang w:val="fr-FR" w:eastAsia="fr-FR"/>
                    </w:rPr>
                  </w:pPr>
                </w:p>
              </w:tc>
            </w:tr>
            <w:tr w:rsidR="006105B8" w:rsidRPr="00F86C99" w14:paraId="4BF43A3F"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26E22E1" w14:textId="77777777" w:rsidR="006105B8" w:rsidRPr="00F86C99" w:rsidRDefault="006105B8" w:rsidP="00CF2DDE">
                  <w:pPr>
                    <w:jc w:val="center"/>
                    <w:rPr>
                      <w:sz w:val="14"/>
                      <w:szCs w:val="16"/>
                      <w:lang w:val="en-GB" w:eastAsia="fr-FR"/>
                    </w:rPr>
                  </w:pPr>
                  <w:r w:rsidRPr="00F86C99">
                    <w:rPr>
                      <w:sz w:val="14"/>
                      <w:szCs w:val="16"/>
                      <w:lang w:eastAsia="fr-FR"/>
                    </w:rPr>
                    <w:t>2</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63CE297" w14:textId="77777777" w:rsidR="006105B8" w:rsidRPr="00F86C99" w:rsidRDefault="006105B8" w:rsidP="00CF2DDE">
                  <w:pPr>
                    <w:jc w:val="center"/>
                    <w:rPr>
                      <w:sz w:val="14"/>
                      <w:szCs w:val="16"/>
                      <w:lang w:val="fr-FR" w:eastAsia="fr-FR"/>
                    </w:rPr>
                  </w:pPr>
                  <w:r w:rsidRPr="00F86C99">
                    <w:rPr>
                      <w:sz w:val="14"/>
                      <w:szCs w:val="16"/>
                      <w:lang w:val="fr-FR" w:eastAsia="fr-FR"/>
                    </w:rPr>
                    <w:t>+/- 15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8CD6DF5" w14:textId="77777777" w:rsidR="006105B8" w:rsidRPr="00F86C99" w:rsidRDefault="006105B8" w:rsidP="00CF2DDE">
                  <w:pPr>
                    <w:jc w:val="center"/>
                    <w:rPr>
                      <w:sz w:val="14"/>
                      <w:szCs w:val="16"/>
                      <w:lang w:val="fr-FR" w:eastAsia="fr-FR"/>
                    </w:rPr>
                  </w:pPr>
                  <w:r w:rsidRPr="00F86C99">
                    <w:rPr>
                      <w:sz w:val="14"/>
                      <w:szCs w:val="16"/>
                      <w:lang w:val="fr-FR" w:eastAsia="fr-FR"/>
                    </w:rPr>
                    <w:t>0.00075 %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C002533" w14:textId="77777777" w:rsidR="006105B8" w:rsidRPr="00F86C99" w:rsidRDefault="006105B8" w:rsidP="00CF2DDE">
                  <w:pPr>
                    <w:jc w:val="center"/>
                    <w:rPr>
                      <w:sz w:val="14"/>
                      <w:szCs w:val="16"/>
                      <w:lang w:val="fr-FR" w:eastAsia="fr-FR"/>
                    </w:rPr>
                  </w:pPr>
                  <w:r w:rsidRPr="00F86C99">
                    <w:rPr>
                      <w:sz w:val="14"/>
                      <w:szCs w:val="16"/>
                      <w:lang w:val="fr-FR" w:eastAsia="fr-FR"/>
                    </w:rPr>
                    <w:t>-6 Hz/s</w:t>
                  </w:r>
                </w:p>
              </w:tc>
              <w:tc>
                <w:tcPr>
                  <w:tcW w:w="1072" w:type="pct"/>
                  <w:vMerge w:val="restart"/>
                  <w:tcBorders>
                    <w:top w:val="nil"/>
                    <w:left w:val="nil"/>
                    <w:bottom w:val="single" w:sz="8" w:space="0" w:color="auto"/>
                    <w:right w:val="single" w:sz="8" w:space="0" w:color="auto"/>
                  </w:tcBorders>
                  <w:tcMar>
                    <w:top w:w="0" w:type="dxa"/>
                    <w:left w:w="70" w:type="dxa"/>
                    <w:bottom w:w="0" w:type="dxa"/>
                    <w:right w:w="70" w:type="dxa"/>
                  </w:tcMar>
                  <w:hideMark/>
                </w:tcPr>
                <w:p w14:paraId="6C9FDD28" w14:textId="77777777" w:rsidR="006105B8" w:rsidRPr="00F86C99" w:rsidRDefault="006105B8" w:rsidP="00CF2DDE">
                  <w:pPr>
                    <w:jc w:val="center"/>
                    <w:rPr>
                      <w:sz w:val="14"/>
                      <w:szCs w:val="16"/>
                      <w:lang w:val="fr-FR" w:eastAsia="fr-FR"/>
                    </w:rPr>
                  </w:pPr>
                  <w:r w:rsidRPr="00F86C99">
                    <w:rPr>
                      <w:sz w:val="14"/>
                      <w:szCs w:val="16"/>
                      <w:lang w:val="fr-FR" w:eastAsia="fr-FR"/>
                    </w:rPr>
                    <w:t>MEO at 10000 km altitude</w:t>
                  </w:r>
                </w:p>
              </w:tc>
            </w:tr>
            <w:tr w:rsidR="006105B8" w:rsidRPr="00F86C99" w14:paraId="5850FB01"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6B6052" w14:textId="77777777" w:rsidR="006105B8" w:rsidRPr="00F86C99" w:rsidRDefault="006105B8" w:rsidP="00CF2DDE">
                  <w:pPr>
                    <w:jc w:val="center"/>
                    <w:rPr>
                      <w:sz w:val="14"/>
                      <w:szCs w:val="16"/>
                      <w:lang w:val="en-GB" w:eastAsia="fr-FR"/>
                    </w:rPr>
                  </w:pPr>
                  <w:r w:rsidRPr="00F86C99">
                    <w:rPr>
                      <w:sz w:val="14"/>
                      <w:szCs w:val="16"/>
                      <w:lang w:eastAsia="fr-FR"/>
                    </w:rPr>
                    <w:t>20</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95B1708" w14:textId="77777777" w:rsidR="006105B8" w:rsidRPr="00F86C99" w:rsidRDefault="006105B8" w:rsidP="00CF2DDE">
                  <w:pPr>
                    <w:jc w:val="center"/>
                    <w:rPr>
                      <w:sz w:val="14"/>
                      <w:szCs w:val="16"/>
                      <w:lang w:val="fr-FR" w:eastAsia="fr-FR"/>
                    </w:rPr>
                  </w:pPr>
                  <w:r w:rsidRPr="00F86C99">
                    <w:rPr>
                      <w:sz w:val="14"/>
                      <w:szCs w:val="16"/>
                      <w:lang w:val="fr-FR" w:eastAsia="fr-FR"/>
                    </w:rPr>
                    <w:t>+/- 150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68F87D1" w14:textId="77777777" w:rsidR="006105B8" w:rsidRPr="00F86C99" w:rsidRDefault="006105B8" w:rsidP="00CF2DDE">
                  <w:pPr>
                    <w:jc w:val="center"/>
                    <w:rPr>
                      <w:sz w:val="14"/>
                      <w:szCs w:val="16"/>
                      <w:lang w:val="fr-FR" w:eastAsia="fr-FR"/>
                    </w:rPr>
                  </w:pPr>
                  <w:r w:rsidRPr="00F86C99">
                    <w:rPr>
                      <w:sz w:val="14"/>
                      <w:szCs w:val="16"/>
                      <w:lang w:val="fr-FR" w:eastAsia="fr-FR"/>
                    </w:rPr>
                    <w:t>0.00075 %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5A24C8" w14:textId="77777777" w:rsidR="006105B8" w:rsidRPr="00F86C99" w:rsidRDefault="006105B8" w:rsidP="00CF2DDE">
                  <w:pPr>
                    <w:jc w:val="center"/>
                    <w:rPr>
                      <w:sz w:val="14"/>
                      <w:szCs w:val="16"/>
                      <w:lang w:val="fr-FR" w:eastAsia="fr-FR"/>
                    </w:rPr>
                  </w:pPr>
                  <w:r w:rsidRPr="00F86C99">
                    <w:rPr>
                      <w:sz w:val="14"/>
                      <w:szCs w:val="16"/>
                      <w:lang w:val="fr-FR" w:eastAsia="fr-FR"/>
                    </w:rPr>
                    <w:t>-60 Hz/s</w:t>
                  </w:r>
                </w:p>
              </w:tc>
              <w:tc>
                <w:tcPr>
                  <w:tcW w:w="0" w:type="auto"/>
                  <w:vMerge/>
                  <w:tcBorders>
                    <w:top w:val="nil"/>
                    <w:left w:val="nil"/>
                    <w:bottom w:val="single" w:sz="8" w:space="0" w:color="auto"/>
                    <w:right w:val="single" w:sz="8" w:space="0" w:color="auto"/>
                  </w:tcBorders>
                  <w:vAlign w:val="center"/>
                  <w:hideMark/>
                </w:tcPr>
                <w:p w14:paraId="0C41EDEB" w14:textId="77777777" w:rsidR="006105B8" w:rsidRPr="00F86C99" w:rsidRDefault="006105B8" w:rsidP="00CF2DDE">
                  <w:pPr>
                    <w:rPr>
                      <w:sz w:val="14"/>
                      <w:szCs w:val="16"/>
                      <w:lang w:val="fr-FR" w:eastAsia="fr-FR"/>
                    </w:rPr>
                  </w:pPr>
                </w:p>
              </w:tc>
            </w:tr>
            <w:tr w:rsidR="006105B8" w:rsidRPr="00F86C99" w14:paraId="4F092636" w14:textId="77777777" w:rsidTr="00CF2DDE">
              <w:trPr>
                <w:cantSplit/>
              </w:trPr>
              <w:tc>
                <w:tcPr>
                  <w:tcW w:w="83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5BA3CC4" w14:textId="77777777" w:rsidR="006105B8" w:rsidRPr="00F86C99" w:rsidRDefault="006105B8" w:rsidP="00CF2DDE">
                  <w:pPr>
                    <w:jc w:val="center"/>
                    <w:rPr>
                      <w:sz w:val="14"/>
                      <w:szCs w:val="16"/>
                      <w:lang w:val="en-GB" w:eastAsia="fr-FR"/>
                    </w:rPr>
                  </w:pPr>
                  <w:r w:rsidRPr="00F86C99">
                    <w:rPr>
                      <w:sz w:val="14"/>
                      <w:szCs w:val="16"/>
                      <w:lang w:eastAsia="fr-FR"/>
                    </w:rPr>
                    <w:t>30</w:t>
                  </w:r>
                </w:p>
              </w:tc>
              <w:tc>
                <w:tcPr>
                  <w:tcW w:w="108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4B9F828" w14:textId="77777777" w:rsidR="006105B8" w:rsidRPr="00F86C99" w:rsidRDefault="006105B8" w:rsidP="00CF2DDE">
                  <w:pPr>
                    <w:jc w:val="center"/>
                    <w:rPr>
                      <w:sz w:val="14"/>
                      <w:szCs w:val="16"/>
                      <w:lang w:val="fr-FR" w:eastAsia="fr-FR"/>
                    </w:rPr>
                  </w:pPr>
                  <w:r w:rsidRPr="00F86C99">
                    <w:rPr>
                      <w:sz w:val="14"/>
                      <w:szCs w:val="16"/>
                      <w:lang w:val="fr-FR" w:eastAsia="fr-FR"/>
                    </w:rPr>
                    <w:t>+/- 225 kHz</w:t>
                  </w:r>
                </w:p>
              </w:tc>
              <w:tc>
                <w:tcPr>
                  <w:tcW w:w="939"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D71DEEA" w14:textId="77777777" w:rsidR="006105B8" w:rsidRPr="00F86C99" w:rsidRDefault="006105B8" w:rsidP="00CF2DDE">
                  <w:pPr>
                    <w:jc w:val="center"/>
                    <w:rPr>
                      <w:sz w:val="14"/>
                      <w:szCs w:val="16"/>
                      <w:lang w:val="fr-FR" w:eastAsia="fr-FR"/>
                    </w:rPr>
                  </w:pPr>
                  <w:r w:rsidRPr="00F86C99">
                    <w:rPr>
                      <w:sz w:val="14"/>
                      <w:szCs w:val="16"/>
                      <w:lang w:val="fr-FR" w:eastAsia="fr-FR"/>
                    </w:rPr>
                    <w:t>0.00075 %</w:t>
                  </w:r>
                </w:p>
              </w:tc>
              <w:tc>
                <w:tcPr>
                  <w:tcW w:w="107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17C52" w14:textId="77777777" w:rsidR="006105B8" w:rsidRPr="00F86C99" w:rsidRDefault="006105B8" w:rsidP="00CF2DDE">
                  <w:pPr>
                    <w:jc w:val="center"/>
                    <w:rPr>
                      <w:sz w:val="14"/>
                      <w:szCs w:val="16"/>
                      <w:lang w:val="fr-FR" w:eastAsia="fr-FR"/>
                    </w:rPr>
                  </w:pPr>
                  <w:r w:rsidRPr="00F86C99">
                    <w:rPr>
                      <w:sz w:val="14"/>
                      <w:szCs w:val="16"/>
                      <w:lang w:val="fr-FR" w:eastAsia="fr-FR"/>
                    </w:rPr>
                    <w:t>-90 Hz/s</w:t>
                  </w:r>
                </w:p>
              </w:tc>
              <w:tc>
                <w:tcPr>
                  <w:tcW w:w="0" w:type="auto"/>
                  <w:vMerge/>
                  <w:tcBorders>
                    <w:top w:val="nil"/>
                    <w:left w:val="nil"/>
                    <w:bottom w:val="single" w:sz="8" w:space="0" w:color="auto"/>
                    <w:right w:val="single" w:sz="8" w:space="0" w:color="auto"/>
                  </w:tcBorders>
                  <w:vAlign w:val="center"/>
                  <w:hideMark/>
                </w:tcPr>
                <w:p w14:paraId="768B09F0" w14:textId="77777777" w:rsidR="006105B8" w:rsidRPr="00F86C99" w:rsidRDefault="006105B8" w:rsidP="00CF2DDE">
                  <w:pPr>
                    <w:rPr>
                      <w:sz w:val="14"/>
                      <w:szCs w:val="16"/>
                      <w:lang w:val="fr-FR" w:eastAsia="fr-FR"/>
                    </w:rPr>
                  </w:pPr>
                </w:p>
              </w:tc>
            </w:tr>
          </w:tbl>
          <w:p w14:paraId="2D0BC05B" w14:textId="77777777" w:rsidR="006105B8" w:rsidRPr="00F86C99" w:rsidRDefault="006105B8" w:rsidP="00CF2DDE">
            <w:pPr>
              <w:pStyle w:val="IvDbodytext"/>
              <w:rPr>
                <w:rStyle w:val="IvDbodytextChar"/>
              </w:rPr>
            </w:pPr>
          </w:p>
        </w:tc>
      </w:tr>
    </w:tbl>
    <w:p w14:paraId="7F73B7E1" w14:textId="77777777" w:rsidR="006105B8" w:rsidRPr="00F86C99" w:rsidRDefault="006105B8" w:rsidP="001121DD">
      <w:pPr>
        <w:pStyle w:val="IvDbodytext"/>
        <w:rPr>
          <w:rStyle w:val="IvDbodytextChar"/>
        </w:rPr>
      </w:pPr>
    </w:p>
    <w:p w14:paraId="5F1375C4" w14:textId="0BA0D5B7" w:rsidR="00367C14" w:rsidRPr="00F86C99" w:rsidRDefault="00367C14" w:rsidP="001121DD">
      <w:pPr>
        <w:pStyle w:val="IvDbodytext"/>
        <w:rPr>
          <w:rStyle w:val="IvDbodytextChar"/>
          <w:rFonts w:eastAsia="DengXian"/>
          <w:lang w:val="en-US" w:eastAsia="zh-CN"/>
        </w:rPr>
      </w:pPr>
      <w:r w:rsidRPr="00F86C99">
        <w:rPr>
          <w:rStyle w:val="IvDbodytextChar"/>
        </w:rPr>
        <w:lastRenderedPageBreak/>
        <w:t xml:space="preserve">Meanwhile, </w:t>
      </w:r>
      <w:r w:rsidR="006C59EF" w:rsidRPr="00F86C99">
        <w:rPr>
          <w:rStyle w:val="IvDbodytextChar"/>
        </w:rPr>
        <w:t>as per</w:t>
      </w:r>
      <w:r w:rsidR="001F31F5" w:rsidRPr="00F86C99">
        <w:rPr>
          <w:rStyle w:val="IvDbodytextChar"/>
        </w:rPr>
        <w:t xml:space="preserve"> </w:t>
      </w:r>
      <w:r w:rsidR="005C0901" w:rsidRPr="00F86C99">
        <w:rPr>
          <w:rStyle w:val="IvDbodytextChar"/>
        </w:rPr>
        <w:t>IoT NTN characteristics, e.g. 100/200KHz channel raster and 200KHz BW for NB</w:t>
      </w:r>
      <w:r w:rsidR="003B181F" w:rsidRPr="00F86C99">
        <w:rPr>
          <w:rStyle w:val="IvDbodytextChar"/>
        </w:rPr>
        <w:t>-IoT</w:t>
      </w:r>
      <w:r w:rsidR="006C59EF" w:rsidRPr="00F86C99">
        <w:rPr>
          <w:rStyle w:val="IvDbodytextChar"/>
        </w:rPr>
        <w:t xml:space="preserve">, </w:t>
      </w:r>
      <w:r w:rsidR="00C63B95" w:rsidRPr="00F86C99">
        <w:rPr>
          <w:rStyle w:val="IvDbodytextChar"/>
        </w:rPr>
        <w:t xml:space="preserve">if two satellites face opposite Doppler shifts, i.e. </w:t>
      </w:r>
      <w:r w:rsidR="00C63B95" w:rsidRPr="00F86C99">
        <w:rPr>
          <w:rStyle w:val="IvDbodytextChar"/>
          <w:rFonts w:eastAsia="DengXian"/>
          <w:lang w:val="en-US" w:eastAsia="zh-CN"/>
        </w:rPr>
        <w:t>+4</w:t>
      </w:r>
      <w:r w:rsidR="00537454" w:rsidRPr="00F86C99">
        <w:rPr>
          <w:rStyle w:val="IvDbodytextChar"/>
          <w:rFonts w:eastAsia="DengXian"/>
          <w:lang w:val="en-US" w:eastAsia="zh-CN"/>
        </w:rPr>
        <w:t>8</w:t>
      </w:r>
      <w:r w:rsidR="00C63B95" w:rsidRPr="00F86C99">
        <w:rPr>
          <w:rStyle w:val="IvDbodytextChar"/>
          <w:rFonts w:eastAsia="DengXian"/>
          <w:lang w:val="en-US" w:eastAsia="zh-CN"/>
        </w:rPr>
        <w:t>KHz and -4</w:t>
      </w:r>
      <w:r w:rsidR="00537454" w:rsidRPr="00F86C99">
        <w:rPr>
          <w:rStyle w:val="IvDbodytextChar"/>
          <w:rFonts w:eastAsia="DengXian"/>
          <w:lang w:val="en-US" w:eastAsia="zh-CN"/>
        </w:rPr>
        <w:t>8</w:t>
      </w:r>
      <w:r w:rsidR="00C63B95" w:rsidRPr="00F86C99">
        <w:rPr>
          <w:rStyle w:val="IvDbodytextChar"/>
          <w:rFonts w:eastAsia="DengXian"/>
          <w:lang w:val="en-US" w:eastAsia="zh-CN"/>
        </w:rPr>
        <w:t xml:space="preserve">KHz, the relative frequency offset between the two satellites due to Doppler shift is </w:t>
      </w:r>
      <w:r w:rsidR="00304482" w:rsidRPr="00F86C99">
        <w:rPr>
          <w:rStyle w:val="IvDbodytextChar"/>
          <w:rFonts w:eastAsia="DengXian"/>
          <w:lang w:val="en-US" w:eastAsia="zh-CN"/>
        </w:rPr>
        <w:t>96KHz in worst case. It occu</w:t>
      </w:r>
      <w:r w:rsidR="00EE155E" w:rsidRPr="00F86C99">
        <w:rPr>
          <w:rStyle w:val="IvDbodytextChar"/>
          <w:rFonts w:eastAsia="DengXian"/>
          <w:lang w:val="en-US" w:eastAsia="zh-CN"/>
        </w:rPr>
        <w:t>pies almost half of NB</w:t>
      </w:r>
      <w:r w:rsidR="00916223" w:rsidRPr="00F86C99">
        <w:rPr>
          <w:rStyle w:val="IvDbodytextChar"/>
          <w:rFonts w:eastAsia="DengXian"/>
          <w:lang w:val="en-US" w:eastAsia="zh-CN"/>
        </w:rPr>
        <w:t>-IoT</w:t>
      </w:r>
      <w:r w:rsidR="00EE155E" w:rsidRPr="00F86C99">
        <w:rPr>
          <w:rStyle w:val="IvDbodytextChar"/>
          <w:rFonts w:eastAsia="DengXian"/>
          <w:lang w:val="en-US" w:eastAsia="zh-CN"/>
        </w:rPr>
        <w:t>’s BW</w:t>
      </w:r>
      <w:r w:rsidR="00B91FAF" w:rsidRPr="00F86C99">
        <w:rPr>
          <w:rStyle w:val="IvDbodytextChar"/>
          <w:rFonts w:eastAsia="DengXian"/>
          <w:lang w:val="en-US" w:eastAsia="zh-CN"/>
        </w:rPr>
        <w:t xml:space="preserve">. To measure the </w:t>
      </w:r>
      <w:r w:rsidR="00EB2A23" w:rsidRPr="00F86C99">
        <w:rPr>
          <w:rStyle w:val="IvDbodytextChar"/>
          <w:rFonts w:eastAsia="DengXian"/>
          <w:lang w:val="en-US" w:eastAsia="zh-CN"/>
        </w:rPr>
        <w:t>two satellites, assuming their transmitting frequency is same, e.g. intra-</w:t>
      </w:r>
      <w:r w:rsidR="00AB344F" w:rsidRPr="00F86C99">
        <w:rPr>
          <w:rStyle w:val="IvDbodytextChar"/>
          <w:rFonts w:eastAsia="DengXian"/>
          <w:lang w:val="en-US" w:eastAsia="zh-CN"/>
        </w:rPr>
        <w:t>frequency</w:t>
      </w:r>
      <w:r w:rsidR="00EB2A23" w:rsidRPr="00F86C99">
        <w:rPr>
          <w:rStyle w:val="IvDbodytextChar"/>
          <w:rFonts w:eastAsia="DengXian"/>
          <w:lang w:val="en-US" w:eastAsia="zh-CN"/>
        </w:rPr>
        <w:t>, the 200+96=296KHz reception windo</w:t>
      </w:r>
      <w:r w:rsidR="005822DC" w:rsidRPr="00F86C99">
        <w:rPr>
          <w:rStyle w:val="IvDbodytextChar"/>
          <w:rFonts w:eastAsia="DengXian"/>
          <w:lang w:val="en-US" w:eastAsia="zh-CN"/>
        </w:rPr>
        <w:t xml:space="preserve">w is </w:t>
      </w:r>
      <w:r w:rsidR="004F5AFC" w:rsidRPr="00F86C99">
        <w:rPr>
          <w:rStyle w:val="IvDbodytextChar"/>
          <w:rFonts w:eastAsia="DengXian"/>
          <w:lang w:val="en-US" w:eastAsia="zh-CN"/>
        </w:rPr>
        <w:t>un</w:t>
      </w:r>
      <w:r w:rsidR="005822DC" w:rsidRPr="00F86C99">
        <w:rPr>
          <w:rStyle w:val="IvDbodytextChar"/>
          <w:rFonts w:eastAsia="DengXian"/>
          <w:lang w:val="en-US" w:eastAsia="zh-CN"/>
        </w:rPr>
        <w:t xml:space="preserve">acceptable to all UEs and </w:t>
      </w:r>
      <w:r w:rsidR="004F5AFC" w:rsidRPr="00F86C99">
        <w:rPr>
          <w:rStyle w:val="IvDbodytextChar"/>
          <w:rFonts w:eastAsia="DengXian"/>
          <w:lang w:val="en-US" w:eastAsia="zh-CN"/>
        </w:rPr>
        <w:t>out-of-band emission requirements</w:t>
      </w:r>
      <w:r w:rsidR="005822DC" w:rsidRPr="00F86C99">
        <w:rPr>
          <w:rStyle w:val="IvDbodytextChar"/>
          <w:rFonts w:eastAsia="DengXian"/>
          <w:lang w:val="en-US" w:eastAsia="zh-CN"/>
        </w:rPr>
        <w:t xml:space="preserve">, it may need </w:t>
      </w:r>
      <w:r w:rsidR="008F7BE8" w:rsidRPr="00F86C99">
        <w:rPr>
          <w:rStyle w:val="IvDbodytextChar"/>
          <w:rFonts w:eastAsia="DengXian"/>
          <w:lang w:val="en-US" w:eastAsia="zh-CN"/>
        </w:rPr>
        <w:t xml:space="preserve">RF retuning action </w:t>
      </w:r>
      <w:r w:rsidR="002E7DE8" w:rsidRPr="00F86C99">
        <w:rPr>
          <w:rStyle w:val="IvDbodytextChar"/>
          <w:rFonts w:eastAsia="DengXian"/>
          <w:lang w:val="en-US" w:eastAsia="zh-CN"/>
        </w:rPr>
        <w:t>depending on IoT device’s implementation</w:t>
      </w:r>
      <w:r w:rsidR="008F7BE8" w:rsidRPr="00F86C99">
        <w:rPr>
          <w:rStyle w:val="IvDbodytextChar"/>
          <w:rFonts w:eastAsia="DengXian"/>
          <w:lang w:val="en-US" w:eastAsia="zh-CN"/>
        </w:rPr>
        <w:t>.</w:t>
      </w:r>
    </w:p>
    <w:p w14:paraId="12FC181C" w14:textId="77777777" w:rsidR="008F7BE8" w:rsidRPr="00F86C99" w:rsidRDefault="008F7BE8" w:rsidP="008F7BE8">
      <w:pPr>
        <w:keepNext/>
        <w:jc w:val="center"/>
      </w:pPr>
      <w:r w:rsidRPr="00F86C99">
        <w:object w:dxaOrig="11113" w:dyaOrig="9007" w14:anchorId="78A5F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85pt;height:270.2pt" o:ole="">
            <v:imagedata r:id="rId11" o:title=""/>
          </v:shape>
          <o:OLEObject Type="Embed" ProgID="Visio.Drawing.15" ShapeID="_x0000_i1025" DrawAspect="Content" ObjectID="_1726081456" r:id="rId12"/>
        </w:object>
      </w:r>
    </w:p>
    <w:p w14:paraId="6C35AB95" w14:textId="0776E2BF" w:rsidR="008F7BE8" w:rsidRPr="00F86C99" w:rsidRDefault="008F7BE8" w:rsidP="008F7BE8">
      <w:pPr>
        <w:pStyle w:val="Caption"/>
        <w:jc w:val="center"/>
        <w:rPr>
          <w:b w:val="0"/>
          <w:bCs/>
        </w:rPr>
      </w:pPr>
      <w:r w:rsidRPr="00F86C99">
        <w:rPr>
          <w:b w:val="0"/>
          <w:bCs/>
        </w:rPr>
        <w:t xml:space="preserve">Figure </w:t>
      </w:r>
      <w:r w:rsidRPr="00F86C99">
        <w:rPr>
          <w:b w:val="0"/>
          <w:bCs/>
        </w:rPr>
        <w:fldChar w:fldCharType="begin"/>
      </w:r>
      <w:r w:rsidRPr="00F86C99">
        <w:rPr>
          <w:b w:val="0"/>
          <w:bCs/>
        </w:rPr>
        <w:instrText xml:space="preserve"> SEQ Figure \* ARABIC </w:instrText>
      </w:r>
      <w:r w:rsidRPr="00F86C99">
        <w:rPr>
          <w:b w:val="0"/>
          <w:bCs/>
        </w:rPr>
        <w:fldChar w:fldCharType="separate"/>
      </w:r>
      <w:r w:rsidRPr="00F86C99">
        <w:rPr>
          <w:b w:val="0"/>
          <w:bCs/>
          <w:noProof/>
        </w:rPr>
        <w:t>1</w:t>
      </w:r>
      <w:r w:rsidRPr="00F86C99">
        <w:rPr>
          <w:b w:val="0"/>
          <w:bCs/>
        </w:rPr>
        <w:fldChar w:fldCharType="end"/>
      </w:r>
      <w:r w:rsidRPr="00F86C99">
        <w:rPr>
          <w:b w:val="0"/>
          <w:bCs/>
        </w:rPr>
        <w:t xml:space="preserve"> Doppler shift</w:t>
      </w:r>
    </w:p>
    <w:p w14:paraId="36921842" w14:textId="4D8E0EA1" w:rsidR="00C15368" w:rsidRPr="00F86C99" w:rsidRDefault="002E7DE8" w:rsidP="001121DD">
      <w:pPr>
        <w:pStyle w:val="IvDbodytext"/>
        <w:rPr>
          <w:rStyle w:val="IvDbodytextChar"/>
          <w:rFonts w:eastAsia="DengXian"/>
          <w:lang w:val="en-US" w:eastAsia="zh-CN"/>
        </w:rPr>
      </w:pPr>
      <w:r w:rsidRPr="00F86C99">
        <w:rPr>
          <w:rStyle w:val="IvDbodytextChar"/>
          <w:rFonts w:eastAsia="DengXian"/>
          <w:lang w:val="en-US" w:eastAsia="zh-CN"/>
        </w:rPr>
        <w:t xml:space="preserve">One of obvious impact to RRM requirements is </w:t>
      </w:r>
      <w:r w:rsidR="008F7BE8" w:rsidRPr="00F86C99">
        <w:rPr>
          <w:rStyle w:val="IvDbodytextChar"/>
          <w:rFonts w:eastAsia="DengXian"/>
          <w:lang w:val="en-US" w:eastAsia="zh-CN"/>
        </w:rPr>
        <w:t xml:space="preserve">intra-frequency measurements. For neighbor cells which have </w:t>
      </w:r>
      <w:r w:rsidR="007476E3" w:rsidRPr="00F86C99">
        <w:rPr>
          <w:rStyle w:val="IvDbodytextChar"/>
          <w:rFonts w:eastAsia="DengXian"/>
          <w:lang w:val="en-US" w:eastAsia="zh-CN"/>
        </w:rPr>
        <w:t xml:space="preserve">strong Doppler shift </w:t>
      </w:r>
      <w:r w:rsidR="00C15368" w:rsidRPr="00F86C99">
        <w:rPr>
          <w:rStyle w:val="IvDbodytextChar"/>
          <w:rFonts w:eastAsia="DengXian"/>
          <w:lang w:val="en-US" w:eastAsia="zh-CN"/>
        </w:rPr>
        <w:t xml:space="preserve">to serving satellite, the intra-frequency measurements may need more time. The relaxation of measurement time can refer to </w:t>
      </w:r>
      <w:r w:rsidR="00D5789E" w:rsidRPr="00F86C99">
        <w:rPr>
          <w:rStyle w:val="IvDbodytextChar"/>
          <w:rFonts w:eastAsia="DengXian"/>
          <w:lang w:val="en-US" w:eastAsia="zh-CN"/>
        </w:rPr>
        <w:t xml:space="preserve">measurement samples in </w:t>
      </w:r>
      <w:r w:rsidR="00C15368" w:rsidRPr="00F86C99">
        <w:rPr>
          <w:rStyle w:val="IvDbodytextChar"/>
          <w:rFonts w:eastAsia="DengXian"/>
          <w:lang w:val="en-US" w:eastAsia="zh-CN"/>
        </w:rPr>
        <w:t>inter-frequency measurements.</w:t>
      </w:r>
    </w:p>
    <w:p w14:paraId="42061B45" w14:textId="77777777" w:rsidR="002A7A6D" w:rsidRPr="00F86C99" w:rsidRDefault="002A7A6D" w:rsidP="00F86C99">
      <w:pPr>
        <w:pStyle w:val="Proposal"/>
        <w:ind w:left="1304"/>
        <w:rPr>
          <w:lang w:val="en-GB" w:eastAsia="ja-JP"/>
        </w:rPr>
      </w:pPr>
    </w:p>
    <w:p w14:paraId="5AD3CE85" w14:textId="77777777" w:rsidR="006F068E" w:rsidRDefault="00F53A97" w:rsidP="0016206D">
      <w:pPr>
        <w:pStyle w:val="Proposal"/>
        <w:numPr>
          <w:ilvl w:val="0"/>
          <w:numId w:val="2"/>
        </w:numPr>
        <w:tabs>
          <w:tab w:val="clear" w:pos="5841"/>
        </w:tabs>
        <w:ind w:left="1701" w:hanging="1701"/>
        <w:rPr>
          <w:rStyle w:val="IvDbodytextChar"/>
          <w:rFonts w:eastAsia="DengXian"/>
        </w:rPr>
      </w:pPr>
      <w:r w:rsidRPr="006F068E">
        <w:rPr>
          <w:rStyle w:val="IvDbodytextChar"/>
          <w:rFonts w:eastAsia="DengXian"/>
        </w:rPr>
        <w:t xml:space="preserve">Intra-frequency measurements (idle and connected modes) requirements shall be relaxed for neighbor cells which have strong Doppler shift to serving satellite. </w:t>
      </w:r>
    </w:p>
    <w:p w14:paraId="233677AC" w14:textId="486EB99E" w:rsidR="00F53A97" w:rsidRPr="006F068E" w:rsidRDefault="00F53A97" w:rsidP="0016206D">
      <w:pPr>
        <w:pStyle w:val="Proposal"/>
        <w:numPr>
          <w:ilvl w:val="0"/>
          <w:numId w:val="2"/>
        </w:numPr>
        <w:tabs>
          <w:tab w:val="clear" w:pos="5841"/>
        </w:tabs>
        <w:ind w:left="1701" w:hanging="1701"/>
        <w:rPr>
          <w:rStyle w:val="IvDbodytextChar"/>
          <w:rFonts w:eastAsia="DengXian"/>
        </w:rPr>
      </w:pPr>
      <w:r w:rsidRPr="006F068E">
        <w:rPr>
          <w:rStyle w:val="IvDbodytextChar"/>
          <w:rFonts w:eastAsia="DengXian"/>
        </w:rPr>
        <w:t>Intra-frequency measurements (idle and connected modes) requirements on neighbor cells which have strong Doppler shift to serving satellite can refer to measurement samples inter-frequency measurements.</w:t>
      </w:r>
    </w:p>
    <w:p w14:paraId="4FCD35A6" w14:textId="77777777" w:rsidR="002A7A6D" w:rsidRDefault="002A7A6D" w:rsidP="001121DD">
      <w:pPr>
        <w:pStyle w:val="IvDbodytext"/>
        <w:rPr>
          <w:rStyle w:val="IvDbodytextChar"/>
          <w:rFonts w:eastAsia="DengXian"/>
          <w:lang w:val="en-US" w:eastAsia="zh-CN"/>
        </w:rPr>
      </w:pPr>
    </w:p>
    <w:p w14:paraId="3CB72514" w14:textId="77777777" w:rsidR="008006BF" w:rsidRDefault="008006BF" w:rsidP="008F661C"/>
    <w:p w14:paraId="3AEA9604" w14:textId="18AD6718" w:rsidR="00CF2046" w:rsidRDefault="00CF2046" w:rsidP="008F661C">
      <w:pPr>
        <w:rPr>
          <w:b/>
          <w:bCs/>
          <w:u w:val="single"/>
        </w:rPr>
      </w:pPr>
      <w:r w:rsidRPr="00CF2046">
        <w:rPr>
          <w:b/>
          <w:bCs/>
          <w:u w:val="single"/>
        </w:rPr>
        <w:t>DRX/eDRX applicability</w:t>
      </w:r>
    </w:p>
    <w:p w14:paraId="2C4836B4" w14:textId="5CC079A9" w:rsidR="00795217" w:rsidRPr="00795217" w:rsidRDefault="00795217" w:rsidP="008F661C">
      <w:r>
        <w:t>Impact on long DRX cycles and eDRX was discussed at last meeting with following outcome [1]:</w:t>
      </w:r>
    </w:p>
    <w:tbl>
      <w:tblPr>
        <w:tblStyle w:val="TableGrid"/>
        <w:tblW w:w="0" w:type="auto"/>
        <w:tblLook w:val="04A0" w:firstRow="1" w:lastRow="0" w:firstColumn="1" w:lastColumn="0" w:noHBand="0" w:noVBand="1"/>
      </w:tblPr>
      <w:tblGrid>
        <w:gridCol w:w="9629"/>
      </w:tblGrid>
      <w:tr w:rsidR="00DB219C" w14:paraId="25C2AB7C" w14:textId="77777777" w:rsidTr="00DB219C">
        <w:tc>
          <w:tcPr>
            <w:tcW w:w="9629" w:type="dxa"/>
          </w:tcPr>
          <w:p w14:paraId="38398139" w14:textId="77777777" w:rsidR="00DB219C" w:rsidRPr="004C3164" w:rsidRDefault="00DB219C" w:rsidP="00DB219C">
            <w:pPr>
              <w:pStyle w:val="Heading4"/>
              <w:ind w:left="0" w:firstLine="0"/>
              <w:outlineLvl w:val="3"/>
            </w:pPr>
            <w:r w:rsidRPr="004C3164">
              <w:t>__Issue 1-3-6: DRX/eDRX, HD-FDD applicability</w:t>
            </w:r>
          </w:p>
          <w:p w14:paraId="111F44FF" w14:textId="77777777" w:rsidR="00DB219C" w:rsidRPr="004C3164" w:rsidRDefault="00DB219C" w:rsidP="0016206D">
            <w:pPr>
              <w:pStyle w:val="ListParagraph"/>
              <w:numPr>
                <w:ilvl w:val="0"/>
                <w:numId w:val="14"/>
              </w:numPr>
              <w:overflowPunct w:val="0"/>
              <w:autoSpaceDE w:val="0"/>
              <w:autoSpaceDN w:val="0"/>
              <w:adjustRightInd w:val="0"/>
              <w:spacing w:after="180" w:line="240" w:lineRule="auto"/>
              <w:textAlignment w:val="baseline"/>
              <w:rPr>
                <w:rFonts w:eastAsiaTheme="minorEastAsia"/>
                <w:i/>
                <w:color w:val="0070C0"/>
                <w:lang w:val="en-US" w:eastAsia="zh-CN"/>
              </w:rPr>
            </w:pPr>
            <w:r w:rsidRPr="004C3164">
              <w:rPr>
                <w:rFonts w:eastAsia="Yu Mincho"/>
                <w:lang w:val="en-US"/>
              </w:rPr>
              <w:t>FFS the applicability of DRX/eDRX cycle length and PTW length for LEO</w:t>
            </w:r>
            <w:r w:rsidRPr="004C3164">
              <w:t xml:space="preserve"> </w:t>
            </w:r>
            <w:r w:rsidRPr="004C3164">
              <w:rPr>
                <w:rFonts w:eastAsia="Yu Mincho"/>
                <w:lang w:val="en-US"/>
              </w:rPr>
              <w:t>due to change in satellite coverage (t-Service).</w:t>
            </w:r>
          </w:p>
          <w:p w14:paraId="392D9BE6" w14:textId="7F98BBC7" w:rsidR="00DB219C" w:rsidRPr="00DB219C" w:rsidRDefault="00DB219C" w:rsidP="0016206D">
            <w:pPr>
              <w:pStyle w:val="ListParagraph"/>
              <w:numPr>
                <w:ilvl w:val="0"/>
                <w:numId w:val="14"/>
              </w:numPr>
              <w:overflowPunct w:val="0"/>
              <w:autoSpaceDE w:val="0"/>
              <w:autoSpaceDN w:val="0"/>
              <w:adjustRightInd w:val="0"/>
              <w:spacing w:after="180" w:line="240" w:lineRule="auto"/>
              <w:textAlignment w:val="baseline"/>
              <w:rPr>
                <w:lang w:val="en-US"/>
              </w:rPr>
            </w:pPr>
            <w:r w:rsidRPr="004C3164">
              <w:rPr>
                <w:rFonts w:eastAsia="Yu Mincho"/>
                <w:lang w:val="en-US"/>
              </w:rPr>
              <w:t xml:space="preserve">The </w:t>
            </w:r>
            <w:r w:rsidRPr="004C3164">
              <w:rPr>
                <w:lang w:val="en-US"/>
              </w:rPr>
              <w:t xml:space="preserve">existing TN requirements can be used as a starting point. </w:t>
            </w:r>
          </w:p>
        </w:tc>
      </w:tr>
    </w:tbl>
    <w:p w14:paraId="1DD138CA" w14:textId="77777777" w:rsidR="00CF2046" w:rsidRDefault="00CF2046" w:rsidP="008F661C"/>
    <w:p w14:paraId="4C46C9E0" w14:textId="7D95A673" w:rsidR="00D2369E" w:rsidRPr="00C21451" w:rsidRDefault="0079639D" w:rsidP="008F661C">
      <w:pPr>
        <w:rPr>
          <w:color w:val="000000" w:themeColor="text1"/>
        </w:rPr>
      </w:pPr>
      <w:r>
        <w:rPr>
          <w:color w:val="000000" w:themeColor="text1"/>
        </w:rPr>
        <w:lastRenderedPageBreak/>
        <w:t xml:space="preserve">It shall be noted that the coverage of a cell served by a LEO satellite can vary significantly compared to the coverage of a cell served by a GEO satellite. </w:t>
      </w:r>
      <w:r w:rsidR="00F72432">
        <w:rPr>
          <w:color w:val="000000" w:themeColor="text1"/>
        </w:rPr>
        <w:t xml:space="preserve">The information about the serving cell coverage is provided to the UE and UE knows based on this information when the coverage will be impacted (e.g. when in time the cell will disappear). </w:t>
      </w:r>
      <w:r w:rsidR="002D47A2">
        <w:rPr>
          <w:color w:val="000000" w:themeColor="text1"/>
        </w:rPr>
        <w:t xml:space="preserve">This follows the Rel-17 NTN UE </w:t>
      </w:r>
      <w:r w:rsidR="004D14B1">
        <w:rPr>
          <w:color w:val="000000" w:themeColor="text1"/>
        </w:rPr>
        <w:t>behavior</w:t>
      </w:r>
      <w:r w:rsidR="00A81679">
        <w:rPr>
          <w:color w:val="000000" w:themeColor="text1"/>
        </w:rPr>
        <w:t xml:space="preserve">. </w:t>
      </w:r>
      <w:r w:rsidR="00176459">
        <w:rPr>
          <w:color w:val="000000" w:themeColor="text1"/>
        </w:rPr>
        <w:t>One important difference between Rel-17 NTN work and the Rel-18 LTE IoT NTN work is that the latter supports also operation with long DRX cycles, more specifically extended DRX cycles with PTW.</w:t>
      </w:r>
      <w:r w:rsidR="009520FE">
        <w:rPr>
          <w:color w:val="000000" w:themeColor="text1"/>
        </w:rPr>
        <w:t xml:space="preserve"> Taking into consideration that the measurement delays are typically longer for IoT compared to legacy UEs, </w:t>
      </w:r>
      <w:r w:rsidR="004A30C7">
        <w:rPr>
          <w:color w:val="000000" w:themeColor="text1"/>
        </w:rPr>
        <w:t xml:space="preserve">it is important to allow the IoT UEs sufficient time to perform or complete a measurement (e.g. cell detection or cell measurement) before the coverage of that cell is going to be impacted. Therefore </w:t>
      </w:r>
      <w:r w:rsidR="00D2369E">
        <w:rPr>
          <w:color w:val="000000" w:themeColor="text1"/>
        </w:rPr>
        <w:t xml:space="preserve">the UE shall not apply the eDRX cycles or long DRX cycles when the coverage of the satellites is about to disappear e.g. when the current time is close to or equal to </w:t>
      </w:r>
      <w:r w:rsidR="00D2369E" w:rsidRPr="00BF34E7">
        <w:rPr>
          <w:i/>
          <w:iCs/>
          <w:color w:val="000000" w:themeColor="text1"/>
        </w:rPr>
        <w:t>‘t-Ser</w:t>
      </w:r>
      <w:r w:rsidR="00957400" w:rsidRPr="00BF34E7">
        <w:rPr>
          <w:i/>
          <w:iCs/>
          <w:color w:val="000000" w:themeColor="text1"/>
        </w:rPr>
        <w:t>v</w:t>
      </w:r>
      <w:r w:rsidR="00D2369E" w:rsidRPr="00BF34E7">
        <w:rPr>
          <w:i/>
          <w:iCs/>
          <w:color w:val="000000" w:themeColor="text1"/>
        </w:rPr>
        <w:t>ice’</w:t>
      </w:r>
      <w:r w:rsidR="00D2369E">
        <w:rPr>
          <w:color w:val="000000" w:themeColor="text1"/>
        </w:rPr>
        <w:t xml:space="preserve">. </w:t>
      </w:r>
      <w:r w:rsidR="00D2369E" w:rsidRPr="00C21451">
        <w:rPr>
          <w:color w:val="000000" w:themeColor="text1"/>
        </w:rPr>
        <w:t>This may also apply to the serving cell evaluation which would require the UE to evaluate the serving cell using shorter eDRX cycles.</w:t>
      </w:r>
      <w:r w:rsidR="005D0B24" w:rsidRPr="00C21451">
        <w:rPr>
          <w:color w:val="000000" w:themeColor="text1"/>
        </w:rPr>
        <w:t xml:space="preserve"> </w:t>
      </w:r>
    </w:p>
    <w:p w14:paraId="711F85EE" w14:textId="4DB4E649" w:rsidR="0028308E" w:rsidRPr="00DB23A6" w:rsidRDefault="0028308E" w:rsidP="008F661C">
      <w:r w:rsidRPr="00C21451">
        <w:rPr>
          <w:color w:val="000000" w:themeColor="text1"/>
        </w:rPr>
        <w:t xml:space="preserve">Likewise, then the coverage of the serving cell is resumed </w:t>
      </w:r>
      <w:r w:rsidR="00440E54" w:rsidRPr="00C21451">
        <w:rPr>
          <w:color w:val="000000" w:themeColor="text1"/>
        </w:rPr>
        <w:t xml:space="preserve">after </w:t>
      </w:r>
      <w:r w:rsidR="00440E54" w:rsidRPr="00C21451">
        <w:rPr>
          <w:i/>
          <w:iCs/>
        </w:rPr>
        <w:t>‘t-ServiceStart’</w:t>
      </w:r>
      <w:r w:rsidR="00440E54" w:rsidRPr="00C21451">
        <w:t xml:space="preserve">, the UE may need some additional time to </w:t>
      </w:r>
      <w:r w:rsidR="00440E54" w:rsidRPr="00DB23A6">
        <w:t xml:space="preserve">reacquire the synchronization. </w:t>
      </w:r>
      <w:r w:rsidR="00634BDA" w:rsidRPr="00DB23A6">
        <w:t xml:space="preserve">Unlike the the TN operation where the UE can wake up before the ON duration/active time to perform </w:t>
      </w:r>
      <w:r w:rsidR="00575DF2" w:rsidRPr="00DB23A6">
        <w:t xml:space="preserve">T/F tracking, the NTN IoT UE can only perform the sync after </w:t>
      </w:r>
      <w:r w:rsidR="00575DF2" w:rsidRPr="00DB23A6">
        <w:rPr>
          <w:i/>
          <w:iCs/>
        </w:rPr>
        <w:t>‘t-ServiceStart’</w:t>
      </w:r>
      <w:r w:rsidR="00575DF2" w:rsidRPr="00DB23A6">
        <w:t xml:space="preserve">. </w:t>
      </w:r>
      <w:r w:rsidR="00461E2C" w:rsidRPr="00DB23A6">
        <w:t xml:space="preserve">Therefore it is important to </w:t>
      </w:r>
      <w:r w:rsidR="00A25F1A" w:rsidRPr="00DB23A6">
        <w:t xml:space="preserve">assume shorter DRX cycle to speed up the evaluation after </w:t>
      </w:r>
      <w:r w:rsidR="00A25F1A" w:rsidRPr="00DB23A6">
        <w:rPr>
          <w:i/>
          <w:iCs/>
        </w:rPr>
        <w:t>‘t-ServiceStart’</w:t>
      </w:r>
      <w:r w:rsidR="00A25F1A" w:rsidRPr="00DB23A6">
        <w:t xml:space="preserve">. </w:t>
      </w:r>
      <w:r w:rsidR="000C74A0" w:rsidRPr="00DB23A6">
        <w:t xml:space="preserve">For this reason, </w:t>
      </w:r>
      <w:r w:rsidR="00A92A24" w:rsidRPr="00DB23A6">
        <w:t xml:space="preserve">the UE can also be allowed to drop the paging during the [2] DRX cycles immediately after </w:t>
      </w:r>
      <w:r w:rsidR="00D4188C" w:rsidRPr="00DB23A6">
        <w:rPr>
          <w:i/>
          <w:iCs/>
        </w:rPr>
        <w:t>‘t-ServiceStart’.</w:t>
      </w:r>
      <w:r w:rsidR="00A25F1A" w:rsidRPr="00DB23A6">
        <w:t xml:space="preserve"> </w:t>
      </w:r>
    </w:p>
    <w:p w14:paraId="7C7291B3" w14:textId="77777777" w:rsidR="00225551" w:rsidRDefault="00990BA7" w:rsidP="0016206D">
      <w:pPr>
        <w:pStyle w:val="Proposal"/>
        <w:numPr>
          <w:ilvl w:val="0"/>
          <w:numId w:val="2"/>
        </w:numPr>
        <w:tabs>
          <w:tab w:val="clear" w:pos="5841"/>
        </w:tabs>
        <w:ind w:left="1701" w:hanging="1701"/>
        <w:rPr>
          <w:color w:val="000000" w:themeColor="text1"/>
          <w:lang w:val="en-GB"/>
        </w:rPr>
      </w:pPr>
      <w:r w:rsidRPr="00225551">
        <w:rPr>
          <w:rFonts w:cs="v4.2.0"/>
        </w:rPr>
        <w:t xml:space="preserve">If the UE is configured with </w:t>
      </w:r>
      <w:r w:rsidRPr="00DB23A6">
        <w:t>‘</w:t>
      </w:r>
      <w:r w:rsidRPr="00225551">
        <w:rPr>
          <w:i/>
          <w:iCs/>
        </w:rPr>
        <w:t>t-Service-r17</w:t>
      </w:r>
      <w:r w:rsidRPr="00DB23A6">
        <w:t>’ [2] in the serving cell</w:t>
      </w:r>
      <w:r w:rsidRPr="00225551">
        <w:rPr>
          <w:rFonts w:cs="v4.2.0"/>
        </w:rPr>
        <w:t xml:space="preserve"> and eDRX_cycle, then the UE shall meet the requirements defined for DRX cycle length of [2.56] s </w:t>
      </w:r>
      <w:r w:rsidRPr="00225551">
        <w:rPr>
          <w:rFonts w:cs="v4.2.0"/>
          <w:snapToGrid w:val="0"/>
        </w:rPr>
        <w:t xml:space="preserve">starting from at least [1] eDRX cycle before </w:t>
      </w:r>
      <w:r w:rsidRPr="00BB2E86">
        <w:t>‘</w:t>
      </w:r>
      <w:r w:rsidRPr="00225551">
        <w:rPr>
          <w:i/>
          <w:iCs/>
        </w:rPr>
        <w:t>t-Service-r17</w:t>
      </w:r>
      <w:r w:rsidRPr="00BB2E86">
        <w:t>’.</w:t>
      </w:r>
    </w:p>
    <w:p w14:paraId="7F11F93F" w14:textId="77777777" w:rsidR="00225551" w:rsidRDefault="005C2679" w:rsidP="0016206D">
      <w:pPr>
        <w:pStyle w:val="Proposal"/>
        <w:numPr>
          <w:ilvl w:val="0"/>
          <w:numId w:val="2"/>
        </w:numPr>
        <w:tabs>
          <w:tab w:val="clear" w:pos="5841"/>
        </w:tabs>
        <w:ind w:left="1701" w:hanging="1701"/>
        <w:rPr>
          <w:color w:val="000000" w:themeColor="text1"/>
          <w:lang w:val="en-GB"/>
        </w:rPr>
      </w:pPr>
      <w:r w:rsidRPr="00225551">
        <w:rPr>
          <w:rFonts w:cs="v4.2.0"/>
        </w:rPr>
        <w:t xml:space="preserve">If the UE is not configured with eDRX_IDLE cycle and configured with DRX cycle </w:t>
      </w:r>
      <w:r w:rsidRPr="00BB2E86">
        <w:t xml:space="preserve">≥ [1.28] s </w:t>
      </w:r>
      <w:r w:rsidRPr="00225551">
        <w:rPr>
          <w:rFonts w:cs="v4.2.0"/>
        </w:rPr>
        <w:t xml:space="preserve">then </w:t>
      </w:r>
      <w:r w:rsidRPr="00BB2E86">
        <w:t xml:space="preserve">the UE shall meet the requirements defined for DRX cycle of [640] ms during at least [2] configured DRX cycles immediately after </w:t>
      </w:r>
      <w:r w:rsidRPr="00225551">
        <w:rPr>
          <w:i/>
          <w:iCs/>
        </w:rPr>
        <w:t xml:space="preserve">‘t-ServiceStart-r17’ </w:t>
      </w:r>
      <w:r w:rsidRPr="00BB2E86">
        <w:t>[2].</w:t>
      </w:r>
    </w:p>
    <w:p w14:paraId="306E1BEB" w14:textId="77777777" w:rsidR="00225551" w:rsidRDefault="00641034" w:rsidP="0016206D">
      <w:pPr>
        <w:pStyle w:val="Proposal"/>
        <w:numPr>
          <w:ilvl w:val="0"/>
          <w:numId w:val="2"/>
        </w:numPr>
        <w:tabs>
          <w:tab w:val="clear" w:pos="5841"/>
        </w:tabs>
        <w:ind w:left="1701" w:hanging="1701"/>
        <w:rPr>
          <w:color w:val="000000" w:themeColor="text1"/>
          <w:lang w:val="en-GB"/>
        </w:rPr>
      </w:pPr>
      <w:r w:rsidRPr="00225551">
        <w:rPr>
          <w:rFonts w:cs="v4.2.0"/>
        </w:rPr>
        <w:t xml:space="preserve">If the UE is configured with eDRX_IDLE cycle then </w:t>
      </w:r>
      <w:r w:rsidRPr="00BB2E86">
        <w:t xml:space="preserve">the UE shall meet the requirements </w:t>
      </w:r>
      <w:r w:rsidRPr="00DB23A6">
        <w:t xml:space="preserve">defined for eDRX_IDLE cycle of 5.12 s during </w:t>
      </w:r>
      <w:r w:rsidR="007C650E" w:rsidRPr="00DB23A6">
        <w:t>[</w:t>
      </w:r>
      <w:r w:rsidRPr="00DB23A6">
        <w:t>2</w:t>
      </w:r>
      <w:r w:rsidR="007C650E" w:rsidRPr="00DB23A6">
        <w:t>]</w:t>
      </w:r>
      <w:r w:rsidRPr="00DB23A6">
        <w:t xml:space="preserve"> eDRX_IDLE cycles immediately after </w:t>
      </w:r>
      <w:r w:rsidRPr="00225551">
        <w:rPr>
          <w:i/>
          <w:iCs/>
        </w:rPr>
        <w:t>‘t-ServiceStart-r17’</w:t>
      </w:r>
      <w:r w:rsidRPr="00DB23A6">
        <w:t>.</w:t>
      </w:r>
    </w:p>
    <w:p w14:paraId="778FB784" w14:textId="07004545" w:rsidR="00255824" w:rsidRPr="00225551" w:rsidRDefault="00BD3C60" w:rsidP="0016206D">
      <w:pPr>
        <w:pStyle w:val="Proposal"/>
        <w:numPr>
          <w:ilvl w:val="0"/>
          <w:numId w:val="2"/>
        </w:numPr>
        <w:tabs>
          <w:tab w:val="clear" w:pos="5841"/>
        </w:tabs>
        <w:ind w:left="1701" w:hanging="1701"/>
        <w:rPr>
          <w:color w:val="000000" w:themeColor="text1"/>
          <w:lang w:val="en-GB"/>
        </w:rPr>
      </w:pPr>
      <w:r w:rsidRPr="00DB23A6">
        <w:t xml:space="preserve">The UE is allowed to drop paging during [2] DRX cycles immediately after </w:t>
      </w:r>
      <w:r w:rsidRPr="00225551">
        <w:rPr>
          <w:i/>
          <w:iCs/>
        </w:rPr>
        <w:t>‘t-ServiceStart-r17’</w:t>
      </w:r>
      <w:r w:rsidRPr="00DB23A6">
        <w:t>.</w:t>
      </w:r>
    </w:p>
    <w:p w14:paraId="226ECEA4" w14:textId="77777777" w:rsidR="00871240" w:rsidRPr="00BB2E86" w:rsidRDefault="00871240" w:rsidP="008F661C">
      <w:pPr>
        <w:rPr>
          <w:color w:val="000000" w:themeColor="text1"/>
        </w:rPr>
      </w:pPr>
    </w:p>
    <w:p w14:paraId="7A40117F" w14:textId="0581846A" w:rsidR="00D2369E" w:rsidRDefault="00F76918" w:rsidP="008F661C">
      <w:pPr>
        <w:rPr>
          <w:b/>
          <w:bCs/>
          <w:u w:val="single"/>
        </w:rPr>
      </w:pPr>
      <w:r w:rsidRPr="00703F19">
        <w:rPr>
          <w:b/>
          <w:bCs/>
          <w:u w:val="single"/>
        </w:rPr>
        <w:t>New UE capability</w:t>
      </w:r>
    </w:p>
    <w:p w14:paraId="45C570ED" w14:textId="49FDA098" w:rsidR="00703F19" w:rsidRPr="00703F19" w:rsidRDefault="001F1A79" w:rsidP="008F661C">
      <w:r>
        <w:t xml:space="preserve">RAN4 discussed </w:t>
      </w:r>
      <w:r w:rsidR="00C6607E">
        <w:t xml:space="preserve">whether to introduce new UE capabilities for enhanced RRM requirements in IDLE/INACTIVE, relaxed cell reselection on GEO and parallel measurements on multiple LEO satellites. These are capabilities that were introduced in Rel-17 NR NTN. </w:t>
      </w:r>
    </w:p>
    <w:tbl>
      <w:tblPr>
        <w:tblStyle w:val="TableGrid"/>
        <w:tblW w:w="0" w:type="auto"/>
        <w:tblLook w:val="04A0" w:firstRow="1" w:lastRow="0" w:firstColumn="1" w:lastColumn="0" w:noHBand="0" w:noVBand="1"/>
      </w:tblPr>
      <w:tblGrid>
        <w:gridCol w:w="9629"/>
      </w:tblGrid>
      <w:tr w:rsidR="00F76918" w14:paraId="2B3F983F" w14:textId="77777777" w:rsidTr="00F76918">
        <w:tc>
          <w:tcPr>
            <w:tcW w:w="9629" w:type="dxa"/>
          </w:tcPr>
          <w:p w14:paraId="41C07012" w14:textId="77777777" w:rsidR="00F76918" w:rsidRPr="004C3164" w:rsidRDefault="00F76918" w:rsidP="00F76918">
            <w:pPr>
              <w:pStyle w:val="Heading4"/>
              <w:ind w:left="0" w:firstLine="0"/>
              <w:outlineLvl w:val="3"/>
            </w:pPr>
            <w:r w:rsidRPr="004C3164">
              <w:t>__Issue 1-5: UE capability introduced in R17 NR NTN</w:t>
            </w:r>
          </w:p>
          <w:p w14:paraId="0E982B73" w14:textId="77777777" w:rsidR="00F76918" w:rsidRPr="004C3164" w:rsidRDefault="00F76918" w:rsidP="0016206D">
            <w:pPr>
              <w:pStyle w:val="ListParagraph"/>
              <w:numPr>
                <w:ilvl w:val="0"/>
                <w:numId w:val="16"/>
              </w:numPr>
              <w:overflowPunct w:val="0"/>
              <w:autoSpaceDE w:val="0"/>
              <w:autoSpaceDN w:val="0"/>
              <w:adjustRightInd w:val="0"/>
              <w:spacing w:after="180" w:line="240" w:lineRule="auto"/>
              <w:textAlignment w:val="baseline"/>
              <w:rPr>
                <w:rFonts w:eastAsia="PMingLiU"/>
                <w:iCs/>
                <w:lang w:val="en-US" w:eastAsia="zh-TW"/>
              </w:rPr>
            </w:pPr>
            <w:r w:rsidRPr="004C3164">
              <w:rPr>
                <w:rFonts w:eastAsia="Yu Mincho"/>
              </w:rPr>
              <w:t>FFS whether to introduce the following UE capability, for LTE IoT NTN in Rel-18</w:t>
            </w:r>
          </w:p>
          <w:p w14:paraId="7EC78422" w14:textId="77777777" w:rsidR="00F76918" w:rsidRPr="004C3164" w:rsidRDefault="00F76918" w:rsidP="0016206D">
            <w:pPr>
              <w:pStyle w:val="ListParagraph"/>
              <w:numPr>
                <w:ilvl w:val="1"/>
                <w:numId w:val="16"/>
              </w:numPr>
              <w:overflowPunct w:val="0"/>
              <w:autoSpaceDE w:val="0"/>
              <w:autoSpaceDN w:val="0"/>
              <w:adjustRightInd w:val="0"/>
              <w:spacing w:after="120" w:line="240" w:lineRule="auto"/>
              <w:textAlignment w:val="baseline"/>
            </w:pPr>
            <w:r w:rsidRPr="004C3164">
              <w:t>Enhanced RRM requirements for measurements in IDLE and INACTIVE modes</w:t>
            </w:r>
          </w:p>
          <w:p w14:paraId="472516BE" w14:textId="77777777" w:rsidR="00F76918" w:rsidRPr="004C3164" w:rsidRDefault="00F76918" w:rsidP="0016206D">
            <w:pPr>
              <w:pStyle w:val="ListParagraph"/>
              <w:numPr>
                <w:ilvl w:val="1"/>
                <w:numId w:val="16"/>
              </w:numPr>
              <w:overflowPunct w:val="0"/>
              <w:autoSpaceDE w:val="0"/>
              <w:autoSpaceDN w:val="0"/>
              <w:adjustRightInd w:val="0"/>
              <w:spacing w:after="120" w:line="240" w:lineRule="auto"/>
              <w:textAlignment w:val="baseline"/>
            </w:pPr>
            <w:r w:rsidRPr="004C3164">
              <w:t xml:space="preserve">Relaxed cell reselection on GEO </w:t>
            </w:r>
          </w:p>
          <w:p w14:paraId="25683ED8" w14:textId="7CB7ED54" w:rsidR="00F76918" w:rsidRPr="00F76918" w:rsidRDefault="00F76918" w:rsidP="0016206D">
            <w:pPr>
              <w:pStyle w:val="ListParagraph"/>
              <w:numPr>
                <w:ilvl w:val="1"/>
                <w:numId w:val="16"/>
              </w:numPr>
              <w:overflowPunct w:val="0"/>
              <w:autoSpaceDE w:val="0"/>
              <w:autoSpaceDN w:val="0"/>
              <w:adjustRightInd w:val="0"/>
              <w:spacing w:after="120" w:line="240" w:lineRule="auto"/>
              <w:textAlignment w:val="baseline"/>
            </w:pPr>
            <w:r w:rsidRPr="004C3164">
              <w:t>Parallel measurements on multiple LEO satellites</w:t>
            </w:r>
          </w:p>
        </w:tc>
      </w:tr>
    </w:tbl>
    <w:p w14:paraId="1DA6D371" w14:textId="77777777" w:rsidR="00F76918" w:rsidRDefault="00F76918" w:rsidP="008F661C"/>
    <w:p w14:paraId="6BB4592B" w14:textId="14C39FC0" w:rsidR="00674863" w:rsidRDefault="00951F0C" w:rsidP="008F661C">
      <w:r>
        <w:t xml:space="preserve">Our general view is that the IoT NTN UE requirements can be based on </w:t>
      </w:r>
      <w:r w:rsidR="00E53C82">
        <w:t xml:space="preserve">the minimum UE capabilities which do no have the capabilities to perform the above tasks. However, it is still </w:t>
      </w:r>
      <w:r w:rsidR="0059425F">
        <w:t xml:space="preserve">beneficial to introduce capabilities, following the Rel-17 NTN approach, for more advanced UEs similar to cat-1bis in LTE. </w:t>
      </w:r>
      <w:r w:rsidR="002B02A5">
        <w:t xml:space="preserve">This means, in practice the UEs which do have the additional capabilities to perform enhanced RRM requirements or parallel measurements can meet the requirements associated with those. Other UEs can meet the basic requirements. </w:t>
      </w:r>
    </w:p>
    <w:p w14:paraId="587E90C8" w14:textId="77777777" w:rsidR="00B52C79" w:rsidRDefault="00B52C79" w:rsidP="008F661C"/>
    <w:p w14:paraId="42515A4E" w14:textId="7349331E" w:rsidR="000F2632" w:rsidRPr="00B52C79" w:rsidRDefault="000F2632" w:rsidP="00B52C79">
      <w:pPr>
        <w:pStyle w:val="Proposal"/>
        <w:numPr>
          <w:ilvl w:val="0"/>
          <w:numId w:val="2"/>
        </w:numPr>
        <w:tabs>
          <w:tab w:val="clear" w:pos="5841"/>
        </w:tabs>
        <w:ind w:left="1701" w:hanging="1701"/>
        <w:rPr>
          <w:color w:val="000000" w:themeColor="text1"/>
          <w:lang w:val="en-GB"/>
        </w:rPr>
      </w:pPr>
      <w:bookmarkStart w:id="1" w:name="_Hlk115466241"/>
      <w:r w:rsidRPr="00B52C79">
        <w:rPr>
          <w:szCs w:val="24"/>
        </w:rPr>
        <w:lastRenderedPageBreak/>
        <w:t>New UE capabilities (similar to Rel-17 NTN) for IoT NTN for following:</w:t>
      </w:r>
    </w:p>
    <w:p w14:paraId="38B4DD9E" w14:textId="77777777" w:rsidR="004F02B2" w:rsidRPr="004C3164" w:rsidRDefault="004F02B2" w:rsidP="0016206D">
      <w:pPr>
        <w:pStyle w:val="Proposal"/>
        <w:numPr>
          <w:ilvl w:val="0"/>
          <w:numId w:val="15"/>
        </w:numPr>
      </w:pPr>
      <w:r w:rsidRPr="004C3164">
        <w:t>Enhanced RRM requirements for measurements in IDLE and INACTIVE modes</w:t>
      </w:r>
    </w:p>
    <w:p w14:paraId="0E36BAD3" w14:textId="77777777" w:rsidR="001D38FE" w:rsidRDefault="004F02B2" w:rsidP="0016206D">
      <w:pPr>
        <w:pStyle w:val="Proposal"/>
        <w:numPr>
          <w:ilvl w:val="0"/>
          <w:numId w:val="15"/>
        </w:numPr>
      </w:pPr>
      <w:r w:rsidRPr="004C3164">
        <w:t>Relaxed cell reselection on GEO</w:t>
      </w:r>
    </w:p>
    <w:p w14:paraId="1BC40330" w14:textId="7A2F9366" w:rsidR="000F2632" w:rsidRDefault="004F02B2" w:rsidP="0016206D">
      <w:pPr>
        <w:pStyle w:val="Proposal"/>
        <w:numPr>
          <w:ilvl w:val="0"/>
          <w:numId w:val="15"/>
        </w:numPr>
      </w:pPr>
      <w:r w:rsidRPr="004C3164">
        <w:t>Parallel measurements on multiple LEO satellites</w:t>
      </w:r>
    </w:p>
    <w:bookmarkEnd w:id="1"/>
    <w:p w14:paraId="2E5149CC" w14:textId="77777777" w:rsidR="000F2632" w:rsidRDefault="000F2632" w:rsidP="008F661C"/>
    <w:p w14:paraId="6D326DC9" w14:textId="4BF3B0F6" w:rsidR="00674863" w:rsidRPr="00C61C80" w:rsidRDefault="00C61C80" w:rsidP="008F661C">
      <w:pPr>
        <w:rPr>
          <w:b/>
          <w:bCs/>
          <w:u w:val="single"/>
        </w:rPr>
      </w:pPr>
      <w:r w:rsidRPr="00C61C80">
        <w:rPr>
          <w:b/>
          <w:bCs/>
          <w:u w:val="single"/>
        </w:rPr>
        <w:t>Discontinuous coverage</w:t>
      </w:r>
    </w:p>
    <w:p w14:paraId="18BF988A" w14:textId="1A33D807" w:rsidR="008A05F7" w:rsidRDefault="003D02C4" w:rsidP="008F661C">
      <w:r>
        <w:t xml:space="preserve">Regarding the discussions on discontinuous coverage, it was agreed that </w:t>
      </w:r>
      <w:r w:rsidR="007676AC">
        <w:t xml:space="preserve">the UE requirements are defined based on the assumption that </w:t>
      </w:r>
      <w:r w:rsidR="00770116">
        <w:t xml:space="preserve">UE is able to predict the </w:t>
      </w:r>
      <w:r w:rsidR="009B06D5">
        <w:t>coverage of the cell</w:t>
      </w:r>
      <w:r w:rsidR="00D36B13">
        <w:t xml:space="preserve"> and that the UE in IDLE</w:t>
      </w:r>
      <w:r w:rsidR="00C84B8B">
        <w:t xml:space="preserve"> or PSM mode is not required to </w:t>
      </w:r>
      <w:r w:rsidR="00A834A0">
        <w:t xml:space="preserve">perform any cell </w:t>
      </w:r>
      <w:r w:rsidR="00F0775B">
        <w:t xml:space="preserve">search while in </w:t>
      </w:r>
      <w:r w:rsidR="00B314A1">
        <w:t xml:space="preserve">out of coverage </w:t>
      </w:r>
      <w:r w:rsidR="009701A4">
        <w:t xml:space="preserve">in discontinuous coverage. </w:t>
      </w:r>
      <w:r w:rsidR="0042266E">
        <w:t>Howeve</w:t>
      </w:r>
      <w:r w:rsidR="00763A10">
        <w:t xml:space="preserve">r, </w:t>
      </w:r>
      <w:r w:rsidR="0086124F">
        <w:t xml:space="preserve">whether and how to define requirements </w:t>
      </w:r>
      <w:r w:rsidR="00845FA0">
        <w:t>for these cases remains open.</w:t>
      </w:r>
      <w:r w:rsidR="000D1AB3">
        <w:t xml:space="preserve"> </w:t>
      </w:r>
      <w:r w:rsidR="00F47CDD">
        <w:t>Our view is to follow the Rel-17 NTN approach for defining the requirements for discontinuous coverage</w:t>
      </w:r>
      <w:r w:rsidR="00093F6B">
        <w:t xml:space="preserve">, where the requirements are defined based on </w:t>
      </w:r>
      <w:r w:rsidR="000958D8">
        <w:t xml:space="preserve">current </w:t>
      </w:r>
      <w:r w:rsidR="00FA462D">
        <w:t>UE time (</w:t>
      </w:r>
      <w:r w:rsidR="00971E98">
        <w:t>T1</w:t>
      </w:r>
      <w:r w:rsidR="00FA462D">
        <w:t>)</w:t>
      </w:r>
      <w:r w:rsidR="00971E98">
        <w:t xml:space="preserve"> and ‘</w:t>
      </w:r>
      <w:r w:rsidR="00971E98" w:rsidRPr="00B42A38">
        <w:rPr>
          <w:i/>
          <w:iCs/>
        </w:rPr>
        <w:t>t-Service</w:t>
      </w:r>
      <w:r w:rsidR="001E0F24">
        <w:rPr>
          <w:i/>
          <w:iCs/>
        </w:rPr>
        <w:t>-r17</w:t>
      </w:r>
      <w:r w:rsidR="00ED62D8">
        <w:rPr>
          <w:i/>
          <w:iCs/>
        </w:rPr>
        <w:t>’</w:t>
      </w:r>
      <w:r w:rsidR="001F00D5">
        <w:rPr>
          <w:i/>
          <w:iCs/>
        </w:rPr>
        <w:t xml:space="preserve"> and </w:t>
      </w:r>
      <w:r w:rsidR="00ED62D8">
        <w:rPr>
          <w:i/>
          <w:iCs/>
        </w:rPr>
        <w:t>‘</w:t>
      </w:r>
      <w:r w:rsidR="001F00D5" w:rsidRPr="00B42A38">
        <w:rPr>
          <w:i/>
          <w:iCs/>
        </w:rPr>
        <w:t>t-</w:t>
      </w:r>
      <w:r w:rsidR="00F96114">
        <w:rPr>
          <w:i/>
          <w:iCs/>
        </w:rPr>
        <w:t>S</w:t>
      </w:r>
      <w:r w:rsidR="001F00D5" w:rsidRPr="00B42A38">
        <w:rPr>
          <w:i/>
          <w:iCs/>
        </w:rPr>
        <w:t>ervice</w:t>
      </w:r>
      <w:r w:rsidR="001F00D5">
        <w:rPr>
          <w:i/>
          <w:iCs/>
        </w:rPr>
        <w:t>-start</w:t>
      </w:r>
      <w:r w:rsidR="00ED62D8">
        <w:rPr>
          <w:i/>
          <w:iCs/>
        </w:rPr>
        <w:t>-r17</w:t>
      </w:r>
      <w:r w:rsidR="001F00D5">
        <w:rPr>
          <w:i/>
          <w:iCs/>
        </w:rPr>
        <w:t xml:space="preserve"> </w:t>
      </w:r>
      <w:r w:rsidR="00971E98" w:rsidRPr="00B42A38">
        <w:t>’</w:t>
      </w:r>
      <w:r w:rsidR="0072064C">
        <w:t xml:space="preserve">. </w:t>
      </w:r>
    </w:p>
    <w:p w14:paraId="2EB4254D" w14:textId="4BEDC246" w:rsidR="00723767" w:rsidRDefault="00582905" w:rsidP="008F661C">
      <w:r>
        <w:t>Rationally</w:t>
      </w:r>
      <w:r w:rsidR="00BA334B">
        <w:t xml:space="preserve">, </w:t>
      </w:r>
      <w:r w:rsidR="00BA334B" w:rsidRPr="00371A93">
        <w:t xml:space="preserve">the UE shall </w:t>
      </w:r>
      <w:r w:rsidR="00BA334B" w:rsidRPr="00CE1075">
        <w:t xml:space="preserve">initiate cell </w:t>
      </w:r>
      <w:r w:rsidR="00BA334B" w:rsidRPr="00CA649F">
        <w:t>(</w:t>
      </w:r>
      <w:r w:rsidR="00BA334B" w:rsidRPr="00F315F4">
        <w:t>re</w:t>
      </w:r>
      <w:r w:rsidR="00BA334B" w:rsidRPr="00413382">
        <w:t>)</w:t>
      </w:r>
      <w:r w:rsidR="00BA334B" w:rsidRPr="00231C47">
        <w:t xml:space="preserve">selection procedure </w:t>
      </w:r>
      <w:r w:rsidR="00065F2E" w:rsidRPr="00231C47">
        <w:t xml:space="preserve">at least </w:t>
      </w:r>
      <w:r w:rsidR="00BA334B" w:rsidRPr="00454B38">
        <w:t xml:space="preserve">when </w:t>
      </w:r>
      <w:r w:rsidR="00BA334B" w:rsidRPr="00EA2C22">
        <w:t>‘t-Service-start-r17</w:t>
      </w:r>
      <w:r w:rsidR="00065F2E" w:rsidRPr="00EA2C22">
        <w:t>’.</w:t>
      </w:r>
      <w:r w:rsidR="008908F2">
        <w:t xml:space="preserve"> At that moment</w:t>
      </w:r>
      <w:r w:rsidR="00DA406C">
        <w:t xml:space="preserve"> and during a time period, e.g. Tdelta in below </w:t>
      </w:r>
      <w:r w:rsidR="00DA406C">
        <w:fldChar w:fldCharType="begin"/>
      </w:r>
      <w:r w:rsidR="00DA406C">
        <w:instrText xml:space="preserve"> REF _Ref115418386 \h </w:instrText>
      </w:r>
      <w:r w:rsidR="00371A93">
        <w:instrText xml:space="preserve"> \* MERGEFORMAT </w:instrText>
      </w:r>
      <w:r w:rsidR="00DA406C">
        <w:fldChar w:fldCharType="separate"/>
      </w:r>
      <w:r w:rsidR="00DA406C" w:rsidRPr="00EA2C22">
        <w:t xml:space="preserve">Figure </w:t>
      </w:r>
      <w:r w:rsidR="00DA406C" w:rsidRPr="00DA406C">
        <w:t>2</w:t>
      </w:r>
      <w:r w:rsidR="00DA406C">
        <w:fldChar w:fldCharType="end"/>
      </w:r>
      <w:r w:rsidR="008908F2">
        <w:t xml:space="preserve">, </w:t>
      </w:r>
      <w:r w:rsidR="00507F55">
        <w:t xml:space="preserve">UE </w:t>
      </w:r>
      <w:r w:rsidR="006A49A4">
        <w:t xml:space="preserve">shall </w:t>
      </w:r>
      <w:r w:rsidR="009939DE" w:rsidRPr="009939DE">
        <w:t>identify</w:t>
      </w:r>
      <w:r w:rsidR="00371A93" w:rsidRPr="00EA2C22">
        <w:t xml:space="preserve"> and measurement </w:t>
      </w:r>
      <w:r w:rsidR="00507F55">
        <w:t xml:space="preserve">on the new </w:t>
      </w:r>
      <w:r w:rsidR="00834D61">
        <w:t>serving cell</w:t>
      </w:r>
      <w:r w:rsidR="00371A93">
        <w:t xml:space="preserve"> </w:t>
      </w:r>
      <w:hyperlink r:id="rId13" w:history="1">
        <w:r w:rsidR="00371A93" w:rsidRPr="00EA2C22">
          <w:t>as</w:t>
        </w:r>
      </w:hyperlink>
      <w:r w:rsidR="00371A93" w:rsidRPr="00EA2C22">
        <w:t> </w:t>
      </w:r>
      <w:hyperlink r:id="rId14" w:history="1">
        <w:r w:rsidR="00371A93" w:rsidRPr="00EA2C22">
          <w:t>soon</w:t>
        </w:r>
      </w:hyperlink>
      <w:r w:rsidR="00371A93" w:rsidRPr="00EA2C22">
        <w:t> </w:t>
      </w:r>
      <w:hyperlink r:id="rId15" w:history="1">
        <w:r w:rsidR="00371A93" w:rsidRPr="00EA2C22">
          <w:t>as</w:t>
        </w:r>
      </w:hyperlink>
      <w:r w:rsidR="00371A93" w:rsidRPr="00EA2C22">
        <w:t> </w:t>
      </w:r>
      <w:hyperlink r:id="rId16" w:history="1">
        <w:r w:rsidR="00371A93" w:rsidRPr="00EA2C22">
          <w:t>possible</w:t>
        </w:r>
      </w:hyperlink>
      <w:r w:rsidR="00834D61">
        <w:t>.</w:t>
      </w:r>
      <w:r w:rsidR="009939DE">
        <w:t xml:space="preserve"> Another issue is</w:t>
      </w:r>
      <w:r w:rsidR="00F25892">
        <w:t xml:space="preserve"> paging </w:t>
      </w:r>
      <w:r w:rsidR="00CE1075">
        <w:t>reception</w:t>
      </w:r>
      <w:r w:rsidR="00307FFC">
        <w:t xml:space="preserve"> could not be kept</w:t>
      </w:r>
      <w:r w:rsidR="00F25892">
        <w:t xml:space="preserve"> </w:t>
      </w:r>
      <w:r w:rsidR="00D11919">
        <w:t xml:space="preserve">in </w:t>
      </w:r>
      <w:r w:rsidR="00DA4788">
        <w:t>Tdelta</w:t>
      </w:r>
      <w:r w:rsidR="00307FFC">
        <w:t xml:space="preserve"> and cause dropping paging. </w:t>
      </w:r>
    </w:p>
    <w:p w14:paraId="63A91EA6" w14:textId="760CA4BA" w:rsidR="00834D61" w:rsidRPr="008908F2" w:rsidRDefault="00834D61" w:rsidP="008F661C"/>
    <w:p w14:paraId="19025674" w14:textId="77777777" w:rsidR="00E41585" w:rsidRDefault="00E41585" w:rsidP="008F661C"/>
    <w:p w14:paraId="78EF286C" w14:textId="77777777" w:rsidR="00DA406C" w:rsidRPr="00DA406C" w:rsidRDefault="00E41585" w:rsidP="00EA2C22">
      <w:pPr>
        <w:keepNext/>
        <w:jc w:val="center"/>
      </w:pPr>
      <w:r w:rsidRPr="00DA406C">
        <w:object w:dxaOrig="10896" w:dyaOrig="3451" w14:anchorId="1565FCD3">
          <v:shape id="_x0000_i1026" type="#_x0000_t75" style="width:387.25pt;height:122.6pt" o:ole="">
            <v:imagedata r:id="rId17" o:title=""/>
          </v:shape>
          <o:OLEObject Type="Embed" ProgID="Visio.Drawing.15" ShapeID="_x0000_i1026" DrawAspect="Content" ObjectID="_1726081457" r:id="rId18"/>
        </w:object>
      </w:r>
    </w:p>
    <w:p w14:paraId="359B5879" w14:textId="394867D3" w:rsidR="008A05F7" w:rsidRPr="00413382" w:rsidRDefault="00DA406C" w:rsidP="00EA2C22">
      <w:pPr>
        <w:pStyle w:val="Caption"/>
        <w:jc w:val="center"/>
      </w:pPr>
      <w:bookmarkStart w:id="2" w:name="_Ref115418386"/>
      <w:r w:rsidRPr="00EA2C22">
        <w:rPr>
          <w:b w:val="0"/>
        </w:rPr>
        <w:t xml:space="preserve">Figure </w:t>
      </w:r>
      <w:r w:rsidRPr="00EA2C22">
        <w:rPr>
          <w:b w:val="0"/>
        </w:rPr>
        <w:fldChar w:fldCharType="begin"/>
      </w:r>
      <w:r w:rsidRPr="00EA2C22">
        <w:rPr>
          <w:b w:val="0"/>
        </w:rPr>
        <w:instrText xml:space="preserve"> SEQ Figure \* ARABIC </w:instrText>
      </w:r>
      <w:r w:rsidRPr="00EA2C22">
        <w:rPr>
          <w:b w:val="0"/>
        </w:rPr>
        <w:fldChar w:fldCharType="separate"/>
      </w:r>
      <w:r w:rsidRPr="00EA2C22">
        <w:rPr>
          <w:b w:val="0"/>
          <w:noProof/>
        </w:rPr>
        <w:t>2</w:t>
      </w:r>
      <w:r w:rsidRPr="00EA2C22">
        <w:rPr>
          <w:b w:val="0"/>
        </w:rPr>
        <w:fldChar w:fldCharType="end"/>
      </w:r>
      <w:bookmarkEnd w:id="2"/>
      <w:r w:rsidRPr="00EA2C22">
        <w:rPr>
          <w:b w:val="0"/>
        </w:rPr>
        <w:t xml:space="preserve"> Discontinuous coverage</w:t>
      </w:r>
    </w:p>
    <w:p w14:paraId="5A3974C0" w14:textId="074F7246" w:rsidR="004B29CC" w:rsidRDefault="00267EDB" w:rsidP="008F661C">
      <w:r>
        <w:t>The requirements are introduced based on ‘</w:t>
      </w:r>
      <w:r w:rsidRPr="00B42A38">
        <w:rPr>
          <w:i/>
          <w:iCs/>
        </w:rPr>
        <w:t>t-Service</w:t>
      </w:r>
      <w:r w:rsidRPr="00B42A38">
        <w:t>’</w:t>
      </w:r>
      <w:r>
        <w:t xml:space="preserve"> </w:t>
      </w:r>
      <w:r w:rsidR="001E0F24">
        <w:t>and ‘t-Service-start-r17’</w:t>
      </w:r>
      <w:r>
        <w:t xml:space="preserve">in our companion </w:t>
      </w:r>
      <w:r w:rsidR="00565285">
        <w:t>contribution containing the change request [</w:t>
      </w:r>
      <w:r w:rsidR="0028158A">
        <w:t>3</w:t>
      </w:r>
      <w:r w:rsidR="00565285">
        <w:t>].</w:t>
      </w:r>
    </w:p>
    <w:p w14:paraId="74F10181" w14:textId="5FE4BCF4" w:rsidR="00C61C80" w:rsidRPr="00502099" w:rsidRDefault="003D02C4" w:rsidP="008F661C">
      <w:pPr>
        <w:rPr>
          <w:color w:val="000000" w:themeColor="text1"/>
        </w:rPr>
      </w:pPr>
      <w:r>
        <w:t xml:space="preserve">Regarding the discussions on discontinuous coverage, it was agreed that </w:t>
      </w:r>
      <w:r w:rsidR="007676AC">
        <w:t xml:space="preserve">the UE requirements are defined based on the assumption </w:t>
      </w:r>
      <w:r w:rsidR="007676AC" w:rsidRPr="00502099">
        <w:rPr>
          <w:color w:val="000000" w:themeColor="text1"/>
        </w:rPr>
        <w:t xml:space="preserve">that </w:t>
      </w:r>
      <w:r w:rsidR="00770116" w:rsidRPr="00502099">
        <w:rPr>
          <w:color w:val="000000" w:themeColor="text1"/>
        </w:rPr>
        <w:t xml:space="preserve">UE is able to predict the </w:t>
      </w:r>
      <w:r w:rsidR="009B06D5" w:rsidRPr="00502099">
        <w:rPr>
          <w:color w:val="000000" w:themeColor="text1"/>
        </w:rPr>
        <w:t>coverage of the cell</w:t>
      </w:r>
      <w:r w:rsidR="00D36B13" w:rsidRPr="00502099">
        <w:rPr>
          <w:color w:val="000000" w:themeColor="text1"/>
        </w:rPr>
        <w:t xml:space="preserve"> and that the UE in IDLE</w:t>
      </w:r>
      <w:r w:rsidR="00C84B8B" w:rsidRPr="00502099">
        <w:rPr>
          <w:color w:val="000000" w:themeColor="text1"/>
        </w:rPr>
        <w:t xml:space="preserve"> or PSM mode is not required to </w:t>
      </w:r>
      <w:r w:rsidR="00A834A0" w:rsidRPr="00502099">
        <w:rPr>
          <w:color w:val="000000" w:themeColor="text1"/>
        </w:rPr>
        <w:t xml:space="preserve">perform any cell </w:t>
      </w:r>
      <w:r w:rsidR="00F0775B" w:rsidRPr="00502099">
        <w:rPr>
          <w:color w:val="000000" w:themeColor="text1"/>
        </w:rPr>
        <w:t xml:space="preserve">search while in </w:t>
      </w:r>
      <w:r w:rsidR="00B314A1" w:rsidRPr="00502099">
        <w:rPr>
          <w:color w:val="000000" w:themeColor="text1"/>
        </w:rPr>
        <w:t xml:space="preserve">out of coverage </w:t>
      </w:r>
      <w:r w:rsidR="009701A4" w:rsidRPr="00502099">
        <w:rPr>
          <w:color w:val="000000" w:themeColor="text1"/>
        </w:rPr>
        <w:t xml:space="preserve">in discontinuous coverage. </w:t>
      </w:r>
      <w:r w:rsidR="0042266E" w:rsidRPr="00502099">
        <w:rPr>
          <w:color w:val="000000" w:themeColor="text1"/>
        </w:rPr>
        <w:t>Howeve</w:t>
      </w:r>
      <w:r w:rsidR="00763A10" w:rsidRPr="00502099">
        <w:rPr>
          <w:color w:val="000000" w:themeColor="text1"/>
        </w:rPr>
        <w:t xml:space="preserve">r, </w:t>
      </w:r>
      <w:r w:rsidR="0086124F" w:rsidRPr="00502099">
        <w:rPr>
          <w:color w:val="000000" w:themeColor="text1"/>
        </w:rPr>
        <w:t xml:space="preserve">whether and how to define requirements </w:t>
      </w:r>
      <w:r w:rsidR="00845FA0" w:rsidRPr="00502099">
        <w:rPr>
          <w:color w:val="000000" w:themeColor="text1"/>
        </w:rPr>
        <w:t>for these cases remains open.</w:t>
      </w:r>
      <w:r w:rsidR="000D1AB3" w:rsidRPr="00502099">
        <w:rPr>
          <w:color w:val="000000" w:themeColor="text1"/>
        </w:rPr>
        <w:t xml:space="preserve"> </w:t>
      </w:r>
      <w:r w:rsidR="00F47CDD" w:rsidRPr="00502099">
        <w:rPr>
          <w:color w:val="000000" w:themeColor="text1"/>
        </w:rPr>
        <w:t>Our view is to follow the Rel-17 NTN approach for defining the requirements for discontinuous coverage</w:t>
      </w:r>
      <w:r w:rsidR="00093F6B" w:rsidRPr="00502099">
        <w:rPr>
          <w:color w:val="000000" w:themeColor="text1"/>
        </w:rPr>
        <w:t xml:space="preserve">, where the requirements are defined based on </w:t>
      </w:r>
      <w:r w:rsidR="000958D8" w:rsidRPr="00502099">
        <w:rPr>
          <w:color w:val="000000" w:themeColor="text1"/>
        </w:rPr>
        <w:t xml:space="preserve">current </w:t>
      </w:r>
      <w:r w:rsidR="00FA462D" w:rsidRPr="00502099">
        <w:rPr>
          <w:color w:val="000000" w:themeColor="text1"/>
        </w:rPr>
        <w:t>UE time (</w:t>
      </w:r>
      <w:r w:rsidR="00971E98" w:rsidRPr="00502099">
        <w:rPr>
          <w:color w:val="000000" w:themeColor="text1"/>
        </w:rPr>
        <w:t>T1</w:t>
      </w:r>
      <w:r w:rsidR="00FA462D" w:rsidRPr="00502099">
        <w:rPr>
          <w:color w:val="000000" w:themeColor="text1"/>
        </w:rPr>
        <w:t>)</w:t>
      </w:r>
      <w:r w:rsidR="00971E98" w:rsidRPr="00502099">
        <w:rPr>
          <w:color w:val="000000" w:themeColor="text1"/>
        </w:rPr>
        <w:t xml:space="preserve"> and ‘</w:t>
      </w:r>
      <w:r w:rsidR="00971E98" w:rsidRPr="00502099">
        <w:rPr>
          <w:i/>
          <w:iCs/>
          <w:color w:val="000000" w:themeColor="text1"/>
        </w:rPr>
        <w:t>t-Service</w:t>
      </w:r>
      <w:r w:rsidR="001F00D5" w:rsidRPr="00502099">
        <w:rPr>
          <w:i/>
          <w:iCs/>
          <w:color w:val="000000" w:themeColor="text1"/>
        </w:rPr>
        <w:t xml:space="preserve"> and </w:t>
      </w:r>
      <w:r w:rsidR="00737658" w:rsidRPr="00502099">
        <w:rPr>
          <w:i/>
          <w:iCs/>
          <w:color w:val="000000" w:themeColor="text1"/>
        </w:rPr>
        <w:t>‘</w:t>
      </w:r>
      <w:r w:rsidR="001F00D5" w:rsidRPr="00502099">
        <w:rPr>
          <w:i/>
          <w:iCs/>
          <w:color w:val="000000" w:themeColor="text1"/>
        </w:rPr>
        <w:t>t-</w:t>
      </w:r>
      <w:r w:rsidR="00F96114" w:rsidRPr="00502099">
        <w:rPr>
          <w:i/>
          <w:iCs/>
          <w:color w:val="000000" w:themeColor="text1"/>
        </w:rPr>
        <w:t>S</w:t>
      </w:r>
      <w:r w:rsidR="001F00D5" w:rsidRPr="00502099">
        <w:rPr>
          <w:i/>
          <w:iCs/>
          <w:color w:val="000000" w:themeColor="text1"/>
        </w:rPr>
        <w:t xml:space="preserve">ervice-start </w:t>
      </w:r>
      <w:r w:rsidR="00971E98" w:rsidRPr="00502099">
        <w:rPr>
          <w:color w:val="000000" w:themeColor="text1"/>
        </w:rPr>
        <w:t>’</w:t>
      </w:r>
      <w:r w:rsidR="0072064C" w:rsidRPr="00502099">
        <w:rPr>
          <w:color w:val="000000" w:themeColor="text1"/>
        </w:rPr>
        <w:t xml:space="preserve">. </w:t>
      </w:r>
      <w:r w:rsidR="00267EDB" w:rsidRPr="00502099">
        <w:rPr>
          <w:color w:val="000000" w:themeColor="text1"/>
        </w:rPr>
        <w:t>The requirements are introduced based on ‘</w:t>
      </w:r>
      <w:r w:rsidR="00267EDB" w:rsidRPr="00502099">
        <w:rPr>
          <w:i/>
          <w:iCs/>
          <w:color w:val="000000" w:themeColor="text1"/>
        </w:rPr>
        <w:t>t-Service</w:t>
      </w:r>
      <w:r w:rsidR="00267EDB" w:rsidRPr="00502099">
        <w:rPr>
          <w:color w:val="000000" w:themeColor="text1"/>
        </w:rPr>
        <w:t xml:space="preserve">’ in our companion </w:t>
      </w:r>
      <w:r w:rsidR="00565285" w:rsidRPr="00502099">
        <w:rPr>
          <w:color w:val="000000" w:themeColor="text1"/>
        </w:rPr>
        <w:t>contribution containing the change request.</w:t>
      </w:r>
    </w:p>
    <w:p w14:paraId="7B54B0D3" w14:textId="77777777" w:rsidR="006348D5" w:rsidRPr="00502099" w:rsidRDefault="00947462" w:rsidP="0016206D">
      <w:pPr>
        <w:pStyle w:val="Proposal"/>
        <w:numPr>
          <w:ilvl w:val="0"/>
          <w:numId w:val="2"/>
        </w:numPr>
        <w:tabs>
          <w:tab w:val="clear" w:pos="5841"/>
        </w:tabs>
        <w:ind w:left="1701" w:hanging="1701"/>
        <w:rPr>
          <w:color w:val="000000" w:themeColor="text1"/>
          <w:lang w:val="en-GB"/>
        </w:rPr>
      </w:pPr>
      <w:r w:rsidRPr="00502099">
        <w:rPr>
          <w:color w:val="000000" w:themeColor="text1"/>
          <w:szCs w:val="24"/>
        </w:rPr>
        <w:t>Discontinuous</w:t>
      </w:r>
      <w:r w:rsidR="00F04096" w:rsidRPr="00502099">
        <w:rPr>
          <w:color w:val="000000" w:themeColor="text1"/>
          <w:szCs w:val="24"/>
        </w:rPr>
        <w:t xml:space="preserve"> coverage requirements are defined based on at least </w:t>
      </w:r>
      <w:r w:rsidR="00F04096" w:rsidRPr="00502099">
        <w:rPr>
          <w:color w:val="000000" w:themeColor="text1"/>
        </w:rPr>
        <w:t>‘</w:t>
      </w:r>
      <w:r w:rsidR="00F04096" w:rsidRPr="00502099">
        <w:rPr>
          <w:i/>
          <w:iCs/>
          <w:color w:val="000000" w:themeColor="text1"/>
        </w:rPr>
        <w:t>t-Service</w:t>
      </w:r>
      <w:r w:rsidR="001E0F24" w:rsidRPr="00502099">
        <w:rPr>
          <w:i/>
          <w:iCs/>
          <w:color w:val="000000" w:themeColor="text1"/>
        </w:rPr>
        <w:t>-r17</w:t>
      </w:r>
      <w:r w:rsidR="00F04096" w:rsidRPr="00502099">
        <w:rPr>
          <w:color w:val="000000" w:themeColor="text1"/>
        </w:rPr>
        <w:t>’</w:t>
      </w:r>
      <w:r w:rsidR="00376AFC" w:rsidRPr="00502099">
        <w:rPr>
          <w:color w:val="000000" w:themeColor="text1"/>
        </w:rPr>
        <w:t xml:space="preserve"> indicating </w:t>
      </w:r>
      <w:r w:rsidR="00F319DB" w:rsidRPr="00502099">
        <w:rPr>
          <w:color w:val="000000" w:themeColor="text1"/>
        </w:rPr>
        <w:t>satellite coverage</w:t>
      </w:r>
      <w:r w:rsidR="00E45628" w:rsidRPr="00502099">
        <w:rPr>
          <w:color w:val="000000" w:themeColor="text1"/>
        </w:rPr>
        <w:t xml:space="preserve"> (cell stop time)</w:t>
      </w:r>
      <w:r w:rsidR="008F74BA" w:rsidRPr="00502099">
        <w:rPr>
          <w:color w:val="000000" w:themeColor="text1"/>
        </w:rPr>
        <w:t xml:space="preserve"> and </w:t>
      </w:r>
      <w:r w:rsidR="005D419D" w:rsidRPr="00502099">
        <w:rPr>
          <w:color w:val="000000" w:themeColor="text1"/>
        </w:rPr>
        <w:t>‘</w:t>
      </w:r>
      <w:r w:rsidR="008F74BA" w:rsidRPr="00502099">
        <w:rPr>
          <w:i/>
          <w:iCs/>
          <w:color w:val="000000" w:themeColor="text1"/>
        </w:rPr>
        <w:t>t-Service-</w:t>
      </w:r>
      <w:r w:rsidR="00AA1A78" w:rsidRPr="00502099">
        <w:rPr>
          <w:i/>
          <w:iCs/>
          <w:color w:val="000000" w:themeColor="text1"/>
        </w:rPr>
        <w:t xml:space="preserve">start-r17 </w:t>
      </w:r>
      <w:r w:rsidR="00AA1A78" w:rsidRPr="00502099">
        <w:rPr>
          <w:color w:val="000000" w:themeColor="text1"/>
        </w:rPr>
        <w:t>’</w:t>
      </w:r>
      <w:r w:rsidR="00F319DB" w:rsidRPr="00502099">
        <w:rPr>
          <w:color w:val="000000" w:themeColor="text1"/>
        </w:rPr>
        <w:t xml:space="preserve">. </w:t>
      </w:r>
    </w:p>
    <w:p w14:paraId="32A1E2D7" w14:textId="77777777" w:rsidR="00E27380" w:rsidRPr="00502099" w:rsidRDefault="00E27380" w:rsidP="00B87296">
      <w:pPr>
        <w:pStyle w:val="Proposal"/>
        <w:rPr>
          <w:color w:val="000000" w:themeColor="text1"/>
        </w:rPr>
      </w:pPr>
    </w:p>
    <w:p w14:paraId="35E7719E" w14:textId="77777777" w:rsidR="00FF7A76" w:rsidRDefault="00FF7A76" w:rsidP="00FF7A76">
      <w:pPr>
        <w:rPr>
          <w:b/>
          <w:bCs/>
          <w:u w:val="single"/>
        </w:rPr>
      </w:pPr>
    </w:p>
    <w:p w14:paraId="03675898" w14:textId="43C3497F" w:rsidR="00A52E43" w:rsidRDefault="00FF7A76" w:rsidP="00FF7A76">
      <w:pPr>
        <w:rPr>
          <w:b/>
          <w:bCs/>
          <w:u w:val="single"/>
        </w:rPr>
      </w:pPr>
      <w:r w:rsidRPr="00FF7A76">
        <w:rPr>
          <w:b/>
          <w:bCs/>
          <w:u w:val="single"/>
        </w:rPr>
        <w:t>Cell re-selection in NGSO</w:t>
      </w:r>
    </w:p>
    <w:p w14:paraId="46194C23" w14:textId="28AAA404" w:rsidR="00DA707A" w:rsidRPr="00DA707A" w:rsidRDefault="00DA707A" w:rsidP="00FF7A76">
      <w:r>
        <w:t xml:space="preserve">Based on the last meeting discussions, following issues were identified with regard to how to define the UE requirements [1]: </w:t>
      </w:r>
    </w:p>
    <w:tbl>
      <w:tblPr>
        <w:tblStyle w:val="TableGrid"/>
        <w:tblW w:w="0" w:type="auto"/>
        <w:tblLook w:val="04A0" w:firstRow="1" w:lastRow="0" w:firstColumn="1" w:lastColumn="0" w:noHBand="0" w:noVBand="1"/>
      </w:tblPr>
      <w:tblGrid>
        <w:gridCol w:w="9629"/>
      </w:tblGrid>
      <w:tr w:rsidR="00FF7A76" w14:paraId="3354FA7A" w14:textId="77777777" w:rsidTr="00FF7A76">
        <w:tc>
          <w:tcPr>
            <w:tcW w:w="9629" w:type="dxa"/>
          </w:tcPr>
          <w:p w14:paraId="5E19DAE8" w14:textId="77777777" w:rsidR="00FF7A76" w:rsidRPr="004C3164" w:rsidRDefault="00FF7A76" w:rsidP="00FF7A76">
            <w:pPr>
              <w:pStyle w:val="Heading4"/>
              <w:ind w:left="0" w:firstLine="0"/>
              <w:outlineLvl w:val="3"/>
            </w:pPr>
            <w:r w:rsidRPr="004C3164">
              <w:rPr>
                <w:rFonts w:ascii="PMingLiU" w:eastAsia="PMingLiU" w:hAnsi="PMingLiU" w:hint="eastAsia"/>
                <w:lang w:eastAsia="zh-TW"/>
              </w:rPr>
              <w:lastRenderedPageBreak/>
              <w:t>__</w:t>
            </w:r>
            <w:r w:rsidRPr="004C3164">
              <w:t>Issue 2-</w:t>
            </w:r>
            <w:r w:rsidRPr="004C3164">
              <w:rPr>
                <w:rFonts w:eastAsia="PMingLiU"/>
                <w:lang w:eastAsia="zh-TW"/>
              </w:rPr>
              <w:t>2-1b</w:t>
            </w:r>
            <w:r w:rsidRPr="004C3164">
              <w:t>: NGSO, cell re-selection</w:t>
            </w:r>
          </w:p>
          <w:p w14:paraId="20EFE627" w14:textId="77777777" w:rsidR="00FF7A76" w:rsidRPr="004C3164" w:rsidRDefault="00FF7A76" w:rsidP="0016206D">
            <w:pPr>
              <w:pStyle w:val="ListParagraph"/>
              <w:numPr>
                <w:ilvl w:val="0"/>
                <w:numId w:val="17"/>
              </w:numPr>
              <w:overflowPunct w:val="0"/>
              <w:autoSpaceDE w:val="0"/>
              <w:autoSpaceDN w:val="0"/>
              <w:adjustRightInd w:val="0"/>
              <w:spacing w:after="180"/>
              <w:textAlignment w:val="baseline"/>
              <w:rPr>
                <w:rFonts w:eastAsia="PMingLiU"/>
                <w:iCs/>
                <w:lang w:val="en-US" w:eastAsia="zh-TW"/>
              </w:rPr>
            </w:pPr>
            <w:r w:rsidRPr="004C3164">
              <w:rPr>
                <w:rFonts w:eastAsia="PMingLiU"/>
                <w:iCs/>
                <w:lang w:val="en-US" w:eastAsia="zh-TW"/>
              </w:rPr>
              <w:t>RAN4 to discuss which eDRX/DRX cycles to exclude due to the impact of Tservice (cell stop time) for serving cell and neighbour cell measurements in LEO.</w:t>
            </w:r>
            <w:r w:rsidRPr="004C3164" w:rsidDel="00BA72DE">
              <w:rPr>
                <w:rFonts w:eastAsia="PMingLiU"/>
                <w:iCs/>
                <w:lang w:val="en-US" w:eastAsia="zh-TW"/>
              </w:rPr>
              <w:t xml:space="preserve"> </w:t>
            </w:r>
          </w:p>
          <w:p w14:paraId="2E5D20EA" w14:textId="77777777" w:rsidR="00FF7A76" w:rsidRPr="004C3164" w:rsidRDefault="00FF7A76" w:rsidP="0016206D">
            <w:pPr>
              <w:pStyle w:val="ListParagraph"/>
              <w:numPr>
                <w:ilvl w:val="0"/>
                <w:numId w:val="17"/>
              </w:numPr>
              <w:overflowPunct w:val="0"/>
              <w:autoSpaceDE w:val="0"/>
              <w:autoSpaceDN w:val="0"/>
              <w:adjustRightInd w:val="0"/>
              <w:spacing w:after="180" w:line="240" w:lineRule="auto"/>
              <w:textAlignment w:val="baseline"/>
              <w:rPr>
                <w:rFonts w:eastAsia="PMingLiU"/>
                <w:iCs/>
                <w:lang w:val="en-US" w:eastAsia="zh-TW"/>
              </w:rPr>
            </w:pPr>
            <w:r w:rsidRPr="004C3164">
              <w:rPr>
                <w:rFonts w:eastAsia="PMingLiU"/>
                <w:iCs/>
                <w:lang w:val="en-US" w:eastAsia="zh-TW"/>
              </w:rPr>
              <w:t xml:space="preserve">FFS whether to </w:t>
            </w:r>
            <w:r w:rsidRPr="004C3164">
              <w:rPr>
                <w:rFonts w:eastAsia="PMingLiU"/>
              </w:rPr>
              <w:t xml:space="preserve">scaled up the existing TN delay requirements by </w:t>
            </w:r>
            <w:r w:rsidRPr="004C3164">
              <w:rPr>
                <w:rFonts w:eastAsia="PMingLiU"/>
                <w:i/>
                <w:iCs/>
                <w:szCs w:val="24"/>
                <w:lang w:eastAsia="zh-TW"/>
              </w:rPr>
              <w:t>K</w:t>
            </w:r>
            <w:r w:rsidRPr="004C3164">
              <w:rPr>
                <w:rFonts w:eastAsia="PMingLiU"/>
                <w:i/>
                <w:iCs/>
                <w:szCs w:val="24"/>
                <w:vertAlign w:val="subscript"/>
                <w:lang w:eastAsia="zh-TW"/>
              </w:rPr>
              <w:t xml:space="preserve">Satellite, </w:t>
            </w:r>
            <w:r w:rsidRPr="004C3164">
              <w:rPr>
                <w:rFonts w:eastAsia="PMingLiU"/>
              </w:rPr>
              <w:t xml:space="preserve">where </w:t>
            </w:r>
            <w:r w:rsidRPr="004C3164">
              <w:rPr>
                <w:rFonts w:eastAsia="PMingLiU"/>
                <w:i/>
                <w:iCs/>
                <w:szCs w:val="24"/>
                <w:lang w:eastAsia="zh-TW"/>
              </w:rPr>
              <w:t>K</w:t>
            </w:r>
            <w:r w:rsidRPr="004C3164">
              <w:rPr>
                <w:rFonts w:eastAsia="PMingLiU"/>
                <w:i/>
                <w:iCs/>
                <w:szCs w:val="24"/>
                <w:vertAlign w:val="subscript"/>
                <w:lang w:eastAsia="zh-TW"/>
              </w:rPr>
              <w:t>Satellite</w:t>
            </w:r>
            <w:r w:rsidRPr="004C3164">
              <w:rPr>
                <w:rFonts w:eastAsia="PMingLiU"/>
              </w:rPr>
              <w:t xml:space="preserve"> is the number NGSO satellites.</w:t>
            </w:r>
          </w:p>
          <w:p w14:paraId="45C47412" w14:textId="77777777" w:rsidR="00FF7A76" w:rsidRPr="004C3164" w:rsidRDefault="00FF7A76" w:rsidP="0016206D">
            <w:pPr>
              <w:pStyle w:val="ListParagraph"/>
              <w:numPr>
                <w:ilvl w:val="0"/>
                <w:numId w:val="17"/>
              </w:numPr>
              <w:overflowPunct w:val="0"/>
              <w:autoSpaceDE w:val="0"/>
              <w:autoSpaceDN w:val="0"/>
              <w:adjustRightInd w:val="0"/>
              <w:spacing w:after="180" w:line="240" w:lineRule="auto"/>
              <w:textAlignment w:val="baseline"/>
              <w:rPr>
                <w:rFonts w:eastAsia="PMingLiU"/>
                <w:iCs/>
                <w:lang w:val="en-US" w:eastAsia="zh-TW"/>
              </w:rPr>
            </w:pPr>
            <w:r w:rsidRPr="004C3164">
              <w:rPr>
                <w:rFonts w:eastAsia="PMingLiU"/>
                <w:iCs/>
                <w:lang w:val="en-US" w:eastAsia="zh-TW"/>
              </w:rPr>
              <w:t>FFS: In NGSO, the cat-M/NB UE in IDLE mode is allowed to meet the relaxed neighbour cell measurement requirements provided that the UE has met the relaxed monitoring criterion and the serving cell is not going to stop serving the area in the next L1 number of DRX cycles; L1 is FFS.</w:t>
            </w:r>
          </w:p>
          <w:p w14:paraId="381C5E28" w14:textId="5D61B9B7" w:rsidR="00FF7A76" w:rsidRPr="00FF7A76" w:rsidRDefault="00FF7A76" w:rsidP="0016206D">
            <w:pPr>
              <w:pStyle w:val="ListParagraph"/>
              <w:numPr>
                <w:ilvl w:val="0"/>
                <w:numId w:val="17"/>
              </w:numPr>
              <w:overflowPunct w:val="0"/>
              <w:autoSpaceDE w:val="0"/>
              <w:autoSpaceDN w:val="0"/>
              <w:adjustRightInd w:val="0"/>
              <w:spacing w:after="180" w:line="240" w:lineRule="auto"/>
              <w:textAlignment w:val="baseline"/>
              <w:rPr>
                <w:rFonts w:eastAsia="PMingLiU"/>
                <w:iCs/>
                <w:lang w:val="en-US" w:eastAsia="zh-TW"/>
              </w:rPr>
            </w:pPr>
            <w:r w:rsidRPr="004C3164">
              <w:rPr>
                <w:rFonts w:eastAsia="PMingLiU"/>
                <w:iCs/>
                <w:lang w:val="en-US" w:eastAsia="zh-TW"/>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p>
        </w:tc>
      </w:tr>
    </w:tbl>
    <w:p w14:paraId="230D3BD5" w14:textId="77777777" w:rsidR="00FF7A76" w:rsidRDefault="00FF7A76" w:rsidP="00A52E43">
      <w:pPr>
        <w:pStyle w:val="Proposal"/>
      </w:pPr>
    </w:p>
    <w:p w14:paraId="65EA917D" w14:textId="2FD6DC14" w:rsidR="0071376E" w:rsidRDefault="0071376E" w:rsidP="00A52E43">
      <w:pPr>
        <w:pStyle w:val="Proposal"/>
        <w:rPr>
          <w:b w:val="0"/>
          <w:bCs w:val="0"/>
        </w:rPr>
      </w:pPr>
      <w:r>
        <w:rPr>
          <w:b w:val="0"/>
          <w:bCs w:val="0"/>
        </w:rPr>
        <w:t xml:space="preserve">The first issue is related to whether to exclude certain eDRX/DRX cycles due to impact of Tservice. This issue is overlapping with the topic on DRX/eDRX applicability in section 2.2 above. Therefore we </w:t>
      </w:r>
      <w:r w:rsidR="008F475E">
        <w:rPr>
          <w:b w:val="0"/>
          <w:bCs w:val="0"/>
        </w:rPr>
        <w:t xml:space="preserve">propose </w:t>
      </w:r>
      <w:r>
        <w:rPr>
          <w:b w:val="0"/>
          <w:bCs w:val="0"/>
        </w:rPr>
        <w:t xml:space="preserve">to consider those proposal.  </w:t>
      </w:r>
    </w:p>
    <w:p w14:paraId="5189D3D3" w14:textId="24EAFCA2" w:rsidR="00997027" w:rsidRDefault="00DA707A" w:rsidP="00A52E43">
      <w:pPr>
        <w:pStyle w:val="Proposal"/>
        <w:rPr>
          <w:b w:val="0"/>
          <w:bCs w:val="0"/>
        </w:rPr>
      </w:pPr>
      <w:r>
        <w:rPr>
          <w:b w:val="0"/>
          <w:bCs w:val="0"/>
        </w:rPr>
        <w:t xml:space="preserve">The </w:t>
      </w:r>
      <w:r w:rsidR="00372BD1">
        <w:rPr>
          <w:b w:val="0"/>
          <w:bCs w:val="0"/>
        </w:rPr>
        <w:t>second</w:t>
      </w:r>
      <w:r>
        <w:rPr>
          <w:b w:val="0"/>
          <w:bCs w:val="0"/>
        </w:rPr>
        <w:t xml:space="preserve"> issue is related to whether to scale the existing TN delay requirements </w:t>
      </w:r>
      <w:r w:rsidR="00BA77D7">
        <w:rPr>
          <w:b w:val="0"/>
          <w:bCs w:val="0"/>
        </w:rPr>
        <w:t xml:space="preserve">with a satellite specific scaling factor </w:t>
      </w:r>
      <w:r w:rsidR="00BA77D7" w:rsidRPr="00145D16">
        <w:rPr>
          <w:rFonts w:eastAsia="PMingLiU"/>
          <w:i/>
          <w:iCs/>
          <w:szCs w:val="24"/>
          <w:lang w:eastAsia="zh-TW"/>
        </w:rPr>
        <w:t>K</w:t>
      </w:r>
      <w:r w:rsidR="00BA77D7" w:rsidRPr="00145D16">
        <w:rPr>
          <w:rFonts w:eastAsia="PMingLiU"/>
          <w:i/>
          <w:iCs/>
          <w:szCs w:val="24"/>
          <w:vertAlign w:val="subscript"/>
          <w:lang w:eastAsia="zh-TW"/>
        </w:rPr>
        <w:t>Satellite</w:t>
      </w:r>
      <w:r w:rsidR="00670B84">
        <w:rPr>
          <w:b w:val="0"/>
          <w:bCs w:val="0"/>
        </w:rPr>
        <w:t xml:space="preserve">. </w:t>
      </w:r>
      <w:r w:rsidR="00176D7A">
        <w:rPr>
          <w:b w:val="0"/>
          <w:bCs w:val="0"/>
        </w:rPr>
        <w:t>It shall be noted that IoT NTN UEs already support relaxed measurements</w:t>
      </w:r>
      <w:r w:rsidR="00474568">
        <w:rPr>
          <w:b w:val="0"/>
          <w:bCs w:val="0"/>
        </w:rPr>
        <w:t xml:space="preserve">, e.g. UE can perform relaxed serving cell and relaxed neighbour cell measurements based on fulfillment of relaxation criteria. </w:t>
      </w:r>
      <w:r w:rsidR="00786FA5">
        <w:rPr>
          <w:b w:val="0"/>
          <w:bCs w:val="0"/>
        </w:rPr>
        <w:t xml:space="preserve">Therefore there is no need </w:t>
      </w:r>
      <w:r w:rsidR="00AA0FDA">
        <w:rPr>
          <w:b w:val="0"/>
          <w:bCs w:val="0"/>
        </w:rPr>
        <w:t xml:space="preserve">to scale the existing TN requirements with a satellite specific factor. </w:t>
      </w:r>
    </w:p>
    <w:p w14:paraId="32E60A34" w14:textId="77777777" w:rsidR="00997027" w:rsidRDefault="00997027" w:rsidP="00A52E43">
      <w:pPr>
        <w:pStyle w:val="Proposal"/>
        <w:rPr>
          <w:b w:val="0"/>
          <w:bCs w:val="0"/>
        </w:rPr>
      </w:pPr>
    </w:p>
    <w:p w14:paraId="4CB42F9B" w14:textId="28B61605" w:rsidR="00997027" w:rsidRPr="00997027" w:rsidRDefault="00B25BCA" w:rsidP="00B25BCA">
      <w:pPr>
        <w:pStyle w:val="Caption"/>
        <w:rPr>
          <w:bCs/>
        </w:rPr>
      </w:pPr>
      <w:r>
        <w:t xml:space="preserve">Observation </w:t>
      </w:r>
      <w:r>
        <w:fldChar w:fldCharType="begin"/>
      </w:r>
      <w:r>
        <w:instrText xml:space="preserve"> SEQ Observation \* ARABIC </w:instrText>
      </w:r>
      <w:r>
        <w:fldChar w:fldCharType="separate"/>
      </w:r>
      <w:r>
        <w:rPr>
          <w:noProof/>
        </w:rPr>
        <w:t>1</w:t>
      </w:r>
      <w:r>
        <w:fldChar w:fldCharType="end"/>
      </w:r>
      <w:r>
        <w:tab/>
        <w:t xml:space="preserve">IoT UEs in LTE already support relaxed serving and neighbour cell measurements. </w:t>
      </w:r>
    </w:p>
    <w:p w14:paraId="48374962" w14:textId="77B406CA" w:rsidR="00997027" w:rsidRPr="00A44F33" w:rsidRDefault="004715B5" w:rsidP="0016206D">
      <w:pPr>
        <w:pStyle w:val="Proposal"/>
        <w:numPr>
          <w:ilvl w:val="0"/>
          <w:numId w:val="2"/>
        </w:numPr>
        <w:tabs>
          <w:tab w:val="clear" w:pos="5841"/>
        </w:tabs>
        <w:ind w:left="1701" w:hanging="1701"/>
        <w:rPr>
          <w:color w:val="000000" w:themeColor="text1"/>
          <w:lang w:val="en-GB"/>
        </w:rPr>
      </w:pPr>
      <w:r w:rsidRPr="00A44F33">
        <w:rPr>
          <w:szCs w:val="24"/>
        </w:rPr>
        <w:t xml:space="preserve">No need to scale existing TN requirements with </w:t>
      </w:r>
      <w:r w:rsidRPr="00A44F33">
        <w:rPr>
          <w:rFonts w:eastAsia="PMingLiU"/>
          <w:i/>
          <w:iCs/>
          <w:szCs w:val="24"/>
          <w:lang w:eastAsia="zh-TW"/>
        </w:rPr>
        <w:t>K</w:t>
      </w:r>
      <w:r w:rsidRPr="00A44F33">
        <w:rPr>
          <w:rFonts w:eastAsia="PMingLiU"/>
          <w:i/>
          <w:iCs/>
          <w:szCs w:val="24"/>
          <w:vertAlign w:val="subscript"/>
          <w:lang w:eastAsia="zh-TW"/>
        </w:rPr>
        <w:t>Satellite</w:t>
      </w:r>
      <w:r w:rsidR="00427B1C" w:rsidRPr="00A44F33">
        <w:rPr>
          <w:rFonts w:eastAsia="PMingLiU"/>
          <w:i/>
          <w:iCs/>
          <w:szCs w:val="24"/>
          <w:vertAlign w:val="subscript"/>
          <w:lang w:eastAsia="zh-TW"/>
        </w:rPr>
        <w:t>.</w:t>
      </w:r>
    </w:p>
    <w:p w14:paraId="373589EE" w14:textId="77777777" w:rsidR="00427B1C" w:rsidRDefault="00427B1C" w:rsidP="00000413">
      <w:pPr>
        <w:pStyle w:val="Proposal"/>
        <w:rPr>
          <w:b w:val="0"/>
          <w:bCs w:val="0"/>
        </w:rPr>
      </w:pPr>
    </w:p>
    <w:p w14:paraId="6640CE77" w14:textId="668C3E4A" w:rsidR="00000413" w:rsidRPr="00BC2467" w:rsidRDefault="00372BD1" w:rsidP="00000413">
      <w:pPr>
        <w:pStyle w:val="Proposal"/>
        <w:rPr>
          <w:b w:val="0"/>
          <w:bCs w:val="0"/>
        </w:rPr>
      </w:pPr>
      <w:r>
        <w:rPr>
          <w:b w:val="0"/>
          <w:bCs w:val="0"/>
        </w:rPr>
        <w:t>Third</w:t>
      </w:r>
      <w:r w:rsidR="00000413">
        <w:rPr>
          <w:b w:val="0"/>
          <w:bCs w:val="0"/>
        </w:rPr>
        <w:t xml:space="preserve"> issue is related to </w:t>
      </w:r>
      <w:r w:rsidR="00692586">
        <w:rPr>
          <w:b w:val="0"/>
          <w:bCs w:val="0"/>
        </w:rPr>
        <w:t xml:space="preserve">DRX/eDRX discussion which are discussed in section 2.2 above. </w:t>
      </w:r>
      <w:r w:rsidR="0006273B">
        <w:rPr>
          <w:b w:val="0"/>
          <w:bCs w:val="0"/>
        </w:rPr>
        <w:t xml:space="preserve">For the reasons explained above, i.e. due to that the coverage of a NGSO cell is impacted </w:t>
      </w:r>
      <w:r w:rsidR="00461366">
        <w:rPr>
          <w:b w:val="0"/>
          <w:bCs w:val="0"/>
        </w:rPr>
        <w:t xml:space="preserve">because of </w:t>
      </w:r>
      <w:r w:rsidR="00785E8D">
        <w:rPr>
          <w:b w:val="0"/>
          <w:bCs w:val="0"/>
        </w:rPr>
        <w:t>satellite movement, UE shall meet the relaxed measurement requirements onl</w:t>
      </w:r>
      <w:r w:rsidR="009E66A6">
        <w:rPr>
          <w:b w:val="0"/>
          <w:bCs w:val="0"/>
        </w:rPr>
        <w:t xml:space="preserve">y when the received information </w:t>
      </w:r>
      <w:r w:rsidR="00125DD0">
        <w:rPr>
          <w:b w:val="0"/>
          <w:bCs w:val="0"/>
        </w:rPr>
        <w:t>(</w:t>
      </w:r>
      <w:r w:rsidR="00C55E8E">
        <w:rPr>
          <w:b w:val="0"/>
          <w:bCs w:val="0"/>
        </w:rPr>
        <w:t>based on t-service</w:t>
      </w:r>
      <w:r w:rsidR="00125DD0">
        <w:rPr>
          <w:b w:val="0"/>
          <w:bCs w:val="0"/>
        </w:rPr>
        <w:t xml:space="preserve">) </w:t>
      </w:r>
      <w:r w:rsidR="009E66A6">
        <w:rPr>
          <w:b w:val="0"/>
          <w:bCs w:val="0"/>
        </w:rPr>
        <w:t xml:space="preserve">indicates the UE will be in-coverage at least in the </w:t>
      </w:r>
      <w:r w:rsidR="009E66A6" w:rsidRPr="00BC2467">
        <w:rPr>
          <w:b w:val="0"/>
          <w:bCs w:val="0"/>
        </w:rPr>
        <w:t xml:space="preserve">next L1 number of DRX cycles. </w:t>
      </w:r>
      <w:r w:rsidR="00125DD0" w:rsidRPr="00BC2467">
        <w:rPr>
          <w:b w:val="0"/>
          <w:bCs w:val="0"/>
        </w:rPr>
        <w:t>Otherwise, if the received information i</w:t>
      </w:r>
      <w:r w:rsidR="00C55E8E" w:rsidRPr="00BC2467">
        <w:rPr>
          <w:b w:val="0"/>
          <w:bCs w:val="0"/>
        </w:rPr>
        <w:t xml:space="preserve">ndicate that the current cell will disappear within next L1 number of DRX cycles then the UE shall not </w:t>
      </w:r>
      <w:r w:rsidR="00630D03" w:rsidRPr="00BC2467">
        <w:rPr>
          <w:b w:val="0"/>
          <w:bCs w:val="0"/>
        </w:rPr>
        <w:t xml:space="preserve">enter relaxed mode. </w:t>
      </w:r>
      <w:r w:rsidR="00F46471" w:rsidRPr="00BC2467">
        <w:rPr>
          <w:b w:val="0"/>
          <w:bCs w:val="0"/>
        </w:rPr>
        <w:t xml:space="preserve">For </w:t>
      </w:r>
      <w:r w:rsidR="001D10CD" w:rsidRPr="00BC2467">
        <w:rPr>
          <w:b w:val="0"/>
          <w:bCs w:val="0"/>
        </w:rPr>
        <w:t xml:space="preserve">NB-IoT </w:t>
      </w:r>
      <w:r w:rsidR="006A684D" w:rsidRPr="00BC2467">
        <w:rPr>
          <w:b w:val="0"/>
          <w:bCs w:val="0"/>
        </w:rPr>
        <w:t>UE is configured with DRX cycles, L1</w:t>
      </w:r>
      <w:r w:rsidR="00584220" w:rsidRPr="00BC2467">
        <w:rPr>
          <w:b w:val="0"/>
          <w:bCs w:val="0"/>
        </w:rPr>
        <w:t xml:space="preserve"> can be set to 4 </w:t>
      </w:r>
      <w:r w:rsidR="00F46471" w:rsidRPr="00BC2467">
        <w:rPr>
          <w:b w:val="0"/>
          <w:bCs w:val="0"/>
        </w:rPr>
        <w:t xml:space="preserve">DRX cycles since </w:t>
      </w:r>
      <w:r w:rsidR="001D10CD" w:rsidRPr="00BC2467">
        <w:rPr>
          <w:b w:val="0"/>
          <w:bCs w:val="0"/>
        </w:rPr>
        <w:t xml:space="preserve">serving cell evaluations are based on 4 DRX cycles in enhanced coverage. For NB-IoT UE configured </w:t>
      </w:r>
      <w:r w:rsidR="00F46471" w:rsidRPr="00BC2467">
        <w:rPr>
          <w:b w:val="0"/>
          <w:bCs w:val="0"/>
        </w:rPr>
        <w:t xml:space="preserve"> </w:t>
      </w:r>
      <w:r w:rsidR="001D10CD" w:rsidRPr="00BC2467">
        <w:rPr>
          <w:b w:val="0"/>
          <w:bCs w:val="0"/>
        </w:rPr>
        <w:t xml:space="preserve">with eDRX cycles, L1 can be set to at least one eDRX cycle. For similar reason, L1 is set to </w:t>
      </w:r>
      <w:r w:rsidR="002F0ADF" w:rsidRPr="00BC2467">
        <w:rPr>
          <w:b w:val="0"/>
          <w:bCs w:val="0"/>
        </w:rPr>
        <w:t xml:space="preserve">4 (assuming DRX cycles of 2.56 sec) and L1 is set to 1 eDRX cycle for eMTC UE. </w:t>
      </w:r>
    </w:p>
    <w:p w14:paraId="5DDDCA55" w14:textId="77777777" w:rsidR="00A52E43" w:rsidRPr="00502099" w:rsidRDefault="00A52E43" w:rsidP="00A52E43">
      <w:pPr>
        <w:pStyle w:val="Proposal"/>
        <w:rPr>
          <w:color w:val="000000" w:themeColor="text1"/>
        </w:rPr>
      </w:pPr>
    </w:p>
    <w:p w14:paraId="2FB348B7" w14:textId="77777777" w:rsidR="008E35D2" w:rsidRPr="00502099" w:rsidRDefault="00692E5E" w:rsidP="0016206D">
      <w:pPr>
        <w:pStyle w:val="Proposal"/>
        <w:numPr>
          <w:ilvl w:val="0"/>
          <w:numId w:val="2"/>
        </w:numPr>
        <w:tabs>
          <w:tab w:val="clear" w:pos="5841"/>
        </w:tabs>
        <w:ind w:left="1701" w:hanging="1701"/>
        <w:rPr>
          <w:color w:val="000000" w:themeColor="text1"/>
          <w:lang w:val="en-GB"/>
        </w:rPr>
      </w:pPr>
      <w:r w:rsidRPr="00502099">
        <w:rPr>
          <w:rFonts w:eastAsia="PMingLiU"/>
          <w:iCs/>
          <w:color w:val="000000" w:themeColor="text1"/>
          <w:lang w:eastAsia="zh-TW"/>
        </w:rPr>
        <w:t>In NGSO, the cat-M/NB UE</w:t>
      </w:r>
      <w:r w:rsidR="00CB7880" w:rsidRPr="00502099">
        <w:rPr>
          <w:rFonts w:cs="v4.2.0"/>
          <w:color w:val="000000" w:themeColor="text1"/>
          <w:szCs w:val="20"/>
        </w:rPr>
        <w:t xml:space="preserve"> configured with </w:t>
      </w:r>
      <w:r w:rsidR="00CB7880" w:rsidRPr="00502099">
        <w:rPr>
          <w:color w:val="000000" w:themeColor="text1"/>
          <w:szCs w:val="20"/>
        </w:rPr>
        <w:t>‘</w:t>
      </w:r>
      <w:r w:rsidR="00CB7880" w:rsidRPr="00502099">
        <w:rPr>
          <w:i/>
          <w:iCs/>
          <w:color w:val="000000" w:themeColor="text1"/>
          <w:szCs w:val="20"/>
        </w:rPr>
        <w:t>t-Service</w:t>
      </w:r>
      <w:r w:rsidR="00CB7880" w:rsidRPr="00502099">
        <w:rPr>
          <w:color w:val="000000" w:themeColor="text1"/>
          <w:szCs w:val="20"/>
        </w:rPr>
        <w:t>’</w:t>
      </w:r>
      <w:r w:rsidRPr="00502099">
        <w:rPr>
          <w:rFonts w:eastAsia="PMingLiU"/>
          <w:iCs/>
          <w:color w:val="000000" w:themeColor="text1"/>
          <w:lang w:eastAsia="zh-TW"/>
        </w:rPr>
        <w:t xml:space="preserve"> in IDLE mode is allowed to meet the relaxed serving cell measurement requirements provided that the UE has met the </w:t>
      </w:r>
      <w:r w:rsidR="003A3C23" w:rsidRPr="00502099">
        <w:rPr>
          <w:rFonts w:eastAsia="PMingLiU"/>
          <w:iCs/>
          <w:color w:val="000000" w:themeColor="text1"/>
          <w:lang w:eastAsia="zh-TW"/>
        </w:rPr>
        <w:t xml:space="preserve">existing relaxation conditions and </w:t>
      </w:r>
      <w:r w:rsidR="0012671C" w:rsidRPr="00502099">
        <w:rPr>
          <w:color w:val="000000" w:themeColor="text1"/>
          <w:szCs w:val="20"/>
        </w:rPr>
        <w:t>the serving cell is not going to stop serving the area, where the UE is located, at least during the last [4] DRX cycles before ‘</w:t>
      </w:r>
      <w:r w:rsidR="0012671C" w:rsidRPr="00502099">
        <w:rPr>
          <w:i/>
          <w:iCs/>
          <w:color w:val="000000" w:themeColor="text1"/>
          <w:szCs w:val="20"/>
        </w:rPr>
        <w:t>t-Service-r17</w:t>
      </w:r>
      <w:r w:rsidR="002F2046" w:rsidRPr="00502099">
        <w:rPr>
          <w:color w:val="000000" w:themeColor="text1"/>
          <w:szCs w:val="20"/>
        </w:rPr>
        <w:t>’ if not configured with eDRX_IDLE cycle.</w:t>
      </w:r>
    </w:p>
    <w:p w14:paraId="0CC22B56" w14:textId="777DC9CA" w:rsidR="009F0F20" w:rsidRPr="00502099" w:rsidRDefault="009F0F20" w:rsidP="0016206D">
      <w:pPr>
        <w:pStyle w:val="Proposal"/>
        <w:numPr>
          <w:ilvl w:val="0"/>
          <w:numId w:val="2"/>
        </w:numPr>
        <w:tabs>
          <w:tab w:val="clear" w:pos="5841"/>
        </w:tabs>
        <w:ind w:left="1701" w:hanging="1701"/>
        <w:rPr>
          <w:color w:val="000000" w:themeColor="text1"/>
          <w:lang w:val="en-GB"/>
        </w:rPr>
      </w:pPr>
      <w:r w:rsidRPr="00502099">
        <w:rPr>
          <w:rFonts w:eastAsia="PMingLiU"/>
          <w:iCs/>
          <w:color w:val="000000" w:themeColor="text1"/>
          <w:lang w:eastAsia="zh-TW"/>
        </w:rPr>
        <w:t>In NGSO, the cat-M/NB UE</w:t>
      </w:r>
      <w:r w:rsidRPr="00502099">
        <w:rPr>
          <w:rFonts w:cs="v4.2.0"/>
          <w:color w:val="000000" w:themeColor="text1"/>
          <w:szCs w:val="20"/>
        </w:rPr>
        <w:t xml:space="preserve"> configured with </w:t>
      </w:r>
      <w:r w:rsidRPr="00502099">
        <w:rPr>
          <w:color w:val="000000" w:themeColor="text1"/>
          <w:szCs w:val="20"/>
        </w:rPr>
        <w:t>‘</w:t>
      </w:r>
      <w:r w:rsidRPr="00502099">
        <w:rPr>
          <w:i/>
          <w:iCs/>
          <w:color w:val="000000" w:themeColor="text1"/>
          <w:szCs w:val="20"/>
        </w:rPr>
        <w:t>t-Service</w:t>
      </w:r>
      <w:r w:rsidRPr="00502099">
        <w:rPr>
          <w:color w:val="000000" w:themeColor="text1"/>
          <w:szCs w:val="20"/>
        </w:rPr>
        <w:t>’</w:t>
      </w:r>
      <w:r w:rsidRPr="00502099">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502099">
        <w:rPr>
          <w:color w:val="000000" w:themeColor="text1"/>
          <w:szCs w:val="20"/>
        </w:rPr>
        <w:t>the serving cell is not going to stop serving the area, where the UE is located, at least during the last [1] DRX cycles before ‘</w:t>
      </w:r>
      <w:r w:rsidRPr="00502099">
        <w:rPr>
          <w:i/>
          <w:iCs/>
          <w:color w:val="000000" w:themeColor="text1"/>
          <w:szCs w:val="20"/>
        </w:rPr>
        <w:t>t-Service-r17</w:t>
      </w:r>
      <w:r w:rsidRPr="00502099">
        <w:rPr>
          <w:color w:val="000000" w:themeColor="text1"/>
          <w:szCs w:val="20"/>
        </w:rPr>
        <w:t>’ if configured with eDRX_IDLE cycle.</w:t>
      </w:r>
    </w:p>
    <w:p w14:paraId="204F2F90" w14:textId="77777777" w:rsidR="002B5B6C" w:rsidRPr="00502099" w:rsidRDefault="002B5B6C" w:rsidP="002B5B6C">
      <w:pPr>
        <w:pStyle w:val="Proposal"/>
        <w:ind w:left="1304"/>
        <w:rPr>
          <w:color w:val="000000" w:themeColor="text1"/>
        </w:rPr>
      </w:pPr>
    </w:p>
    <w:p w14:paraId="28A992F9" w14:textId="77777777" w:rsidR="008A278F" w:rsidRDefault="008A278F" w:rsidP="008A278F">
      <w:pPr>
        <w:pStyle w:val="Proposal"/>
        <w:rPr>
          <w:rFonts w:eastAsia="PMingLiU"/>
          <w:b w:val="0"/>
          <w:bCs w:val="0"/>
          <w:iCs/>
          <w:lang w:eastAsia="zh-TW"/>
        </w:rPr>
      </w:pPr>
    </w:p>
    <w:p w14:paraId="752B358E" w14:textId="6E5C1718" w:rsidR="00742BCB" w:rsidRPr="00742BCB" w:rsidRDefault="00060E81" w:rsidP="008A278F">
      <w:pPr>
        <w:pStyle w:val="Proposal"/>
        <w:rPr>
          <w:rFonts w:eastAsia="PMingLiU"/>
          <w:iCs/>
          <w:u w:val="single"/>
          <w:lang w:eastAsia="zh-TW"/>
        </w:rPr>
      </w:pPr>
      <w:r>
        <w:rPr>
          <w:rFonts w:eastAsia="PMingLiU"/>
          <w:iCs/>
          <w:u w:val="single"/>
          <w:lang w:eastAsia="zh-TW"/>
        </w:rPr>
        <w:lastRenderedPageBreak/>
        <w:t xml:space="preserve">Relaxed </w:t>
      </w:r>
      <w:r w:rsidR="00742BCB" w:rsidRPr="00742BCB">
        <w:rPr>
          <w:rFonts w:eastAsia="PMingLiU"/>
          <w:iCs/>
          <w:u w:val="single"/>
          <w:lang w:eastAsia="zh-TW"/>
        </w:rPr>
        <w:t xml:space="preserve">cell </w:t>
      </w:r>
      <w:r w:rsidR="00005265">
        <w:rPr>
          <w:rFonts w:eastAsia="PMingLiU"/>
          <w:iCs/>
          <w:u w:val="single"/>
          <w:lang w:eastAsia="zh-TW"/>
        </w:rPr>
        <w:t>measurement</w:t>
      </w:r>
      <w:r w:rsidR="00714E9C">
        <w:rPr>
          <w:rFonts w:eastAsia="PMingLiU"/>
          <w:iCs/>
          <w:u w:val="single"/>
          <w:lang w:eastAsia="zh-TW"/>
        </w:rPr>
        <w:t>s</w:t>
      </w:r>
      <w:r w:rsidR="00005265">
        <w:rPr>
          <w:rFonts w:eastAsia="PMingLiU"/>
          <w:iCs/>
          <w:u w:val="single"/>
          <w:lang w:eastAsia="zh-TW"/>
        </w:rPr>
        <w:t xml:space="preserve"> in IDLE mode</w:t>
      </w:r>
    </w:p>
    <w:p w14:paraId="3FB6C514" w14:textId="1E00E0C9" w:rsidR="00B25E95" w:rsidRDefault="00A22709" w:rsidP="008A278F">
      <w:pPr>
        <w:pStyle w:val="Proposal"/>
        <w:rPr>
          <w:rFonts w:cs="Arial"/>
          <w:b w:val="0"/>
          <w:bCs w:val="0"/>
        </w:rPr>
      </w:pPr>
      <w:r w:rsidRPr="00236116">
        <w:rPr>
          <w:rFonts w:eastAsia="PMingLiU"/>
          <w:b w:val="0"/>
          <w:bCs w:val="0"/>
          <w:iCs/>
          <w:lang w:eastAsia="zh-TW"/>
        </w:rPr>
        <w:t xml:space="preserve">In </w:t>
      </w:r>
      <w:r w:rsidR="004557EA" w:rsidRPr="00236116">
        <w:rPr>
          <w:rFonts w:eastAsia="PMingLiU"/>
          <w:b w:val="0"/>
          <w:bCs w:val="0"/>
          <w:iCs/>
          <w:lang w:eastAsia="zh-TW"/>
        </w:rPr>
        <w:t xml:space="preserve">eMTC </w:t>
      </w:r>
      <w:r w:rsidRPr="00236116">
        <w:rPr>
          <w:rFonts w:eastAsia="PMingLiU"/>
          <w:b w:val="0"/>
          <w:bCs w:val="0"/>
          <w:iCs/>
          <w:lang w:eastAsia="zh-TW"/>
        </w:rPr>
        <w:t xml:space="preserve">TN requirements, </w:t>
      </w:r>
      <w:r w:rsidR="00E6493F" w:rsidRPr="00236116">
        <w:rPr>
          <w:rFonts w:eastAsia="PMingLiU"/>
          <w:b w:val="0"/>
          <w:bCs w:val="0"/>
          <w:iCs/>
          <w:lang w:eastAsia="zh-TW"/>
        </w:rPr>
        <w:t xml:space="preserve">the UE is allowed to meet </w:t>
      </w:r>
      <w:r w:rsidR="004557EA" w:rsidRPr="00236116">
        <w:rPr>
          <w:rFonts w:eastAsia="PMingLiU"/>
          <w:b w:val="0"/>
          <w:bCs w:val="0"/>
          <w:iCs/>
          <w:lang w:eastAsia="zh-TW"/>
        </w:rPr>
        <w:t>relaxed serving cell measurement</w:t>
      </w:r>
      <w:r w:rsidR="00E6493F" w:rsidRPr="00236116">
        <w:rPr>
          <w:rFonts w:eastAsia="PMingLiU"/>
          <w:b w:val="0"/>
          <w:bCs w:val="0"/>
          <w:iCs/>
          <w:lang w:eastAsia="zh-TW"/>
        </w:rPr>
        <w:t xml:space="preserve"> requirement</w:t>
      </w:r>
      <w:r w:rsidR="00FD1FD3" w:rsidRPr="00236116">
        <w:rPr>
          <w:rFonts w:eastAsia="PMingLiU"/>
          <w:b w:val="0"/>
          <w:bCs w:val="0"/>
          <w:iCs/>
          <w:lang w:eastAsia="zh-TW"/>
        </w:rPr>
        <w:t xml:space="preserve">s which is </w:t>
      </w:r>
      <w:r w:rsidR="00236116" w:rsidRPr="00236116">
        <w:rPr>
          <w:rFonts w:eastAsia="PMingLiU"/>
          <w:b w:val="0"/>
          <w:bCs w:val="0"/>
          <w:iCs/>
          <w:lang w:eastAsia="zh-TW"/>
        </w:rPr>
        <w:t>derived</w:t>
      </w:r>
      <w:r w:rsidR="00FD1FD3" w:rsidRPr="00236116">
        <w:rPr>
          <w:rFonts w:eastAsia="PMingLiU"/>
          <w:b w:val="0"/>
          <w:bCs w:val="0"/>
          <w:iCs/>
          <w:lang w:eastAsia="zh-TW"/>
        </w:rPr>
        <w:t xml:space="preserve"> based on </w:t>
      </w:r>
      <w:r w:rsidR="00236116" w:rsidRPr="00236116">
        <w:rPr>
          <w:rFonts w:eastAsia="PMingLiU"/>
          <w:b w:val="0"/>
          <w:bCs w:val="0"/>
          <w:iCs/>
          <w:lang w:eastAsia="zh-TW"/>
        </w:rPr>
        <w:t xml:space="preserve">a </w:t>
      </w:r>
      <w:r w:rsidR="00236116" w:rsidRPr="00236116">
        <w:rPr>
          <w:rStyle w:val="IvDbodytextChar"/>
          <w:rFonts w:cs="Calibri"/>
          <w:b w:val="0"/>
          <w:bCs w:val="0"/>
        </w:rPr>
        <w:t xml:space="preserve">formula that depends on the configured DRX or extended DRX (eDRX) cycle, PTW length, and a signaled parameter </w:t>
      </w:r>
      <w:r w:rsidR="00236116" w:rsidRPr="00236116">
        <w:rPr>
          <w:rFonts w:cs="Arial"/>
          <w:b w:val="0"/>
          <w:bCs w:val="0"/>
          <w:i/>
        </w:rPr>
        <w:t xml:space="preserve">num-DRX-CyclesRelaxed </w:t>
      </w:r>
      <w:r w:rsidR="00236116" w:rsidRPr="00236116">
        <w:rPr>
          <w:rFonts w:cs="Arial"/>
          <w:b w:val="0"/>
          <w:bCs w:val="0"/>
        </w:rPr>
        <w:t>by the network</w:t>
      </w:r>
      <w:r w:rsidR="00B25E95">
        <w:rPr>
          <w:rFonts w:cs="Arial"/>
          <w:b w:val="0"/>
          <w:bCs w:val="0"/>
        </w:rPr>
        <w:t xml:space="preserve"> as shown </w:t>
      </w:r>
      <w:r w:rsidR="00063912">
        <w:rPr>
          <w:rFonts w:cs="Arial"/>
          <w:b w:val="0"/>
          <w:bCs w:val="0"/>
        </w:rPr>
        <w:t xml:space="preserve">Table 1 and 2 </w:t>
      </w:r>
      <w:r w:rsidR="00B25E95">
        <w:rPr>
          <w:rFonts w:cs="Arial"/>
          <w:b w:val="0"/>
          <w:bCs w:val="0"/>
        </w:rPr>
        <w:t>below [</w:t>
      </w:r>
      <w:r w:rsidR="007F34DC">
        <w:rPr>
          <w:rFonts w:cs="Arial"/>
          <w:b w:val="0"/>
          <w:bCs w:val="0"/>
        </w:rPr>
        <w:t>2</w:t>
      </w:r>
      <w:r w:rsidR="00B25E95">
        <w:rPr>
          <w:rFonts w:cs="Arial"/>
          <w:b w:val="0"/>
          <w:bCs w:val="0"/>
        </w:rPr>
        <w:t>]:</w:t>
      </w:r>
    </w:p>
    <w:p w14:paraId="74DF282A" w14:textId="2FAB4896" w:rsidR="005E0C95" w:rsidRDefault="005E0C95" w:rsidP="005E0C95">
      <w:pPr>
        <w:pStyle w:val="TH"/>
        <w:rPr>
          <w:rFonts w:eastAsia="Times New Roman" w:cs="Times New Roman"/>
          <w:szCs w:val="20"/>
          <w:vertAlign w:val="subscript"/>
          <w:lang w:val="en-GB" w:eastAsia="en-GB"/>
        </w:rPr>
      </w:pPr>
      <w:r>
        <w:rPr>
          <w:snapToGrid w:val="0"/>
          <w:lang w:eastAsia="fr-FR"/>
        </w:rPr>
        <w:t xml:space="preserve">Table 1: </w:t>
      </w:r>
      <w:r>
        <w:rPr>
          <w:lang w:eastAsia="fr-FR"/>
        </w:rPr>
        <w:t>The relaxation factor N for a UE not configured with eDRX IDLE cycle</w:t>
      </w:r>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1495"/>
      </w:tblGrid>
      <w:tr w:rsidR="005E0C95" w14:paraId="4498583C"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014CCB8" w14:textId="77777777" w:rsidR="005E0C95" w:rsidRDefault="005E0C95">
            <w:pPr>
              <w:keepNext/>
              <w:keepLines/>
              <w:spacing w:after="0"/>
              <w:jc w:val="center"/>
              <w:rPr>
                <w:rFonts w:cs="Arial"/>
                <w:b/>
                <w:snapToGrid w:val="0"/>
                <w:sz w:val="18"/>
                <w:lang w:eastAsia="fr-FR"/>
              </w:rPr>
            </w:pPr>
            <w:r>
              <w:rPr>
                <w:rFonts w:cs="Arial"/>
                <w:b/>
                <w:sz w:val="18"/>
                <w:lang w:eastAsia="fr-FR"/>
              </w:rPr>
              <w:t>DRX cycle length [s]</w:t>
            </w:r>
          </w:p>
        </w:tc>
        <w:tc>
          <w:tcPr>
            <w:tcW w:w="1919" w:type="pct"/>
            <w:tcBorders>
              <w:top w:val="single" w:sz="4" w:space="0" w:color="auto"/>
              <w:left w:val="single" w:sz="4" w:space="0" w:color="auto"/>
              <w:bottom w:val="single" w:sz="4" w:space="0" w:color="auto"/>
              <w:right w:val="single" w:sz="4" w:space="0" w:color="auto"/>
            </w:tcBorders>
            <w:hideMark/>
          </w:tcPr>
          <w:p w14:paraId="28FE7341" w14:textId="77777777" w:rsidR="005E0C95" w:rsidRDefault="005E0C95">
            <w:pPr>
              <w:keepNext/>
              <w:keepLines/>
              <w:spacing w:after="0"/>
              <w:jc w:val="center"/>
              <w:rPr>
                <w:rFonts w:cs="Arial"/>
                <w:b/>
                <w:snapToGrid w:val="0"/>
                <w:sz w:val="18"/>
                <w:lang w:eastAsia="fr-FR"/>
              </w:rPr>
            </w:pPr>
            <w:r>
              <w:rPr>
                <w:rFonts w:cs="Arial"/>
                <w:b/>
                <w:sz w:val="18"/>
                <w:lang w:eastAsia="fr-FR"/>
              </w:rPr>
              <w:t>Value</w:t>
            </w:r>
          </w:p>
        </w:tc>
      </w:tr>
      <w:tr w:rsidR="005E0C95" w14:paraId="6ECFB309"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237DC48C" w14:textId="77777777" w:rsidR="005E0C95" w:rsidRDefault="005E0C95">
            <w:pPr>
              <w:keepNext/>
              <w:keepLines/>
              <w:spacing w:after="0"/>
              <w:jc w:val="center"/>
              <w:rPr>
                <w:rFonts w:cs="Times New Roman"/>
                <w:snapToGrid w:val="0"/>
                <w:sz w:val="18"/>
                <w:lang w:eastAsia="fr-FR"/>
              </w:rPr>
            </w:pPr>
            <w:r>
              <w:rPr>
                <w:rFonts w:cs="Arial"/>
                <w:sz w:val="18"/>
                <w:lang w:eastAsia="fr-FR"/>
              </w:rPr>
              <w:t>0.32</w:t>
            </w:r>
          </w:p>
        </w:tc>
        <w:tc>
          <w:tcPr>
            <w:tcW w:w="1919" w:type="pct"/>
            <w:tcBorders>
              <w:top w:val="single" w:sz="4" w:space="0" w:color="auto"/>
              <w:left w:val="single" w:sz="4" w:space="0" w:color="auto"/>
              <w:bottom w:val="single" w:sz="4" w:space="0" w:color="auto"/>
              <w:right w:val="single" w:sz="4" w:space="0" w:color="auto"/>
            </w:tcBorders>
            <w:hideMark/>
          </w:tcPr>
          <w:p w14:paraId="2AEA0507" w14:textId="77777777" w:rsidR="005E0C95" w:rsidRDefault="005E0C95">
            <w:pPr>
              <w:keepNext/>
              <w:keepLines/>
              <w:spacing w:after="0"/>
              <w:jc w:val="center"/>
              <w:rPr>
                <w:rFonts w:cs="Arial"/>
                <w:snapToGrid w:val="0"/>
                <w:sz w:val="18"/>
                <w:lang w:eastAsia="fr-FR"/>
              </w:rPr>
            </w:pPr>
            <w:r>
              <w:rPr>
                <w:rFonts w:cs="Arial"/>
                <w:sz w:val="18"/>
                <w:lang w:eastAsia="fr-FR"/>
              </w:rPr>
              <w:t>Min(</w:t>
            </w:r>
            <w:r>
              <w:rPr>
                <w:rFonts w:cs="Arial"/>
                <w:b/>
                <w:i/>
                <w:sz w:val="18"/>
                <w:lang w:eastAsia="fr-FR"/>
              </w:rPr>
              <w:t>n</w:t>
            </w:r>
            <w:r>
              <w:rPr>
                <w:rFonts w:cs="Arial"/>
                <w:sz w:val="18"/>
                <w:lang w:eastAsia="fr-FR"/>
              </w:rPr>
              <w:t xml:space="preserve"> , 32)</w:t>
            </w:r>
          </w:p>
        </w:tc>
      </w:tr>
      <w:tr w:rsidR="005E0C95" w14:paraId="45FC34C1"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311443C7" w14:textId="77777777" w:rsidR="005E0C95" w:rsidRDefault="005E0C95">
            <w:pPr>
              <w:keepNext/>
              <w:keepLines/>
              <w:spacing w:after="0"/>
              <w:jc w:val="center"/>
              <w:rPr>
                <w:rFonts w:cs="Arial"/>
                <w:snapToGrid w:val="0"/>
                <w:sz w:val="18"/>
                <w:lang w:eastAsia="fr-FR"/>
              </w:rPr>
            </w:pPr>
            <w:r>
              <w:rPr>
                <w:rFonts w:cs="Arial"/>
                <w:sz w:val="18"/>
                <w:lang w:eastAsia="fr-FR"/>
              </w:rPr>
              <w:t>0.64</w:t>
            </w:r>
          </w:p>
        </w:tc>
        <w:tc>
          <w:tcPr>
            <w:tcW w:w="1919" w:type="pct"/>
            <w:tcBorders>
              <w:top w:val="single" w:sz="4" w:space="0" w:color="auto"/>
              <w:left w:val="single" w:sz="4" w:space="0" w:color="auto"/>
              <w:bottom w:val="single" w:sz="4" w:space="0" w:color="auto"/>
              <w:right w:val="single" w:sz="4" w:space="0" w:color="auto"/>
            </w:tcBorders>
            <w:hideMark/>
          </w:tcPr>
          <w:p w14:paraId="7178E528" w14:textId="77777777" w:rsidR="005E0C95" w:rsidRDefault="005E0C95">
            <w:pPr>
              <w:keepNext/>
              <w:keepLines/>
              <w:spacing w:after="0"/>
              <w:jc w:val="center"/>
              <w:rPr>
                <w:rFonts w:cs="Arial"/>
                <w:snapToGrid w:val="0"/>
                <w:sz w:val="18"/>
                <w:lang w:eastAsia="fr-FR"/>
              </w:rPr>
            </w:pPr>
            <w:r>
              <w:rPr>
                <w:rFonts w:cs="Arial"/>
                <w:sz w:val="18"/>
                <w:lang w:eastAsia="fr-FR"/>
              </w:rPr>
              <w:t>Min(</w:t>
            </w:r>
            <w:r>
              <w:rPr>
                <w:rFonts w:cs="Arial"/>
                <w:b/>
                <w:i/>
                <w:sz w:val="18"/>
                <w:lang w:eastAsia="fr-FR"/>
              </w:rPr>
              <w:t>n</w:t>
            </w:r>
            <w:r>
              <w:rPr>
                <w:rFonts w:cs="Arial"/>
                <w:sz w:val="18"/>
                <w:lang w:eastAsia="fr-FR"/>
              </w:rPr>
              <w:t xml:space="preserve"> , 16)</w:t>
            </w:r>
          </w:p>
        </w:tc>
      </w:tr>
      <w:tr w:rsidR="005E0C95" w14:paraId="1ADEDBCB" w14:textId="77777777" w:rsidTr="005E0C95">
        <w:trPr>
          <w:cantSplit/>
          <w:trHeight w:val="237"/>
          <w:jc w:val="center"/>
        </w:trPr>
        <w:tc>
          <w:tcPr>
            <w:tcW w:w="3081" w:type="pct"/>
            <w:tcBorders>
              <w:top w:val="single" w:sz="4" w:space="0" w:color="auto"/>
              <w:left w:val="single" w:sz="4" w:space="0" w:color="auto"/>
              <w:bottom w:val="single" w:sz="4" w:space="0" w:color="auto"/>
              <w:right w:val="single" w:sz="4" w:space="0" w:color="auto"/>
            </w:tcBorders>
            <w:hideMark/>
          </w:tcPr>
          <w:p w14:paraId="7780A873" w14:textId="77777777" w:rsidR="005E0C95" w:rsidRDefault="005E0C95">
            <w:pPr>
              <w:keepNext/>
              <w:keepLines/>
              <w:spacing w:after="0"/>
              <w:jc w:val="center"/>
              <w:rPr>
                <w:rFonts w:cs="Arial"/>
                <w:sz w:val="18"/>
                <w:lang w:eastAsia="fr-FR"/>
              </w:rPr>
            </w:pPr>
            <w:r>
              <w:rPr>
                <w:rFonts w:cs="Arial"/>
                <w:sz w:val="18"/>
                <w:lang w:eastAsia="fr-FR"/>
              </w:rPr>
              <w:t>1.28</w:t>
            </w:r>
          </w:p>
        </w:tc>
        <w:tc>
          <w:tcPr>
            <w:tcW w:w="1919" w:type="pct"/>
            <w:tcBorders>
              <w:top w:val="single" w:sz="4" w:space="0" w:color="auto"/>
              <w:left w:val="single" w:sz="4" w:space="0" w:color="auto"/>
              <w:bottom w:val="single" w:sz="4" w:space="0" w:color="auto"/>
              <w:right w:val="single" w:sz="4" w:space="0" w:color="auto"/>
            </w:tcBorders>
            <w:hideMark/>
          </w:tcPr>
          <w:p w14:paraId="1DCB49E7" w14:textId="77777777" w:rsidR="005E0C95" w:rsidRDefault="005E0C95">
            <w:pPr>
              <w:keepNext/>
              <w:keepLines/>
              <w:spacing w:after="0"/>
              <w:jc w:val="center"/>
              <w:rPr>
                <w:rFonts w:cs="Arial"/>
                <w:sz w:val="18"/>
                <w:lang w:eastAsia="fr-FR"/>
              </w:rPr>
            </w:pPr>
            <w:r>
              <w:rPr>
                <w:rFonts w:cs="Arial"/>
                <w:sz w:val="18"/>
                <w:lang w:eastAsia="fr-FR"/>
              </w:rPr>
              <w:t>Min(</w:t>
            </w:r>
            <w:r>
              <w:rPr>
                <w:rFonts w:cs="Arial"/>
                <w:b/>
                <w:i/>
                <w:sz w:val="18"/>
                <w:lang w:eastAsia="fr-FR"/>
              </w:rPr>
              <w:t>n</w:t>
            </w:r>
            <w:r>
              <w:rPr>
                <w:rFonts w:cs="Arial"/>
                <w:sz w:val="18"/>
                <w:lang w:eastAsia="fr-FR"/>
              </w:rPr>
              <w:t xml:space="preserve"> , 8)</w:t>
            </w:r>
          </w:p>
        </w:tc>
      </w:tr>
      <w:tr w:rsidR="005E0C95" w14:paraId="52BBE23F" w14:textId="77777777" w:rsidTr="005E0C95">
        <w:trPr>
          <w:cantSplit/>
          <w:jc w:val="center"/>
        </w:trPr>
        <w:tc>
          <w:tcPr>
            <w:tcW w:w="3081" w:type="pct"/>
            <w:tcBorders>
              <w:top w:val="single" w:sz="4" w:space="0" w:color="auto"/>
              <w:left w:val="single" w:sz="4" w:space="0" w:color="auto"/>
              <w:bottom w:val="single" w:sz="4" w:space="0" w:color="auto"/>
              <w:right w:val="single" w:sz="4" w:space="0" w:color="auto"/>
            </w:tcBorders>
            <w:hideMark/>
          </w:tcPr>
          <w:p w14:paraId="72A2A90D" w14:textId="77777777" w:rsidR="005E0C95" w:rsidRDefault="005E0C95">
            <w:pPr>
              <w:keepNext/>
              <w:keepLines/>
              <w:spacing w:after="0"/>
              <w:jc w:val="center"/>
              <w:rPr>
                <w:rFonts w:cs="Arial"/>
                <w:sz w:val="18"/>
                <w:lang w:eastAsia="fr-FR"/>
              </w:rPr>
            </w:pPr>
            <w:r>
              <w:rPr>
                <w:rFonts w:cs="Arial"/>
                <w:sz w:val="18"/>
                <w:lang w:eastAsia="fr-FR"/>
              </w:rPr>
              <w:t>2.56</w:t>
            </w:r>
          </w:p>
        </w:tc>
        <w:tc>
          <w:tcPr>
            <w:tcW w:w="1919" w:type="pct"/>
            <w:tcBorders>
              <w:top w:val="single" w:sz="4" w:space="0" w:color="auto"/>
              <w:left w:val="single" w:sz="4" w:space="0" w:color="auto"/>
              <w:bottom w:val="single" w:sz="4" w:space="0" w:color="auto"/>
              <w:right w:val="single" w:sz="4" w:space="0" w:color="auto"/>
            </w:tcBorders>
            <w:hideMark/>
          </w:tcPr>
          <w:p w14:paraId="653C3B4D" w14:textId="77777777" w:rsidR="005E0C95" w:rsidRDefault="005E0C95">
            <w:pPr>
              <w:keepNext/>
              <w:keepLines/>
              <w:spacing w:after="0"/>
              <w:jc w:val="center"/>
              <w:rPr>
                <w:rFonts w:cs="Arial"/>
                <w:sz w:val="18"/>
                <w:lang w:eastAsia="fr-FR"/>
              </w:rPr>
            </w:pPr>
            <w:r>
              <w:rPr>
                <w:rFonts w:cs="Arial"/>
                <w:sz w:val="18"/>
                <w:lang w:eastAsia="fr-FR"/>
              </w:rPr>
              <w:t>Min(</w:t>
            </w:r>
            <w:r>
              <w:rPr>
                <w:rFonts w:cs="Arial"/>
                <w:b/>
                <w:i/>
                <w:sz w:val="18"/>
                <w:lang w:eastAsia="fr-FR"/>
              </w:rPr>
              <w:t>n</w:t>
            </w:r>
            <w:r>
              <w:rPr>
                <w:rFonts w:cs="Arial"/>
                <w:sz w:val="18"/>
                <w:lang w:eastAsia="fr-FR"/>
              </w:rPr>
              <w:t xml:space="preserve"> , 4)</w:t>
            </w:r>
          </w:p>
        </w:tc>
      </w:tr>
      <w:tr w:rsidR="005E0C95" w14:paraId="0BC9D7AB" w14:textId="77777777" w:rsidTr="005E0C9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CE36C99" w14:textId="77777777" w:rsidR="005E0C95" w:rsidRDefault="005E0C95">
            <w:pPr>
              <w:keepNext/>
              <w:keepLines/>
              <w:spacing w:after="0"/>
              <w:ind w:left="851" w:hanging="851"/>
              <w:rPr>
                <w:rFonts w:cs="Arial"/>
                <w:sz w:val="18"/>
                <w:lang w:eastAsia="fr-FR"/>
              </w:rPr>
            </w:pPr>
            <w:r>
              <w:rPr>
                <w:rFonts w:cs="Arial"/>
                <w:sz w:val="18"/>
                <w:lang w:eastAsia="zh-CN"/>
              </w:rPr>
              <w:t>NOTE:</w:t>
            </w:r>
            <w:r>
              <w:rPr>
                <w:rFonts w:cs="Arial"/>
                <w:sz w:val="18"/>
                <w:lang w:eastAsia="fr-FR"/>
              </w:rPr>
              <w:tab/>
            </w:r>
            <w:r>
              <w:rPr>
                <w:rFonts w:cs="Arial"/>
                <w:b/>
                <w:i/>
                <w:sz w:val="18"/>
                <w:lang w:eastAsia="zh-CN"/>
              </w:rPr>
              <w:t>n</w:t>
            </w:r>
            <w:r>
              <w:rPr>
                <w:rFonts w:cs="Arial"/>
                <w:sz w:val="18"/>
                <w:lang w:eastAsia="zh-CN"/>
              </w:rPr>
              <w:t xml:space="preserve"> is signalled by the network by using </w:t>
            </w:r>
            <w:r>
              <w:rPr>
                <w:rFonts w:cs="Arial"/>
                <w:i/>
                <w:sz w:val="18"/>
                <w:lang w:eastAsia="zh-CN"/>
              </w:rPr>
              <w:t xml:space="preserve">num-DRX-CyclesRelaxed </w:t>
            </w:r>
            <w:r>
              <w:rPr>
                <w:rFonts w:cs="Arial"/>
                <w:sz w:val="18"/>
                <w:lang w:eastAsia="zh-CN"/>
              </w:rPr>
              <w:t>defined in TS</w:t>
            </w:r>
            <w:r>
              <w:rPr>
                <w:rFonts w:cs="Arial"/>
                <w:sz w:val="18"/>
                <w:lang w:eastAsia="fr-FR"/>
              </w:rPr>
              <w:t> </w:t>
            </w:r>
            <w:r>
              <w:rPr>
                <w:rFonts w:cs="Arial"/>
                <w:sz w:val="18"/>
                <w:lang w:eastAsia="zh-CN"/>
              </w:rPr>
              <w:t>36.331</w:t>
            </w:r>
            <w:r>
              <w:rPr>
                <w:rFonts w:cs="Arial"/>
                <w:sz w:val="18"/>
                <w:lang w:eastAsia="fr-FR"/>
              </w:rPr>
              <w:t> </w:t>
            </w:r>
            <w:r>
              <w:rPr>
                <w:rFonts w:cs="Arial"/>
                <w:sz w:val="18"/>
                <w:lang w:eastAsia="zh-CN"/>
              </w:rPr>
              <w:t>[2].</w:t>
            </w:r>
          </w:p>
        </w:tc>
      </w:tr>
    </w:tbl>
    <w:p w14:paraId="5963636E" w14:textId="77777777" w:rsidR="005E0C95" w:rsidRDefault="005E0C95" w:rsidP="005E0C95">
      <w:pPr>
        <w:rPr>
          <w:rFonts w:ascii="Times New Roman" w:eastAsia="Times New Roman" w:hAnsi="Times New Roman" w:cs="Times New Roman"/>
          <w:szCs w:val="20"/>
          <w:lang w:val="en-GB" w:eastAsia="en-GB"/>
        </w:rPr>
      </w:pPr>
    </w:p>
    <w:p w14:paraId="54EA6886" w14:textId="590C633B" w:rsidR="005E0C95" w:rsidRDefault="005E0C95" w:rsidP="005E0C95">
      <w:pPr>
        <w:pStyle w:val="TH"/>
        <w:rPr>
          <w:lang w:eastAsia="fr-FR"/>
        </w:rPr>
      </w:pPr>
      <w:r>
        <w:rPr>
          <w:lang w:eastAsia="fr-FR"/>
        </w:rPr>
        <w:t>Table 2: The relaxation factor N for a UE configured with eDRX IDLE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581"/>
        <w:gridCol w:w="2581"/>
        <w:gridCol w:w="2025"/>
      </w:tblGrid>
      <w:tr w:rsidR="005E0C95" w14:paraId="3803CEA1" w14:textId="77777777" w:rsidTr="005E0C95">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B8B64B" w14:textId="77777777" w:rsidR="005E0C95" w:rsidRDefault="005E0C95">
            <w:pPr>
              <w:keepNext/>
              <w:keepLines/>
              <w:spacing w:after="0"/>
              <w:jc w:val="center"/>
              <w:rPr>
                <w:rFonts w:cs="Arial"/>
                <w:b/>
                <w:sz w:val="18"/>
                <w:lang w:eastAsia="fr-FR"/>
              </w:rPr>
            </w:pPr>
            <w:r>
              <w:rPr>
                <w:rFonts w:cs="Arial"/>
                <w:b/>
                <w:sz w:val="18"/>
                <w:lang w:eastAsia="fr-FR"/>
              </w:rP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2C363E61" w14:textId="77777777" w:rsidR="005E0C95" w:rsidRDefault="005E0C95">
            <w:pPr>
              <w:keepNext/>
              <w:keepLines/>
              <w:spacing w:after="0"/>
              <w:jc w:val="center"/>
              <w:rPr>
                <w:rFonts w:cs="Arial"/>
                <w:b/>
                <w:sz w:val="18"/>
                <w:lang w:eastAsia="fr-FR"/>
              </w:rPr>
            </w:pPr>
            <w:r>
              <w:rPr>
                <w:rFonts w:cs="Arial"/>
                <w:b/>
                <w:sz w:val="18"/>
                <w:lang w:eastAsia="fr-FR"/>
              </w:rPr>
              <w:t>Value</w:t>
            </w:r>
          </w:p>
        </w:tc>
      </w:tr>
      <w:tr w:rsidR="005E0C95" w14:paraId="42BE0A7E" w14:textId="77777777" w:rsidTr="005E0C9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AC398" w14:textId="77777777" w:rsidR="005E0C95" w:rsidRDefault="005E0C95">
            <w:pPr>
              <w:spacing w:after="0"/>
              <w:rPr>
                <w:rFonts w:eastAsia="Times New Roman" w:cs="Arial"/>
                <w:b/>
                <w:sz w:val="18"/>
                <w:lang w:val="en-GB" w:eastAsia="fr-FR"/>
              </w:rPr>
            </w:pPr>
          </w:p>
        </w:tc>
        <w:tc>
          <w:tcPr>
            <w:tcW w:w="0" w:type="auto"/>
            <w:tcBorders>
              <w:top w:val="single" w:sz="4" w:space="0" w:color="auto"/>
              <w:left w:val="single" w:sz="4" w:space="0" w:color="auto"/>
              <w:bottom w:val="single" w:sz="4" w:space="0" w:color="auto"/>
              <w:right w:val="single" w:sz="4" w:space="0" w:color="auto"/>
            </w:tcBorders>
            <w:hideMark/>
          </w:tcPr>
          <w:p w14:paraId="6ECE4E2C" w14:textId="77777777" w:rsidR="005E0C95" w:rsidRDefault="005E0C95">
            <w:pPr>
              <w:keepNext/>
              <w:keepLines/>
              <w:spacing w:after="0"/>
              <w:jc w:val="center"/>
              <w:rPr>
                <w:rFonts w:cs="Arial"/>
                <w:b/>
                <w:sz w:val="18"/>
                <w:lang w:eastAsia="fr-FR"/>
              </w:rPr>
            </w:pPr>
            <w:r>
              <w:rPr>
                <w:rFonts w:cs="Arial"/>
                <w:b/>
                <w:sz w:val="18"/>
                <w:lang w:eastAsia="fr-FR"/>
              </w:rPr>
              <w:t>1.28 ≤ PTW length [s]</w:t>
            </w:r>
            <w:r>
              <w:rPr>
                <w:rFonts w:cs="Arial"/>
                <w:b/>
                <w:snapToGrid w:val="0"/>
                <w:sz w:val="18"/>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7B99D169" w14:textId="77777777" w:rsidR="005E0C95" w:rsidRDefault="005E0C95">
            <w:pPr>
              <w:keepNext/>
              <w:keepLines/>
              <w:spacing w:after="0"/>
              <w:jc w:val="center"/>
              <w:rPr>
                <w:rFonts w:cs="Arial"/>
                <w:b/>
                <w:sz w:val="18"/>
                <w:lang w:eastAsia="fr-FR"/>
              </w:rPr>
            </w:pPr>
            <w:r>
              <w:rPr>
                <w:rFonts w:cs="Arial"/>
                <w:b/>
                <w:sz w:val="18"/>
                <w:lang w:eastAsia="fr-FR"/>
              </w:rPr>
              <w:t>2.56 ≤ PTW length</w:t>
            </w:r>
            <w:r>
              <w:rPr>
                <w:rFonts w:cs="Arial"/>
                <w:b/>
                <w:snapToGrid w:val="0"/>
                <w:sz w:val="18"/>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5703AAD8" w14:textId="77777777" w:rsidR="005E0C95" w:rsidRDefault="005E0C95">
            <w:pPr>
              <w:keepNext/>
              <w:keepLines/>
              <w:spacing w:after="0"/>
              <w:jc w:val="center"/>
              <w:rPr>
                <w:rFonts w:cs="Arial"/>
                <w:b/>
                <w:sz w:val="18"/>
                <w:lang w:eastAsia="fr-FR"/>
              </w:rPr>
            </w:pPr>
            <w:r>
              <w:rPr>
                <w:rFonts w:cs="Arial"/>
                <w:b/>
                <w:sz w:val="18"/>
                <w:lang w:eastAsia="fr-FR"/>
              </w:rPr>
              <w:t>5.12 ≤</w:t>
            </w:r>
            <w:r>
              <w:rPr>
                <w:rFonts w:cs="Arial"/>
                <w:b/>
                <w:snapToGrid w:val="0"/>
                <w:sz w:val="18"/>
                <w:lang w:eastAsia="fr-FR"/>
              </w:rPr>
              <w:t xml:space="preserve"> </w:t>
            </w:r>
            <w:r>
              <w:rPr>
                <w:rFonts w:cs="Arial"/>
                <w:b/>
                <w:sz w:val="18"/>
                <w:lang w:eastAsia="fr-FR"/>
              </w:rPr>
              <w:t>PTW length</w:t>
            </w:r>
            <w:r>
              <w:rPr>
                <w:rFonts w:cs="Arial"/>
                <w:b/>
                <w:snapToGrid w:val="0"/>
                <w:sz w:val="18"/>
                <w:lang w:eastAsia="fr-FR"/>
              </w:rPr>
              <w:t xml:space="preserve"> [s] </w:t>
            </w:r>
          </w:p>
        </w:tc>
      </w:tr>
      <w:tr w:rsidR="005E0C95" w14:paraId="720927EE" w14:textId="77777777" w:rsidTr="005E0C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A55E71" w14:textId="77777777" w:rsidR="005E0C95" w:rsidRDefault="005E0C95">
            <w:pPr>
              <w:keepNext/>
              <w:keepLines/>
              <w:spacing w:after="0"/>
              <w:jc w:val="center"/>
              <w:rPr>
                <w:rFonts w:cs="Arial"/>
                <w:snapToGrid w:val="0"/>
                <w:sz w:val="18"/>
                <w:lang w:eastAsia="fr-FR"/>
              </w:rPr>
            </w:pPr>
            <w:r>
              <w:rPr>
                <w:rFonts w:cs="Arial"/>
                <w:sz w:val="18"/>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5624C049" w14:textId="77777777" w:rsidR="005E0C95" w:rsidRDefault="005E0C95">
            <w:pPr>
              <w:keepNext/>
              <w:keepLines/>
              <w:spacing w:after="0"/>
              <w:jc w:val="center"/>
              <w:rPr>
                <w:rFonts w:cs="Arial"/>
                <w:snapToGrid w:val="0"/>
                <w:sz w:val="18"/>
                <w:lang w:eastAsia="fr-FR"/>
              </w:rPr>
            </w:pPr>
            <w:r>
              <w:rPr>
                <w:rFonts w:cs="Arial"/>
                <w:sz w:val="18"/>
                <w:lang w:eastAsia="fr-FR"/>
              </w:rPr>
              <w:t>Min(</w:t>
            </w:r>
            <w:r>
              <w:rPr>
                <w:rFonts w:cs="Arial"/>
                <w:b/>
                <w:i/>
                <w:sz w:val="18"/>
                <w:lang w:eastAsia="fr-FR"/>
              </w:rPr>
              <w:t>n</w:t>
            </w:r>
            <w:r>
              <w:rPr>
                <w:rFonts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5AF182F0" w14:textId="77777777" w:rsidR="005E0C95" w:rsidRDefault="005E0C95">
            <w:pPr>
              <w:keepNext/>
              <w:keepLines/>
              <w:spacing w:after="0"/>
              <w:jc w:val="center"/>
              <w:rPr>
                <w:rFonts w:cs="Arial"/>
                <w:sz w:val="18"/>
                <w:lang w:eastAsia="fr-FR"/>
              </w:rPr>
            </w:pPr>
            <w:r>
              <w:rPr>
                <w:rFonts w:cs="Arial"/>
                <w:sz w:val="18"/>
                <w:lang w:eastAsia="fr-FR"/>
              </w:rPr>
              <w:t>Min(</w:t>
            </w:r>
            <w:r>
              <w:rPr>
                <w:rFonts w:cs="Arial"/>
                <w:b/>
                <w:i/>
                <w:sz w:val="18"/>
                <w:lang w:eastAsia="fr-FR"/>
              </w:rPr>
              <w:t>n</w:t>
            </w:r>
            <w:r>
              <w:rPr>
                <w:rFonts w:cs="Arial"/>
                <w:sz w:val="18"/>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7E3929E5" w14:textId="77777777" w:rsidR="005E0C95" w:rsidRDefault="005E0C95">
            <w:pPr>
              <w:keepNext/>
              <w:keepLines/>
              <w:spacing w:after="0"/>
              <w:jc w:val="center"/>
              <w:rPr>
                <w:rFonts w:cs="Arial"/>
                <w:sz w:val="18"/>
                <w:lang w:eastAsia="fr-FR"/>
              </w:rPr>
            </w:pPr>
            <w:r>
              <w:rPr>
                <w:rFonts w:cs="Arial"/>
                <w:sz w:val="18"/>
                <w:lang w:eastAsia="fr-FR"/>
              </w:rPr>
              <w:t>Min(</w:t>
            </w:r>
            <w:r>
              <w:rPr>
                <w:rFonts w:cs="Arial"/>
                <w:b/>
                <w:i/>
                <w:sz w:val="18"/>
                <w:lang w:eastAsia="fr-FR"/>
              </w:rPr>
              <w:t>n</w:t>
            </w:r>
            <w:r>
              <w:rPr>
                <w:rFonts w:cs="Arial"/>
                <w:sz w:val="18"/>
                <w:lang w:eastAsia="fr-FR"/>
              </w:rPr>
              <w:t xml:space="preserve"> , 8)</w:t>
            </w:r>
          </w:p>
        </w:tc>
      </w:tr>
      <w:tr w:rsidR="005E0C95" w14:paraId="4CF10A81" w14:textId="77777777" w:rsidTr="005E0C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4DCB79" w14:textId="77777777" w:rsidR="005E0C95" w:rsidRDefault="005E0C95">
            <w:pPr>
              <w:keepNext/>
              <w:keepLines/>
              <w:spacing w:after="0"/>
              <w:jc w:val="center"/>
              <w:rPr>
                <w:rFonts w:cs="Arial"/>
                <w:snapToGrid w:val="0"/>
                <w:sz w:val="18"/>
                <w:lang w:eastAsia="fr-FR"/>
              </w:rPr>
            </w:pPr>
            <w:r>
              <w:rPr>
                <w:rFonts w:cs="Arial"/>
                <w:sz w:val="18"/>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783BE18" w14:textId="77777777" w:rsidR="005E0C95" w:rsidRDefault="005E0C95">
            <w:pPr>
              <w:keepNext/>
              <w:keepLines/>
              <w:spacing w:after="0"/>
              <w:jc w:val="center"/>
              <w:rPr>
                <w:rFonts w:cs="Arial"/>
                <w:snapToGrid w:val="0"/>
                <w:sz w:val="18"/>
                <w:lang w:eastAsia="fr-FR"/>
              </w:rPr>
            </w:pPr>
            <w:r>
              <w:rPr>
                <w:rFonts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34207018" w14:textId="77777777" w:rsidR="005E0C95" w:rsidRDefault="005E0C95">
            <w:pPr>
              <w:keepNext/>
              <w:keepLines/>
              <w:spacing w:after="0"/>
              <w:jc w:val="center"/>
              <w:rPr>
                <w:rFonts w:cs="Arial"/>
                <w:sz w:val="18"/>
                <w:lang w:eastAsia="fr-FR"/>
              </w:rPr>
            </w:pPr>
            <w:r>
              <w:rPr>
                <w:rFonts w:cs="Arial"/>
                <w:sz w:val="18"/>
                <w:lang w:eastAsia="fr-FR"/>
              </w:rPr>
              <w:t>Min(</w:t>
            </w:r>
            <w:r>
              <w:rPr>
                <w:rFonts w:cs="Arial"/>
                <w:b/>
                <w:i/>
                <w:sz w:val="18"/>
                <w:lang w:eastAsia="fr-FR"/>
              </w:rPr>
              <w:t>n</w:t>
            </w:r>
            <w:r>
              <w:rPr>
                <w:rFonts w:cs="Arial"/>
                <w:sz w:val="18"/>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5B79063C" w14:textId="77777777" w:rsidR="005E0C95" w:rsidRDefault="005E0C95">
            <w:pPr>
              <w:keepNext/>
              <w:keepLines/>
              <w:spacing w:after="0"/>
              <w:jc w:val="center"/>
              <w:rPr>
                <w:rFonts w:cs="Arial"/>
                <w:sz w:val="18"/>
                <w:lang w:eastAsia="fr-FR"/>
              </w:rPr>
            </w:pPr>
            <w:r>
              <w:rPr>
                <w:rFonts w:cs="Arial"/>
                <w:sz w:val="18"/>
                <w:lang w:eastAsia="fr-FR"/>
              </w:rPr>
              <w:t>Min(</w:t>
            </w:r>
            <w:r>
              <w:rPr>
                <w:rFonts w:cs="Arial"/>
                <w:b/>
                <w:i/>
                <w:sz w:val="18"/>
                <w:lang w:eastAsia="fr-FR"/>
              </w:rPr>
              <w:t>n</w:t>
            </w:r>
            <w:r>
              <w:rPr>
                <w:rFonts w:cs="Arial"/>
                <w:sz w:val="18"/>
                <w:lang w:eastAsia="fr-FR"/>
              </w:rPr>
              <w:t xml:space="preserve"> , 4)</w:t>
            </w:r>
          </w:p>
        </w:tc>
      </w:tr>
      <w:tr w:rsidR="005E0C95" w14:paraId="3262DDD4" w14:textId="77777777" w:rsidTr="005E0C95">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562CE77B" w14:textId="77777777" w:rsidR="005E0C95" w:rsidRDefault="005E0C95">
            <w:pPr>
              <w:keepNext/>
              <w:keepLines/>
              <w:spacing w:after="0"/>
              <w:jc w:val="center"/>
              <w:rPr>
                <w:rFonts w:cs="Arial"/>
                <w:sz w:val="18"/>
                <w:lang w:eastAsia="fr-FR"/>
              </w:rPr>
            </w:pPr>
            <w:r>
              <w:rPr>
                <w:rFonts w:cs="Arial"/>
                <w:sz w:val="18"/>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3B933C0" w14:textId="77777777" w:rsidR="005E0C95" w:rsidRDefault="005E0C95">
            <w:pPr>
              <w:keepNext/>
              <w:keepLines/>
              <w:spacing w:after="0"/>
              <w:jc w:val="center"/>
              <w:rPr>
                <w:rFonts w:cs="Arial"/>
                <w:sz w:val="18"/>
                <w:lang w:eastAsia="fr-FR"/>
              </w:rPr>
            </w:pPr>
            <w:r>
              <w:rPr>
                <w:rFonts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3030CF7" w14:textId="77777777" w:rsidR="005E0C95" w:rsidRDefault="005E0C95">
            <w:pPr>
              <w:keepNext/>
              <w:keepLines/>
              <w:spacing w:after="0"/>
              <w:jc w:val="center"/>
              <w:rPr>
                <w:rFonts w:cs="Arial"/>
                <w:sz w:val="18"/>
                <w:lang w:eastAsia="fr-FR"/>
              </w:rPr>
            </w:pPr>
            <w:r>
              <w:rPr>
                <w:rFonts w:cs="Arial"/>
                <w:snapToGrid w:val="0"/>
                <w:sz w:val="18"/>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67152CC1" w14:textId="77777777" w:rsidR="005E0C95" w:rsidRDefault="005E0C95">
            <w:pPr>
              <w:keepNext/>
              <w:keepLines/>
              <w:spacing w:after="0"/>
              <w:jc w:val="center"/>
              <w:rPr>
                <w:rFonts w:cs="Arial"/>
                <w:sz w:val="18"/>
                <w:lang w:eastAsia="fr-FR"/>
              </w:rPr>
            </w:pPr>
            <w:r>
              <w:rPr>
                <w:rFonts w:cs="Arial"/>
                <w:sz w:val="18"/>
                <w:lang w:eastAsia="fr-FR"/>
              </w:rPr>
              <w:t>Min(</w:t>
            </w:r>
            <w:r>
              <w:rPr>
                <w:rFonts w:cs="Arial"/>
                <w:b/>
                <w:i/>
                <w:sz w:val="18"/>
                <w:lang w:eastAsia="fr-FR"/>
              </w:rPr>
              <w:t>n</w:t>
            </w:r>
            <w:r>
              <w:rPr>
                <w:rFonts w:cs="Arial"/>
                <w:sz w:val="18"/>
                <w:lang w:eastAsia="fr-FR"/>
              </w:rPr>
              <w:t xml:space="preserve"> , 2)</w:t>
            </w:r>
          </w:p>
        </w:tc>
      </w:tr>
      <w:tr w:rsidR="005E0C95" w14:paraId="05A9ED18" w14:textId="77777777" w:rsidTr="005E0C9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E4CF35" w14:textId="77777777" w:rsidR="005E0C95" w:rsidRDefault="005E0C95">
            <w:pPr>
              <w:keepNext/>
              <w:keepLines/>
              <w:spacing w:after="0"/>
              <w:jc w:val="center"/>
              <w:rPr>
                <w:rFonts w:cs="Arial"/>
                <w:sz w:val="18"/>
                <w:lang w:eastAsia="fr-FR"/>
              </w:rPr>
            </w:pPr>
            <w:r>
              <w:rPr>
                <w:rFonts w:cs="Arial"/>
                <w:sz w:val="18"/>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05EDD8C8" w14:textId="77777777" w:rsidR="005E0C95" w:rsidRDefault="005E0C95">
            <w:pPr>
              <w:keepNext/>
              <w:keepLines/>
              <w:spacing w:after="0"/>
              <w:jc w:val="center"/>
              <w:rPr>
                <w:rFonts w:cs="Arial"/>
                <w:sz w:val="18"/>
                <w:lang w:eastAsia="fr-FR"/>
              </w:rPr>
            </w:pPr>
            <w:r>
              <w:rPr>
                <w:rFonts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0A230CC" w14:textId="77777777" w:rsidR="005E0C95" w:rsidRDefault="005E0C95">
            <w:pPr>
              <w:keepNext/>
              <w:keepLines/>
              <w:spacing w:after="0"/>
              <w:jc w:val="center"/>
              <w:rPr>
                <w:rFonts w:cs="Arial"/>
                <w:sz w:val="18"/>
                <w:lang w:eastAsia="fr-FR"/>
              </w:rPr>
            </w:pPr>
            <w:r>
              <w:rPr>
                <w:rFonts w:cs="Arial"/>
                <w:snapToGrid w:val="0"/>
                <w:sz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936C82B" w14:textId="77777777" w:rsidR="005E0C95" w:rsidRDefault="005E0C95">
            <w:pPr>
              <w:keepNext/>
              <w:keepLines/>
              <w:spacing w:after="0"/>
              <w:jc w:val="center"/>
              <w:rPr>
                <w:rFonts w:cs="Arial"/>
                <w:sz w:val="18"/>
                <w:lang w:eastAsia="fr-FR"/>
              </w:rPr>
            </w:pPr>
            <w:r>
              <w:rPr>
                <w:rFonts w:cs="Arial"/>
                <w:sz w:val="18"/>
                <w:lang w:eastAsia="fr-FR"/>
              </w:rPr>
              <w:t>1</w:t>
            </w:r>
          </w:p>
        </w:tc>
      </w:tr>
      <w:tr w:rsidR="005E0C95" w14:paraId="16ABA9D2" w14:textId="77777777" w:rsidTr="005E0C9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2F97288" w14:textId="77777777" w:rsidR="005E0C95" w:rsidRDefault="005E0C95">
            <w:pPr>
              <w:keepNext/>
              <w:keepLines/>
              <w:spacing w:after="0"/>
              <w:ind w:left="851" w:hanging="851"/>
              <w:rPr>
                <w:rFonts w:cs="Arial"/>
                <w:sz w:val="18"/>
                <w:lang w:eastAsia="zh-CN"/>
              </w:rPr>
            </w:pPr>
            <w:r>
              <w:rPr>
                <w:rFonts w:cs="Arial"/>
                <w:sz w:val="18"/>
                <w:lang w:eastAsia="zh-CN"/>
              </w:rPr>
              <w:t>NOTE:</w:t>
            </w:r>
            <w:r>
              <w:rPr>
                <w:rFonts w:cs="Arial"/>
                <w:sz w:val="18"/>
                <w:lang w:eastAsia="fr-FR"/>
              </w:rPr>
              <w:tab/>
            </w:r>
            <w:r>
              <w:rPr>
                <w:rFonts w:cs="Arial"/>
                <w:b/>
                <w:i/>
                <w:sz w:val="18"/>
                <w:lang w:eastAsia="zh-CN"/>
              </w:rPr>
              <w:t>n</w:t>
            </w:r>
            <w:r>
              <w:rPr>
                <w:rFonts w:cs="Arial"/>
                <w:sz w:val="18"/>
                <w:lang w:eastAsia="zh-CN"/>
              </w:rPr>
              <w:t xml:space="preserve"> is signalled by the network by using </w:t>
            </w:r>
            <w:r>
              <w:rPr>
                <w:rFonts w:cs="Arial"/>
                <w:i/>
                <w:sz w:val="18"/>
                <w:lang w:eastAsia="zh-CN"/>
              </w:rPr>
              <w:t xml:space="preserve">num-DRX-CyclesRelaxed </w:t>
            </w:r>
            <w:r>
              <w:rPr>
                <w:rFonts w:cs="Arial"/>
                <w:sz w:val="18"/>
                <w:lang w:eastAsia="zh-CN"/>
              </w:rPr>
              <w:t>defined in TS</w:t>
            </w:r>
            <w:r>
              <w:rPr>
                <w:rFonts w:cs="Arial"/>
                <w:sz w:val="18"/>
                <w:lang w:eastAsia="fr-FR"/>
              </w:rPr>
              <w:t> </w:t>
            </w:r>
            <w:r>
              <w:rPr>
                <w:rFonts w:cs="Arial"/>
                <w:sz w:val="18"/>
                <w:lang w:eastAsia="zh-CN"/>
              </w:rPr>
              <w:t>36.331</w:t>
            </w:r>
            <w:r>
              <w:rPr>
                <w:rFonts w:cs="Arial"/>
                <w:sz w:val="18"/>
                <w:lang w:eastAsia="fr-FR"/>
              </w:rPr>
              <w:t> </w:t>
            </w:r>
            <w:r>
              <w:rPr>
                <w:rFonts w:cs="Arial"/>
                <w:sz w:val="18"/>
                <w:lang w:eastAsia="zh-CN"/>
              </w:rPr>
              <w:t>[2].</w:t>
            </w:r>
          </w:p>
        </w:tc>
      </w:tr>
    </w:tbl>
    <w:p w14:paraId="4655770E" w14:textId="77777777" w:rsidR="00B25E95" w:rsidRDefault="00B25E95" w:rsidP="00B25E95">
      <w:pPr>
        <w:pStyle w:val="IvDbodytext"/>
        <w:rPr>
          <w:rFonts w:eastAsia="SimSun" w:cs="Times New Roman"/>
          <w:lang w:val="en-US" w:eastAsia="en-US"/>
        </w:rPr>
      </w:pPr>
    </w:p>
    <w:p w14:paraId="04141775" w14:textId="2EAE6210" w:rsidR="00A22709" w:rsidRPr="00502099" w:rsidRDefault="00652833" w:rsidP="00403192">
      <w:pPr>
        <w:pStyle w:val="Proposal"/>
        <w:rPr>
          <w:rFonts w:cs="Arial"/>
          <w:b w:val="0"/>
          <w:bCs w:val="0"/>
          <w:color w:val="000000" w:themeColor="text1"/>
        </w:rPr>
      </w:pPr>
      <w:r w:rsidRPr="009F5357">
        <w:rPr>
          <w:rStyle w:val="IvDbodytextChar"/>
          <w:rFonts w:cs="Calibri"/>
          <w:b w:val="0"/>
          <w:bCs w:val="0"/>
        </w:rPr>
        <w:t xml:space="preserve">The fixed or static measurement relaxation factors were designed for a fixed terrestrial network where the base stations are stationary, i.e. the coverage of cell is rather static. However, the fixed relaxation factors may not work well for a non-terrestrial network where the satellites serving the cells can be moving and thus the cell coverage can be dynamic. Moreover, the LEO and GEO satellites also differ in terms of their speed, their altitudes, their orbits etc. The coverage of the NTN cells served by LEO satellites may be quite dynamic compared to the coverage of </w:t>
      </w:r>
      <w:r w:rsidRPr="00502099">
        <w:rPr>
          <w:rStyle w:val="IvDbodytextChar"/>
          <w:rFonts w:cs="Calibri"/>
          <w:b w:val="0"/>
          <w:bCs w:val="0"/>
          <w:color w:val="000000" w:themeColor="text1"/>
        </w:rPr>
        <w:t xml:space="preserve">a </w:t>
      </w:r>
      <w:r w:rsidR="00403192" w:rsidRPr="00502099">
        <w:rPr>
          <w:rStyle w:val="IvDbodytextChar"/>
          <w:rFonts w:cs="Calibri"/>
          <w:b w:val="0"/>
          <w:bCs w:val="0"/>
          <w:color w:val="000000" w:themeColor="text1"/>
        </w:rPr>
        <w:t>cell sered by a GEO satellite</w:t>
      </w:r>
      <w:r w:rsidRPr="00502099">
        <w:rPr>
          <w:rStyle w:val="IvDbodytextChar"/>
          <w:rFonts w:cs="Calibri"/>
          <w:b w:val="0"/>
          <w:bCs w:val="0"/>
          <w:color w:val="000000" w:themeColor="text1"/>
        </w:rPr>
        <w:t>. This means that the coverage of the cell may disappear for some time, or degraded for some time as the satellite moves away wrt the UE location which is relatively fixed.</w:t>
      </w:r>
      <w:r w:rsidR="006E76CA" w:rsidRPr="00502099">
        <w:rPr>
          <w:rFonts w:cs="Arial"/>
          <w:b w:val="0"/>
          <w:bCs w:val="0"/>
          <w:color w:val="000000" w:themeColor="text1"/>
        </w:rPr>
        <w:t xml:space="preserve"> </w:t>
      </w:r>
      <w:r w:rsidR="00010458" w:rsidRPr="00502099">
        <w:rPr>
          <w:rFonts w:cs="Arial"/>
          <w:b w:val="0"/>
          <w:bCs w:val="0"/>
          <w:color w:val="000000" w:themeColor="text1"/>
        </w:rPr>
        <w:t>Therefore, the existing formula</w:t>
      </w:r>
      <w:r w:rsidR="0079554B" w:rsidRPr="00502099">
        <w:rPr>
          <w:rFonts w:cs="Arial"/>
          <w:b w:val="0"/>
          <w:bCs w:val="0"/>
          <w:color w:val="000000" w:themeColor="text1"/>
        </w:rPr>
        <w:t>/requirements</w:t>
      </w:r>
      <w:r w:rsidR="00010458" w:rsidRPr="00502099">
        <w:rPr>
          <w:rFonts w:cs="Arial"/>
          <w:b w:val="0"/>
          <w:bCs w:val="0"/>
          <w:color w:val="000000" w:themeColor="text1"/>
        </w:rPr>
        <w:t xml:space="preserve"> for deriving the relaxation factor can be reused for cat-M when served by a GEO satellite. Howeve</w:t>
      </w:r>
      <w:r w:rsidR="00DF1741" w:rsidRPr="00502099">
        <w:rPr>
          <w:rFonts w:cs="Arial"/>
          <w:b w:val="0"/>
          <w:bCs w:val="0"/>
          <w:color w:val="000000" w:themeColor="text1"/>
        </w:rPr>
        <w:t>r, the level of relaxation shall be reduced</w:t>
      </w:r>
      <w:r w:rsidR="008A4292" w:rsidRPr="00502099">
        <w:rPr>
          <w:rFonts w:cs="Arial"/>
          <w:b w:val="0"/>
          <w:bCs w:val="0"/>
          <w:color w:val="000000" w:themeColor="text1"/>
        </w:rPr>
        <w:t xml:space="preserve"> (e.g. by factor 2)</w:t>
      </w:r>
      <w:r w:rsidR="00DF1741" w:rsidRPr="00502099">
        <w:rPr>
          <w:rFonts w:cs="Arial"/>
          <w:b w:val="0"/>
          <w:bCs w:val="0"/>
          <w:color w:val="000000" w:themeColor="text1"/>
        </w:rPr>
        <w:t xml:space="preserve"> when served by a LEO satellit</w:t>
      </w:r>
      <w:r w:rsidR="007442C8" w:rsidRPr="00502099">
        <w:rPr>
          <w:rFonts w:cs="Arial"/>
          <w:b w:val="0"/>
          <w:bCs w:val="0"/>
          <w:color w:val="000000" w:themeColor="text1"/>
        </w:rPr>
        <w:t xml:space="preserve">e. </w:t>
      </w:r>
    </w:p>
    <w:p w14:paraId="18AA88EA" w14:textId="77777777" w:rsidR="00D83491" w:rsidRPr="00502099" w:rsidRDefault="004932AA" w:rsidP="0016206D">
      <w:pPr>
        <w:pStyle w:val="Proposal"/>
        <w:numPr>
          <w:ilvl w:val="0"/>
          <w:numId w:val="2"/>
        </w:numPr>
        <w:tabs>
          <w:tab w:val="clear" w:pos="5841"/>
        </w:tabs>
        <w:ind w:left="1701" w:hanging="1701"/>
        <w:rPr>
          <w:color w:val="000000" w:themeColor="text1"/>
          <w:lang w:val="en-GB"/>
        </w:rPr>
      </w:pPr>
      <w:r w:rsidRPr="00502099">
        <w:rPr>
          <w:rFonts w:eastAsia="PMingLiU"/>
          <w:iCs/>
          <w:color w:val="000000" w:themeColor="text1"/>
          <w:lang w:eastAsia="zh-TW"/>
        </w:rPr>
        <w:t xml:space="preserve">In NGSO, </w:t>
      </w:r>
      <w:r w:rsidR="00294B41" w:rsidRPr="00502099">
        <w:rPr>
          <w:rFonts w:eastAsia="PMingLiU"/>
          <w:iCs/>
          <w:color w:val="000000" w:themeColor="text1"/>
          <w:lang w:eastAsia="zh-TW"/>
        </w:rPr>
        <w:t xml:space="preserve">the serving cell measurement relaxation factor is reused from corresponding TN requirements for eMTC and NB-IOT in IDLE mode when cell is served by a GEO satellite. </w:t>
      </w:r>
    </w:p>
    <w:p w14:paraId="7F68FDE3" w14:textId="10D6BA02" w:rsidR="00294B41" w:rsidRPr="00502099" w:rsidRDefault="00294B41" w:rsidP="0016206D">
      <w:pPr>
        <w:pStyle w:val="Proposal"/>
        <w:numPr>
          <w:ilvl w:val="0"/>
          <w:numId w:val="2"/>
        </w:numPr>
        <w:tabs>
          <w:tab w:val="clear" w:pos="5841"/>
        </w:tabs>
        <w:ind w:left="1701" w:hanging="1701"/>
        <w:rPr>
          <w:color w:val="000000" w:themeColor="text1"/>
          <w:lang w:val="en-GB"/>
        </w:rPr>
      </w:pPr>
      <w:r w:rsidRPr="00502099">
        <w:rPr>
          <w:rFonts w:eastAsia="PMingLiU"/>
          <w:iCs/>
          <w:color w:val="000000" w:themeColor="text1"/>
          <w:lang w:eastAsia="zh-TW"/>
        </w:rPr>
        <w:t>In NGSO, the serving cell measurement relaxation factor is reduced</w:t>
      </w:r>
      <w:r w:rsidR="002A4C46" w:rsidRPr="00502099">
        <w:rPr>
          <w:rFonts w:eastAsia="PMingLiU"/>
          <w:iCs/>
          <w:color w:val="000000" w:themeColor="text1"/>
          <w:lang w:eastAsia="zh-TW"/>
        </w:rPr>
        <w:t xml:space="preserve"> </w:t>
      </w:r>
      <w:r w:rsidRPr="00502099">
        <w:rPr>
          <w:rFonts w:eastAsia="PMingLiU"/>
          <w:iCs/>
          <w:color w:val="000000" w:themeColor="text1"/>
          <w:lang w:eastAsia="zh-TW"/>
        </w:rPr>
        <w:t xml:space="preserve">by factor </w:t>
      </w:r>
      <w:r w:rsidR="002A4C46" w:rsidRPr="00502099">
        <w:rPr>
          <w:rFonts w:eastAsia="PMingLiU"/>
          <w:iCs/>
          <w:color w:val="000000" w:themeColor="text1"/>
          <w:lang w:eastAsia="zh-TW"/>
        </w:rPr>
        <w:t xml:space="preserve">N </w:t>
      </w:r>
      <w:r w:rsidRPr="00502099">
        <w:rPr>
          <w:rFonts w:eastAsia="PMingLiU"/>
          <w:iCs/>
          <w:color w:val="000000" w:themeColor="text1"/>
          <w:lang w:eastAsia="zh-TW"/>
        </w:rPr>
        <w:t>from corresponding TN requirements for eMTC and NB-IOT in IDLE mode when cell is served by a LEO satellite</w:t>
      </w:r>
      <w:r w:rsidR="002A4C46" w:rsidRPr="00502099">
        <w:rPr>
          <w:rFonts w:eastAsia="PMingLiU"/>
          <w:iCs/>
          <w:color w:val="000000" w:themeColor="text1"/>
          <w:lang w:eastAsia="zh-TW"/>
        </w:rPr>
        <w:t xml:space="preserve"> compared to corresponding GEO satellite, where N=[2]</w:t>
      </w:r>
      <w:r w:rsidRPr="00502099">
        <w:rPr>
          <w:rFonts w:eastAsia="PMingLiU"/>
          <w:iCs/>
          <w:color w:val="000000" w:themeColor="text1"/>
          <w:lang w:eastAsia="zh-TW"/>
        </w:rPr>
        <w:t>.</w:t>
      </w:r>
    </w:p>
    <w:p w14:paraId="3F4BBC46" w14:textId="77777777" w:rsidR="004932AA" w:rsidRPr="00502099" w:rsidRDefault="004932AA" w:rsidP="00403192">
      <w:pPr>
        <w:pStyle w:val="Proposal"/>
        <w:rPr>
          <w:rFonts w:cs="Arial"/>
          <w:b w:val="0"/>
          <w:bCs w:val="0"/>
          <w:color w:val="000000" w:themeColor="text1"/>
        </w:rPr>
      </w:pPr>
    </w:p>
    <w:p w14:paraId="0A6F4D71" w14:textId="7B2E4661" w:rsidR="00403192" w:rsidRPr="00502099" w:rsidRDefault="00F12530" w:rsidP="00403192">
      <w:pPr>
        <w:pStyle w:val="Proposal"/>
        <w:rPr>
          <w:rFonts w:cs="Arial"/>
          <w:b w:val="0"/>
          <w:bCs w:val="0"/>
          <w:color w:val="000000" w:themeColor="text1"/>
        </w:rPr>
      </w:pPr>
      <w:r w:rsidRPr="00502099">
        <w:rPr>
          <w:rFonts w:cs="Arial"/>
          <w:b w:val="0"/>
          <w:bCs w:val="0"/>
          <w:color w:val="000000" w:themeColor="text1"/>
        </w:rPr>
        <w:t xml:space="preserve">Moreover, </w:t>
      </w:r>
      <w:r w:rsidR="00770001" w:rsidRPr="00502099">
        <w:rPr>
          <w:rFonts w:cs="Arial"/>
          <w:b w:val="0"/>
          <w:bCs w:val="0"/>
          <w:color w:val="000000" w:themeColor="text1"/>
        </w:rPr>
        <w:t xml:space="preserve">as an additional </w:t>
      </w:r>
      <w:r w:rsidR="003B0309" w:rsidRPr="00502099">
        <w:rPr>
          <w:rFonts w:cs="Arial"/>
          <w:b w:val="0"/>
          <w:bCs w:val="0"/>
          <w:color w:val="000000" w:themeColor="text1"/>
        </w:rPr>
        <w:t>safety</w:t>
      </w:r>
      <w:r w:rsidR="00770001" w:rsidRPr="00502099">
        <w:rPr>
          <w:rFonts w:cs="Arial"/>
          <w:b w:val="0"/>
          <w:bCs w:val="0"/>
          <w:color w:val="000000" w:themeColor="text1"/>
        </w:rPr>
        <w:t>-mechanism to avoid that a UE served by a LEO satellite mistakenly enters into a relaxed mode</w:t>
      </w:r>
      <w:r w:rsidR="00215479" w:rsidRPr="00502099">
        <w:rPr>
          <w:rFonts w:cs="Arial"/>
          <w:b w:val="0"/>
          <w:bCs w:val="0"/>
          <w:color w:val="000000" w:themeColor="text1"/>
        </w:rPr>
        <w:t xml:space="preserve"> and to prepare fo</w:t>
      </w:r>
      <w:r w:rsidR="00E0279A" w:rsidRPr="00502099">
        <w:rPr>
          <w:rFonts w:cs="Arial"/>
          <w:b w:val="0"/>
          <w:bCs w:val="0"/>
          <w:color w:val="000000" w:themeColor="text1"/>
        </w:rPr>
        <w:t xml:space="preserve">r a potential cell change, </w:t>
      </w:r>
      <w:r w:rsidR="000C5C08" w:rsidRPr="00502099">
        <w:rPr>
          <w:rFonts w:cs="Arial"/>
          <w:b w:val="0"/>
          <w:bCs w:val="0"/>
          <w:color w:val="000000" w:themeColor="text1"/>
        </w:rPr>
        <w:t xml:space="preserve">UE shall meet the relaxed requirements if it has found at least one </w:t>
      </w:r>
      <w:r w:rsidR="00C65841" w:rsidRPr="00502099">
        <w:rPr>
          <w:rFonts w:cs="Arial"/>
          <w:b w:val="0"/>
          <w:bCs w:val="0"/>
          <w:color w:val="000000" w:themeColor="text1"/>
        </w:rPr>
        <w:t xml:space="preserve">additional satellite on the serving carrier </w:t>
      </w:r>
      <w:r w:rsidR="00323458" w:rsidRPr="00502099">
        <w:rPr>
          <w:rFonts w:cs="Arial"/>
          <w:b w:val="0"/>
          <w:bCs w:val="0"/>
          <w:color w:val="000000" w:themeColor="text1"/>
        </w:rPr>
        <w:t xml:space="preserve">including the serving satellite. </w:t>
      </w:r>
    </w:p>
    <w:p w14:paraId="24C823C3" w14:textId="763463F9" w:rsidR="00323458" w:rsidRPr="00502099" w:rsidRDefault="00323458" w:rsidP="00403192">
      <w:pPr>
        <w:pStyle w:val="Proposal"/>
        <w:rPr>
          <w:rFonts w:cs="Arial"/>
          <w:b w:val="0"/>
          <w:bCs w:val="0"/>
          <w:color w:val="000000" w:themeColor="text1"/>
        </w:rPr>
      </w:pPr>
    </w:p>
    <w:p w14:paraId="58CD9194" w14:textId="7C5E19A0" w:rsidR="00486708" w:rsidRPr="00502099" w:rsidRDefault="00486708" w:rsidP="0016206D">
      <w:pPr>
        <w:pStyle w:val="Proposal"/>
        <w:numPr>
          <w:ilvl w:val="0"/>
          <w:numId w:val="2"/>
        </w:numPr>
        <w:tabs>
          <w:tab w:val="clear" w:pos="5841"/>
        </w:tabs>
        <w:ind w:left="1701" w:hanging="1701"/>
        <w:rPr>
          <w:color w:val="000000" w:themeColor="text1"/>
          <w:lang w:val="en-GB"/>
        </w:rPr>
      </w:pPr>
      <w:r w:rsidRPr="00502099">
        <w:rPr>
          <w:rFonts w:eastAsia="PMingLiU"/>
          <w:iCs/>
          <w:color w:val="000000" w:themeColor="text1"/>
          <w:lang w:eastAsia="zh-TW"/>
        </w:rPr>
        <w:t xml:space="preserve">The eMTC and NB-IoT UE is allowed to meet the relaxed neighbour cell requirements provided that it has found </w:t>
      </w:r>
      <w:r w:rsidR="008C3931" w:rsidRPr="00502099">
        <w:rPr>
          <w:rFonts w:eastAsia="PMingLiU"/>
          <w:iCs/>
          <w:color w:val="000000" w:themeColor="text1"/>
          <w:lang w:eastAsia="zh-TW"/>
        </w:rPr>
        <w:t xml:space="preserve">more than </w:t>
      </w:r>
      <w:r w:rsidRPr="00502099">
        <w:rPr>
          <w:rFonts w:eastAsia="PMingLiU"/>
          <w:iCs/>
          <w:color w:val="000000" w:themeColor="text1"/>
          <w:lang w:eastAsia="zh-TW"/>
        </w:rPr>
        <w:t xml:space="preserve">[1] satellite including the serving satellite. </w:t>
      </w:r>
    </w:p>
    <w:p w14:paraId="4099C12E" w14:textId="77777777" w:rsidR="004F34AE" w:rsidRPr="00502099" w:rsidRDefault="004F34AE" w:rsidP="008A278F">
      <w:pPr>
        <w:pStyle w:val="Proposal"/>
        <w:rPr>
          <w:rFonts w:eastAsia="PMingLiU"/>
          <w:b w:val="0"/>
          <w:bCs w:val="0"/>
          <w:iCs/>
          <w:color w:val="000000" w:themeColor="text1"/>
          <w:highlight w:val="yellow"/>
          <w:lang w:eastAsia="zh-TW"/>
        </w:rPr>
      </w:pPr>
    </w:p>
    <w:p w14:paraId="75B1258A" w14:textId="77777777" w:rsidR="00EA1134" w:rsidRDefault="00EA1134" w:rsidP="00A52E43">
      <w:pPr>
        <w:pStyle w:val="Proposal"/>
      </w:pPr>
    </w:p>
    <w:p w14:paraId="212CEAAC" w14:textId="56A45D80" w:rsidR="00395D2F" w:rsidRDefault="00395D2F" w:rsidP="00395D2F">
      <w:pPr>
        <w:rPr>
          <w:b/>
          <w:bCs/>
          <w:u w:val="single"/>
        </w:rPr>
      </w:pPr>
      <w:r w:rsidRPr="00FF7A76">
        <w:rPr>
          <w:b/>
          <w:bCs/>
          <w:u w:val="single"/>
        </w:rPr>
        <w:t xml:space="preserve">Cell re-selection in </w:t>
      </w:r>
      <w:r w:rsidR="00EC1B54">
        <w:rPr>
          <w:b/>
          <w:bCs/>
          <w:u w:val="single"/>
        </w:rPr>
        <w:t>enhanced coverage</w:t>
      </w:r>
      <w:r w:rsidR="002A715F">
        <w:rPr>
          <w:b/>
          <w:bCs/>
          <w:u w:val="single"/>
        </w:rPr>
        <w:t xml:space="preserve">, </w:t>
      </w:r>
      <w:r w:rsidRPr="00FF7A76">
        <w:rPr>
          <w:b/>
          <w:bCs/>
          <w:u w:val="single"/>
        </w:rPr>
        <w:t>NGSO</w:t>
      </w:r>
    </w:p>
    <w:p w14:paraId="0FA90DDA" w14:textId="1973FC9F" w:rsidR="009D66C0" w:rsidRPr="009D66C0" w:rsidRDefault="00561B5E" w:rsidP="00395D2F">
      <w:r>
        <w:lastRenderedPageBreak/>
        <w:t xml:space="preserve">RAN4 discussed whether the existing enhanced coverage requirements (e.g. intra/inter frequency) </w:t>
      </w:r>
      <w:r w:rsidR="00582496">
        <w:t>can be reused for NB-IoT and eMTC without following outcome [1]:</w:t>
      </w:r>
      <w:r>
        <w:t xml:space="preserve"> </w:t>
      </w:r>
    </w:p>
    <w:tbl>
      <w:tblPr>
        <w:tblStyle w:val="TableGrid"/>
        <w:tblW w:w="0" w:type="auto"/>
        <w:tblLook w:val="04A0" w:firstRow="1" w:lastRow="0" w:firstColumn="1" w:lastColumn="0" w:noHBand="0" w:noVBand="1"/>
      </w:tblPr>
      <w:tblGrid>
        <w:gridCol w:w="9629"/>
      </w:tblGrid>
      <w:tr w:rsidR="009D66C0" w14:paraId="5125024D" w14:textId="77777777" w:rsidTr="009D66C0">
        <w:tc>
          <w:tcPr>
            <w:tcW w:w="9629" w:type="dxa"/>
          </w:tcPr>
          <w:p w14:paraId="13D62BFA" w14:textId="77777777" w:rsidR="009D66C0" w:rsidRPr="004C3164" w:rsidRDefault="009D66C0" w:rsidP="009D66C0">
            <w:pPr>
              <w:pStyle w:val="Heading4"/>
              <w:ind w:left="0" w:firstLine="0"/>
              <w:outlineLvl w:val="3"/>
            </w:pPr>
            <w:r w:rsidRPr="004C3164">
              <w:t>__Issue 2-</w:t>
            </w:r>
            <w:r w:rsidRPr="004C3164">
              <w:rPr>
                <w:rFonts w:eastAsia="PMingLiU"/>
                <w:lang w:eastAsia="zh-TW"/>
              </w:rPr>
              <w:t>2-4</w:t>
            </w:r>
            <w:r w:rsidRPr="004C3164">
              <w:t>: NGSO, cell Re-selection in Enhanced Coverage</w:t>
            </w:r>
          </w:p>
          <w:p w14:paraId="1A61CDCB" w14:textId="77777777" w:rsidR="009D66C0" w:rsidRPr="004C3164" w:rsidRDefault="009D66C0" w:rsidP="0016206D">
            <w:pPr>
              <w:pStyle w:val="ListParagraph"/>
              <w:numPr>
                <w:ilvl w:val="0"/>
                <w:numId w:val="18"/>
              </w:numPr>
              <w:overflowPunct w:val="0"/>
              <w:autoSpaceDE w:val="0"/>
              <w:autoSpaceDN w:val="0"/>
              <w:adjustRightInd w:val="0"/>
              <w:spacing w:after="180" w:line="240" w:lineRule="auto"/>
              <w:textAlignment w:val="baseline"/>
              <w:rPr>
                <w:rFonts w:eastAsia="PMingLiU"/>
                <w:iCs/>
                <w:lang w:val="en-US" w:eastAsia="zh-TW"/>
              </w:rPr>
            </w:pPr>
            <w:r w:rsidRPr="004C3164">
              <w:rPr>
                <w:rFonts w:eastAsia="PMingLiU"/>
                <w:lang w:eastAsia="zh-TW"/>
              </w:rPr>
              <w:t xml:space="preserve">For Enhanced Coverage intra-/inter-frequency measurement, the existing TN requirement on </w:t>
            </w:r>
            <w:r w:rsidRPr="004C3164">
              <w:rPr>
                <w:rFonts w:eastAsia="Yu Mincho" w:cs="v4.2.0"/>
              </w:rPr>
              <w:t>T</w:t>
            </w:r>
            <w:r w:rsidRPr="004C3164">
              <w:rPr>
                <w:rFonts w:eastAsia="Yu Mincho" w:cs="v4.2.0"/>
                <w:vertAlign w:val="subscript"/>
              </w:rPr>
              <w:t xml:space="preserve">measure, </w:t>
            </w:r>
            <w:r w:rsidRPr="004C3164">
              <w:rPr>
                <w:rFonts w:eastAsia="Yu Mincho" w:cs="v4.2.0"/>
              </w:rPr>
              <w:t>T</w:t>
            </w:r>
            <w:r w:rsidRPr="004C3164">
              <w:rPr>
                <w:rFonts w:eastAsia="Yu Mincho" w:cs="v4.2.0"/>
                <w:vertAlign w:val="subscript"/>
              </w:rPr>
              <w:t>evaluate</w:t>
            </w:r>
            <w:r w:rsidRPr="004C3164">
              <w:rPr>
                <w:rFonts w:eastAsia="PMingLiU"/>
                <w:lang w:eastAsia="zh-TW"/>
              </w:rPr>
              <w:t xml:space="preserve"> can be the baseline.  </w:t>
            </w:r>
          </w:p>
          <w:p w14:paraId="3520B286" w14:textId="77777777" w:rsidR="009D66C0" w:rsidRPr="004C3164" w:rsidRDefault="009D66C0" w:rsidP="0016206D">
            <w:pPr>
              <w:pStyle w:val="ListParagraph"/>
              <w:numPr>
                <w:ilvl w:val="1"/>
                <w:numId w:val="18"/>
              </w:numPr>
              <w:overflowPunct w:val="0"/>
              <w:autoSpaceDE w:val="0"/>
              <w:autoSpaceDN w:val="0"/>
              <w:adjustRightInd w:val="0"/>
              <w:spacing w:after="180" w:line="240" w:lineRule="auto"/>
              <w:textAlignment w:val="baseline"/>
              <w:rPr>
                <w:rFonts w:eastAsia="PMingLiU"/>
                <w:iCs/>
                <w:lang w:val="en-US" w:eastAsia="zh-TW"/>
              </w:rPr>
            </w:pPr>
            <w:r w:rsidRPr="004C3164">
              <w:rPr>
                <w:rFonts w:eastAsia="PMingLiU" w:hint="eastAsia"/>
                <w:iCs/>
                <w:lang w:eastAsia="zh-TW"/>
              </w:rPr>
              <w:t>T</w:t>
            </w:r>
            <w:r w:rsidRPr="004C3164">
              <w:rPr>
                <w:rFonts w:eastAsia="PMingLiU"/>
                <w:iCs/>
                <w:lang w:eastAsia="zh-TW"/>
              </w:rPr>
              <w:t xml:space="preserve">he exact values are FFS. </w:t>
            </w:r>
          </w:p>
          <w:p w14:paraId="60950D1D" w14:textId="162D38C2" w:rsidR="009D66C0" w:rsidRPr="009D66C0" w:rsidRDefault="009D66C0" w:rsidP="0016206D">
            <w:pPr>
              <w:pStyle w:val="ListParagraph"/>
              <w:numPr>
                <w:ilvl w:val="1"/>
                <w:numId w:val="18"/>
              </w:numPr>
              <w:overflowPunct w:val="0"/>
              <w:autoSpaceDE w:val="0"/>
              <w:autoSpaceDN w:val="0"/>
              <w:adjustRightInd w:val="0"/>
              <w:spacing w:after="180" w:line="240" w:lineRule="auto"/>
              <w:textAlignment w:val="baseline"/>
              <w:rPr>
                <w:rFonts w:eastAsia="PMingLiU"/>
                <w:iCs/>
                <w:lang w:val="en-US" w:eastAsia="zh-TW"/>
              </w:rPr>
            </w:pPr>
            <w:r w:rsidRPr="004C3164">
              <w:rPr>
                <w:rFonts w:eastAsia="PMingLiU"/>
                <w:lang w:eastAsia="zh-TW"/>
              </w:rPr>
              <w:t>FFS the cell detection time (</w:t>
            </w:r>
            <w:r w:rsidRPr="004C3164">
              <w:rPr>
                <w:rFonts w:eastAsia="Yu Mincho"/>
              </w:rPr>
              <w:t>T</w:t>
            </w:r>
            <w:r w:rsidRPr="004C3164">
              <w:rPr>
                <w:rFonts w:eastAsia="Yu Mincho"/>
                <w:vertAlign w:val="subscript"/>
              </w:rPr>
              <w:t>detect</w:t>
            </w:r>
            <w:r w:rsidRPr="004C3164">
              <w:rPr>
                <w:rFonts w:eastAsia="PMingLiU"/>
                <w:lang w:eastAsia="zh-TW"/>
              </w:rPr>
              <w:t>).</w:t>
            </w:r>
          </w:p>
        </w:tc>
      </w:tr>
    </w:tbl>
    <w:p w14:paraId="725C8A9F" w14:textId="77777777" w:rsidR="005D4F08" w:rsidRPr="00681EB8" w:rsidRDefault="005D4F08" w:rsidP="00395D2F"/>
    <w:p w14:paraId="6F5D57F3" w14:textId="6C9BC083" w:rsidR="00EA1134" w:rsidRPr="00502099" w:rsidRDefault="00582496" w:rsidP="00A52E43">
      <w:pPr>
        <w:pStyle w:val="Proposal"/>
        <w:rPr>
          <w:b w:val="0"/>
          <w:bCs w:val="0"/>
          <w:color w:val="000000" w:themeColor="text1"/>
        </w:rPr>
      </w:pPr>
      <w:r w:rsidRPr="00681EB8">
        <w:rPr>
          <w:b w:val="0"/>
          <w:bCs w:val="0"/>
        </w:rPr>
        <w:t>Our view is that the current enhanced coverage delay requirements can be reuse</w:t>
      </w:r>
      <w:r w:rsidR="005A4661" w:rsidRPr="00681EB8">
        <w:rPr>
          <w:b w:val="0"/>
          <w:bCs w:val="0"/>
        </w:rPr>
        <w:t xml:space="preserve">d since no major impact was identified based on the link </w:t>
      </w:r>
      <w:r w:rsidR="005A4661" w:rsidRPr="00502099">
        <w:rPr>
          <w:b w:val="0"/>
          <w:bCs w:val="0"/>
          <w:color w:val="000000" w:themeColor="text1"/>
        </w:rPr>
        <w:t xml:space="preserve">budget calculations. </w:t>
      </w:r>
      <w:r w:rsidR="00D93AB3" w:rsidRPr="00502099">
        <w:rPr>
          <w:b w:val="0"/>
          <w:bCs w:val="0"/>
          <w:color w:val="000000" w:themeColor="text1"/>
        </w:rPr>
        <w:t xml:space="preserve">For similar reason, also the </w:t>
      </w:r>
      <w:r w:rsidR="00375E9D" w:rsidRPr="00502099">
        <w:rPr>
          <w:b w:val="0"/>
          <w:bCs w:val="0"/>
          <w:color w:val="000000" w:themeColor="text1"/>
        </w:rPr>
        <w:t>channel quality reporting</w:t>
      </w:r>
      <w:r w:rsidR="005D0191" w:rsidRPr="00502099">
        <w:rPr>
          <w:b w:val="0"/>
          <w:bCs w:val="0"/>
          <w:color w:val="000000" w:themeColor="text1"/>
        </w:rPr>
        <w:t xml:space="preserve"> defined for 1.4 MHz BW </w:t>
      </w:r>
      <w:r w:rsidR="00375E9D" w:rsidRPr="00502099">
        <w:rPr>
          <w:b w:val="0"/>
          <w:bCs w:val="0"/>
          <w:color w:val="000000" w:themeColor="text1"/>
        </w:rPr>
        <w:t xml:space="preserve">requirements </w:t>
      </w:r>
      <w:r w:rsidR="00A4073E" w:rsidRPr="00502099">
        <w:rPr>
          <w:b w:val="0"/>
          <w:bCs w:val="0"/>
          <w:color w:val="000000" w:themeColor="text1"/>
        </w:rPr>
        <w:t>and WUS reception requirements</w:t>
      </w:r>
      <w:r w:rsidR="0074250C" w:rsidRPr="00502099">
        <w:rPr>
          <w:b w:val="0"/>
          <w:bCs w:val="0"/>
          <w:color w:val="000000" w:themeColor="text1"/>
        </w:rPr>
        <w:t xml:space="preserve"> </w:t>
      </w:r>
      <w:r w:rsidR="00375E9D" w:rsidRPr="00502099">
        <w:rPr>
          <w:b w:val="0"/>
          <w:bCs w:val="0"/>
          <w:color w:val="000000" w:themeColor="text1"/>
        </w:rPr>
        <w:t xml:space="preserve">from TN can be reused for eMTC and NB-IoT NTN. </w:t>
      </w:r>
    </w:p>
    <w:p w14:paraId="056DA321" w14:textId="77777777" w:rsidR="00F9127E" w:rsidRPr="00502099" w:rsidRDefault="00F27468"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For Enhanced coverage, the current intra- and inter-frequency measurement requirements </w:t>
      </w:r>
      <w:r w:rsidR="006E65C5" w:rsidRPr="00502099">
        <w:rPr>
          <w:color w:val="000000" w:themeColor="text1"/>
        </w:rPr>
        <w:t xml:space="preserve">(Tdetect, Tmeasure, Tevaluate) </w:t>
      </w:r>
      <w:r w:rsidRPr="00502099">
        <w:rPr>
          <w:color w:val="000000" w:themeColor="text1"/>
        </w:rPr>
        <w:t xml:space="preserve">from TN can be reused for IoT NTN for eMTC and NB-IoT. </w:t>
      </w:r>
    </w:p>
    <w:p w14:paraId="65F53B11" w14:textId="77777777" w:rsidR="00F9127E" w:rsidRPr="00502099" w:rsidRDefault="00F704D0" w:rsidP="0016206D">
      <w:pPr>
        <w:pStyle w:val="Proposal"/>
        <w:numPr>
          <w:ilvl w:val="0"/>
          <w:numId w:val="2"/>
        </w:numPr>
        <w:tabs>
          <w:tab w:val="clear" w:pos="5841"/>
        </w:tabs>
        <w:ind w:left="1701" w:hanging="1701"/>
        <w:rPr>
          <w:rFonts w:eastAsia="PMingLiU"/>
          <w:iCs/>
          <w:color w:val="000000" w:themeColor="text1"/>
          <w:lang w:eastAsia="zh-TW"/>
        </w:rPr>
      </w:pPr>
      <w:r w:rsidRPr="00502099">
        <w:rPr>
          <w:color w:val="000000" w:themeColor="text1"/>
        </w:rPr>
        <w:t xml:space="preserve">For </w:t>
      </w:r>
      <w:r w:rsidR="008056A6" w:rsidRPr="00502099">
        <w:rPr>
          <w:color w:val="000000" w:themeColor="text1"/>
        </w:rPr>
        <w:t>eMTC</w:t>
      </w:r>
      <w:r w:rsidRPr="00502099">
        <w:rPr>
          <w:color w:val="000000" w:themeColor="text1"/>
        </w:rPr>
        <w:t xml:space="preserve"> in </w:t>
      </w:r>
      <w:r w:rsidR="001C2B7B" w:rsidRPr="00502099">
        <w:rPr>
          <w:color w:val="000000" w:themeColor="text1"/>
        </w:rPr>
        <w:t>LEO</w:t>
      </w:r>
      <w:r w:rsidRPr="00502099">
        <w:rPr>
          <w:color w:val="000000" w:themeColor="text1"/>
        </w:rPr>
        <w:t xml:space="preserve">, the </w:t>
      </w:r>
      <w:r w:rsidR="001C2B7B" w:rsidRPr="00502099">
        <w:rPr>
          <w:color w:val="000000" w:themeColor="text1"/>
        </w:rPr>
        <w:t>channel quality reporting requirements</w:t>
      </w:r>
      <w:r w:rsidR="005D0191" w:rsidRPr="00502099">
        <w:rPr>
          <w:color w:val="000000" w:themeColor="text1"/>
        </w:rPr>
        <w:t xml:space="preserve"> (defined for 1.4 MHz) </w:t>
      </w:r>
      <w:r w:rsidR="001C2B7B" w:rsidRPr="00502099">
        <w:rPr>
          <w:color w:val="000000" w:themeColor="text1"/>
        </w:rPr>
        <w:t>fr</w:t>
      </w:r>
      <w:r w:rsidR="009932D7" w:rsidRPr="00502099">
        <w:rPr>
          <w:color w:val="000000" w:themeColor="text1"/>
        </w:rPr>
        <w:t>o</w:t>
      </w:r>
      <w:r w:rsidR="001C2B7B" w:rsidRPr="00502099">
        <w:rPr>
          <w:color w:val="000000" w:themeColor="text1"/>
        </w:rPr>
        <w:t xml:space="preserve">m </w:t>
      </w:r>
      <w:r w:rsidRPr="00502099">
        <w:rPr>
          <w:color w:val="000000" w:themeColor="text1"/>
        </w:rPr>
        <w:t>TN</w:t>
      </w:r>
      <w:r w:rsidR="005B40B0" w:rsidRPr="00502099">
        <w:rPr>
          <w:color w:val="000000" w:themeColor="text1"/>
        </w:rPr>
        <w:t xml:space="preserve"> in IDLE mode</w:t>
      </w:r>
      <w:r w:rsidRPr="00502099">
        <w:rPr>
          <w:color w:val="000000" w:themeColor="text1"/>
        </w:rPr>
        <w:t xml:space="preserve"> </w:t>
      </w:r>
      <w:r w:rsidR="001C2B7B" w:rsidRPr="00502099">
        <w:rPr>
          <w:color w:val="000000" w:themeColor="text1"/>
        </w:rPr>
        <w:t>are reused</w:t>
      </w:r>
      <w:r w:rsidR="001316A1" w:rsidRPr="00502099">
        <w:rPr>
          <w:color w:val="000000" w:themeColor="text1"/>
        </w:rPr>
        <w:t>.</w:t>
      </w:r>
    </w:p>
    <w:p w14:paraId="7A70437A" w14:textId="0F3456DE" w:rsidR="00D773AD" w:rsidRPr="00502099" w:rsidRDefault="00D773AD" w:rsidP="0016206D">
      <w:pPr>
        <w:pStyle w:val="Proposal"/>
        <w:numPr>
          <w:ilvl w:val="0"/>
          <w:numId w:val="2"/>
        </w:numPr>
        <w:tabs>
          <w:tab w:val="clear" w:pos="5841"/>
        </w:tabs>
        <w:ind w:left="1701" w:hanging="1701"/>
        <w:rPr>
          <w:rFonts w:eastAsia="PMingLiU"/>
          <w:iCs/>
          <w:color w:val="000000" w:themeColor="text1"/>
          <w:lang w:eastAsia="zh-TW"/>
        </w:rPr>
      </w:pPr>
      <w:r w:rsidRPr="00502099">
        <w:rPr>
          <w:color w:val="000000" w:themeColor="text1"/>
        </w:rPr>
        <w:t xml:space="preserve">For </w:t>
      </w:r>
      <w:r w:rsidR="008056A6" w:rsidRPr="00502099">
        <w:rPr>
          <w:color w:val="000000" w:themeColor="text1"/>
        </w:rPr>
        <w:t>eMTC and NB-IOT</w:t>
      </w:r>
      <w:r w:rsidRPr="00502099">
        <w:rPr>
          <w:color w:val="000000" w:themeColor="text1"/>
        </w:rPr>
        <w:t xml:space="preserve">, the </w:t>
      </w:r>
      <w:r w:rsidR="0060205A" w:rsidRPr="00502099">
        <w:rPr>
          <w:color w:val="000000" w:themeColor="text1"/>
        </w:rPr>
        <w:t xml:space="preserve">WUS reception requirements from TN requirements </w:t>
      </w:r>
      <w:r w:rsidRPr="00502099">
        <w:rPr>
          <w:color w:val="000000" w:themeColor="text1"/>
        </w:rPr>
        <w:t>are reused.</w:t>
      </w:r>
    </w:p>
    <w:p w14:paraId="306C3FF3" w14:textId="77777777" w:rsidR="00F704D0" w:rsidRDefault="00F704D0" w:rsidP="0057053C">
      <w:pPr>
        <w:pStyle w:val="Proposal"/>
      </w:pPr>
    </w:p>
    <w:p w14:paraId="0D9804C6" w14:textId="5010F87F" w:rsidR="00D83E2C" w:rsidRDefault="0075155E" w:rsidP="00D83E2C">
      <w:pPr>
        <w:rPr>
          <w:b/>
          <w:bCs/>
          <w:u w:val="single"/>
        </w:rPr>
      </w:pPr>
      <w:r>
        <w:rPr>
          <w:b/>
          <w:bCs/>
          <w:u w:val="single"/>
        </w:rPr>
        <w:t>Transmission using preconfigured uplink resources (PUR)</w:t>
      </w:r>
    </w:p>
    <w:p w14:paraId="1C784A6D" w14:textId="77777777" w:rsidR="0075155E" w:rsidRPr="008820F5" w:rsidRDefault="0075155E" w:rsidP="00D83E2C"/>
    <w:p w14:paraId="080FBA27" w14:textId="06D6DC41" w:rsidR="00EC669B" w:rsidRPr="00502099" w:rsidRDefault="00EC669B" w:rsidP="00EC669B">
      <w:pPr>
        <w:jc w:val="both"/>
        <w:rPr>
          <w:rFonts w:eastAsia="Times New Roman" w:cs="Arial"/>
          <w:color w:val="000000" w:themeColor="text1"/>
          <w:szCs w:val="20"/>
          <w:lang w:val="en-GB"/>
        </w:rPr>
      </w:pPr>
      <w:r w:rsidRPr="0078367E">
        <w:rPr>
          <w:color w:val="000000" w:themeColor="text1"/>
          <w:szCs w:val="20"/>
        </w:rPr>
        <w:t xml:space="preserve">The </w:t>
      </w:r>
      <w:r w:rsidR="00B97734">
        <w:rPr>
          <w:color w:val="000000" w:themeColor="text1"/>
          <w:szCs w:val="20"/>
        </w:rPr>
        <w:t xml:space="preserve">eMTC and NB-IoT </w:t>
      </w:r>
      <w:r w:rsidRPr="0078367E">
        <w:rPr>
          <w:color w:val="000000" w:themeColor="text1"/>
          <w:szCs w:val="20"/>
        </w:rPr>
        <w:t xml:space="preserve">UE can be configured with PUR resources along with a TA command. The UE </w:t>
      </w:r>
      <w:r>
        <w:rPr>
          <w:color w:val="000000" w:themeColor="text1"/>
          <w:szCs w:val="20"/>
        </w:rPr>
        <w:t xml:space="preserve">has to </w:t>
      </w:r>
      <w:bookmarkStart w:id="3" w:name="_Hlk110945735"/>
      <w:r>
        <w:rPr>
          <w:color w:val="000000" w:themeColor="text1"/>
          <w:szCs w:val="20"/>
        </w:rPr>
        <w:t xml:space="preserve">update </w:t>
      </w:r>
      <w:r w:rsidRPr="0078367E">
        <w:rPr>
          <w:color w:val="000000" w:themeColor="text1"/>
          <w:szCs w:val="20"/>
        </w:rPr>
        <w:t xml:space="preserve">the uplink timing for transmitting on PUR </w:t>
      </w:r>
      <w:r w:rsidRPr="0078367E">
        <w:rPr>
          <w:rFonts w:eastAsia="Times New Roman" w:cs="Arial"/>
          <w:szCs w:val="20"/>
          <w:lang w:val="en-GB"/>
        </w:rPr>
        <w:t xml:space="preserve">according to TS 36.211 v17.2.0 i.e. transmission of uplink radio frame number </w:t>
      </w:r>
      <w:r w:rsidRPr="00F33B3F">
        <w:rPr>
          <w:rFonts w:eastAsia="Times New Roman" w:cs="Arial"/>
          <w:position w:val="-6"/>
          <w:szCs w:val="20"/>
          <w:lang w:val="en-GB"/>
        </w:rPr>
        <w:object w:dxaOrig="139" w:dyaOrig="240" w14:anchorId="06410955">
          <v:shape id="_x0000_i1027" type="#_x0000_t75" style="width:6.1pt;height:14.2pt" o:ole="">
            <v:imagedata r:id="rId19" o:title=""/>
          </v:shape>
          <o:OLEObject Type="Embed" ProgID="Equation.3" ShapeID="_x0000_i1027" DrawAspect="Content" ObjectID="_1726081458" r:id="rId20"/>
        </w:object>
      </w:r>
      <w:r w:rsidRPr="0078367E">
        <w:rPr>
          <w:rFonts w:eastAsia="Times New Roman" w:cs="Arial"/>
          <w:szCs w:val="20"/>
          <w:lang w:val="en-GB"/>
        </w:rPr>
        <w:t xml:space="preserve"> from the UE starts </w:t>
      </w:r>
      <m:oMath>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T</m:t>
            </m:r>
          </m:e>
          <m:sub>
            <m:r>
              <m:rPr>
                <m:nor/>
              </m:rPr>
              <w:rPr>
                <w:rFonts w:eastAsia="Times New Roman" w:cs="Arial"/>
                <w:szCs w:val="20"/>
              </w:rPr>
              <m:t>TA</m:t>
            </m:r>
          </m:sub>
        </m:sSub>
        <m:r>
          <w:rPr>
            <w:rFonts w:ascii="Cambria Math" w:eastAsia="Times New Roman" w:hAnsi="Cambria Math" w:cs="Arial"/>
            <w:szCs w:val="20"/>
          </w:rPr>
          <m:t>=</m:t>
        </m:r>
        <m:d>
          <m:dPr>
            <m:ctrlPr>
              <w:rPr>
                <w:rFonts w:ascii="Cambria Math" w:eastAsia="Times New Roman" w:hAnsi="Cambria Math" w:cs="Arial"/>
                <w:i/>
                <w:szCs w:val="20"/>
                <w:lang w:val="en-GB"/>
              </w:rPr>
            </m:ctrlPr>
          </m:dPr>
          <m:e>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N</m:t>
                </m:r>
              </m:e>
              <m:sub>
                <m:r>
                  <m:rPr>
                    <m:nor/>
                  </m:rPr>
                  <w:rPr>
                    <w:rFonts w:eastAsia="Times New Roman" w:cs="Arial"/>
                    <w:szCs w:val="20"/>
                  </w:rPr>
                  <m:t>TA</m:t>
                </m:r>
              </m:sub>
            </m:sSub>
            <m:r>
              <w:rPr>
                <w:rFonts w:ascii="Cambria Math" w:eastAsia="Times New Roman" w:hAnsi="Cambria Math" w:cs="Arial"/>
                <w:szCs w:val="20"/>
              </w:rPr>
              <m:t>+</m:t>
            </m:r>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N</m:t>
                </m:r>
              </m:e>
              <m:sub>
                <m:r>
                  <m:rPr>
                    <m:nor/>
                  </m:rPr>
                  <w:rPr>
                    <w:rFonts w:eastAsia="Times New Roman" w:cs="Arial"/>
                    <w:szCs w:val="20"/>
                  </w:rPr>
                  <m:t>TA,offset</m:t>
                </m:r>
              </m:sub>
            </m:sSub>
            <m:r>
              <w:rPr>
                <w:rFonts w:ascii="Cambria Math" w:eastAsia="Times New Roman" w:hAnsi="Cambria Math" w:cs="Arial"/>
                <w:szCs w:val="20"/>
              </w:rPr>
              <m:t>+</m:t>
            </m:r>
            <m:sSubSup>
              <m:sSubSupPr>
                <m:ctrlPr>
                  <w:rPr>
                    <w:rFonts w:ascii="Cambria Math" w:eastAsia="Times New Roman" w:hAnsi="Cambria Math" w:cs="Arial"/>
                    <w:i/>
                    <w:szCs w:val="20"/>
                    <w:lang w:val="en-GB"/>
                  </w:rPr>
                </m:ctrlPr>
              </m:sSubSupPr>
              <m:e>
                <m:r>
                  <w:rPr>
                    <w:rFonts w:ascii="Cambria Math" w:eastAsia="Times New Roman" w:hAnsi="Cambria Math" w:cs="Arial"/>
                    <w:szCs w:val="20"/>
                    <w:lang w:val="en-GB"/>
                  </w:rPr>
                  <m:t>N</m:t>
                </m:r>
              </m:e>
              <m:sub>
                <m:r>
                  <m:rPr>
                    <m:nor/>
                  </m:rPr>
                  <w:rPr>
                    <w:rFonts w:eastAsia="Times New Roman" w:cs="Arial"/>
                    <w:szCs w:val="20"/>
                  </w:rPr>
                  <m:t>TA,adj</m:t>
                </m:r>
              </m:sub>
              <m:sup>
                <m:r>
                  <m:rPr>
                    <m:nor/>
                  </m:rPr>
                  <w:rPr>
                    <w:rFonts w:eastAsia="Times New Roman" w:cs="Arial"/>
                    <w:szCs w:val="20"/>
                  </w:rPr>
                  <m:t>common</m:t>
                </m:r>
              </m:sup>
            </m:sSubSup>
            <m:r>
              <w:rPr>
                <w:rFonts w:ascii="Cambria Math" w:eastAsia="Times New Roman" w:hAnsi="Cambria Math" w:cs="Arial"/>
                <w:szCs w:val="20"/>
              </w:rPr>
              <m:t>+</m:t>
            </m:r>
            <m:sSubSup>
              <m:sSubSupPr>
                <m:ctrlPr>
                  <w:rPr>
                    <w:rFonts w:ascii="Cambria Math" w:eastAsia="Times New Roman" w:hAnsi="Cambria Math" w:cs="Arial"/>
                    <w:i/>
                    <w:szCs w:val="20"/>
                    <w:lang w:val="en-GB"/>
                  </w:rPr>
                </m:ctrlPr>
              </m:sSubSupPr>
              <m:e>
                <m:r>
                  <w:rPr>
                    <w:rFonts w:ascii="Cambria Math" w:eastAsia="Times New Roman" w:hAnsi="Cambria Math" w:cs="Arial"/>
                    <w:szCs w:val="20"/>
                    <w:lang w:val="en-GB"/>
                  </w:rPr>
                  <m:t>N</m:t>
                </m:r>
              </m:e>
              <m:sub>
                <m:r>
                  <m:rPr>
                    <m:nor/>
                  </m:rPr>
                  <w:rPr>
                    <w:rFonts w:eastAsia="Times New Roman" w:cs="Arial"/>
                    <w:szCs w:val="20"/>
                  </w:rPr>
                  <m:t>TA,adj</m:t>
                </m:r>
              </m:sub>
              <m:sup>
                <m:r>
                  <m:rPr>
                    <m:nor/>
                  </m:rPr>
                  <w:rPr>
                    <w:rFonts w:eastAsia="Times New Roman" w:cs="Arial"/>
                    <w:szCs w:val="20"/>
                  </w:rPr>
                  <m:t>UE</m:t>
                </m:r>
              </m:sup>
            </m:sSubSup>
          </m:e>
        </m:d>
        <m:sSub>
          <m:sSubPr>
            <m:ctrlPr>
              <w:rPr>
                <w:rFonts w:ascii="Cambria Math" w:eastAsia="Times New Roman" w:hAnsi="Cambria Math" w:cs="Arial"/>
                <w:i/>
                <w:szCs w:val="20"/>
                <w:lang w:val="en-GB"/>
              </w:rPr>
            </m:ctrlPr>
          </m:sSubPr>
          <m:e>
            <m:r>
              <w:rPr>
                <w:rFonts w:ascii="Cambria Math" w:eastAsia="Times New Roman" w:hAnsi="Cambria Math" w:cs="Arial"/>
                <w:szCs w:val="20"/>
                <w:lang w:val="en-GB"/>
              </w:rPr>
              <m:t>T</m:t>
            </m:r>
          </m:e>
          <m:sub>
            <m:r>
              <m:rPr>
                <m:nor/>
              </m:rPr>
              <w:rPr>
                <w:rFonts w:eastAsia="Times New Roman" w:cs="Arial"/>
                <w:szCs w:val="20"/>
              </w:rPr>
              <m:t>s</m:t>
            </m:r>
          </m:sub>
        </m:sSub>
      </m:oMath>
      <w:r w:rsidRPr="0078367E">
        <w:rPr>
          <w:rFonts w:eastAsia="Times New Roman" w:cs="Arial"/>
          <w:szCs w:val="20"/>
          <w:lang w:val="en-GB"/>
        </w:rPr>
        <w:t xml:space="preserve"> </w:t>
      </w:r>
      <w:bookmarkEnd w:id="3"/>
      <w:r w:rsidRPr="0078367E">
        <w:rPr>
          <w:rFonts w:eastAsia="Times New Roman" w:cs="Arial"/>
          <w:szCs w:val="20"/>
          <w:lang w:val="en-GB"/>
        </w:rPr>
        <w:t>seconds before start of the corresponding downlink radio frame at the UE</w:t>
      </w:r>
      <w:r>
        <w:rPr>
          <w:rFonts w:eastAsia="Times New Roman" w:cs="Arial"/>
          <w:szCs w:val="20"/>
          <w:lang w:val="en-GB"/>
        </w:rPr>
        <w:t>. The parameters (</w:t>
      </w:r>
      <m:oMath>
        <m:sSubSup>
          <m:sSubSupPr>
            <m:ctrlPr>
              <w:rPr>
                <w:rFonts w:ascii="Cambria Math" w:eastAsia="Times New Roman" w:hAnsi="Cambria Math" w:cs="Arial"/>
                <w:i/>
                <w:lang w:val="en-GB"/>
              </w:rPr>
            </m:ctrlPr>
          </m:sSubSupPr>
          <m:e>
            <m:r>
              <w:rPr>
                <w:rFonts w:ascii="Cambria Math" w:eastAsia="Times New Roman" w:hAnsi="Cambria Math" w:cs="Arial"/>
                <w:lang w:val="en-GB"/>
              </w:rPr>
              <m:t>N</m:t>
            </m:r>
          </m:e>
          <m:sub>
            <m:r>
              <m:rPr>
                <m:nor/>
              </m:rPr>
              <w:rPr>
                <w:rFonts w:eastAsia="Times New Roman" w:cs="Arial"/>
              </w:rPr>
              <m:t>TA,adj</m:t>
            </m:r>
          </m:sub>
          <m:sup>
            <m:r>
              <m:rPr>
                <m:nor/>
              </m:rPr>
              <w:rPr>
                <w:rFonts w:eastAsia="Times New Roman" w:cs="Arial"/>
              </w:rPr>
              <m:t>common</m:t>
            </m:r>
          </m:sup>
        </m:sSubSup>
      </m:oMath>
      <w:r w:rsidRPr="006050FE">
        <w:rPr>
          <w:rFonts w:cs="Arial"/>
          <w:lang w:val="en-GB"/>
        </w:rPr>
        <w:t xml:space="preserve">  and </w:t>
      </w:r>
      <m:oMath>
        <m:sSubSup>
          <m:sSubSupPr>
            <m:ctrlPr>
              <w:rPr>
                <w:rFonts w:ascii="Cambria Math" w:eastAsia="Times New Roman" w:hAnsi="Cambria Math" w:cs="Arial"/>
                <w:i/>
                <w:lang w:val="en-GB"/>
              </w:rPr>
            </m:ctrlPr>
          </m:sSubSupPr>
          <m:e>
            <m:r>
              <w:rPr>
                <w:rFonts w:ascii="Cambria Math" w:eastAsia="Times New Roman" w:hAnsi="Cambria Math" w:cs="Arial"/>
                <w:lang w:val="en-GB"/>
              </w:rPr>
              <m:t>N</m:t>
            </m:r>
          </m:e>
          <m:sub>
            <m:r>
              <m:rPr>
                <m:nor/>
              </m:rPr>
              <w:rPr>
                <w:rFonts w:eastAsia="Times New Roman" w:cs="Arial"/>
              </w:rPr>
              <m:t>TA,adj</m:t>
            </m:r>
          </m:sub>
          <m:sup>
            <m:r>
              <m:rPr>
                <m:nor/>
              </m:rPr>
              <w:rPr>
                <w:rFonts w:eastAsia="Times New Roman" w:cs="Arial"/>
              </w:rPr>
              <m:t>UE</m:t>
            </m:r>
          </m:sup>
        </m:sSubSup>
      </m:oMath>
      <w:r>
        <w:rPr>
          <w:rFonts w:eastAsia="Times New Roman" w:cs="Arial"/>
          <w:szCs w:val="20"/>
          <w:lang w:val="en-GB"/>
        </w:rPr>
        <w:t xml:space="preserve">) are directly or indirectly received by the UE from the </w:t>
      </w:r>
      <w:r w:rsidRPr="00502099">
        <w:rPr>
          <w:rFonts w:eastAsia="Times New Roman" w:cs="Arial"/>
          <w:color w:val="000000" w:themeColor="text1"/>
          <w:szCs w:val="20"/>
          <w:lang w:val="en-GB"/>
        </w:rPr>
        <w:t>network i.e. in SIB31 which contains satellite assistance information (SAI) for the serving cell. Upon expiry of the SAI the TA should be considered invalid by the UE and UE should not transmit on PUR. The SAI expires upon expiry of T317 which is started upon the reception of SAI.</w:t>
      </w:r>
    </w:p>
    <w:p w14:paraId="403BBD48" w14:textId="1034D29C" w:rsidR="0057053C" w:rsidRPr="00502099" w:rsidRDefault="00EC669B" w:rsidP="00EC669B">
      <w:pPr>
        <w:pStyle w:val="Proposal"/>
        <w:rPr>
          <w:rFonts w:cs="Arial"/>
          <w:b w:val="0"/>
          <w:bCs w:val="0"/>
          <w:color w:val="000000" w:themeColor="text1"/>
        </w:rPr>
      </w:pPr>
      <w:r w:rsidRPr="00502099">
        <w:rPr>
          <w:rFonts w:cs="Arial"/>
          <w:b w:val="0"/>
          <w:bCs w:val="0"/>
          <w:color w:val="000000" w:themeColor="text1"/>
        </w:rPr>
        <w:t>In addition, the UE should only perform the PUR provided that the serving cell is not going to stop serving the area it is currently covering until the next PUR occasion. Otherwise, the UE may assume the TA as invalid and not carry out the PUR transmissions e.g. TA is invalid when the current time is close to, equal to or greater than ‘t-Service’.</w:t>
      </w:r>
    </w:p>
    <w:p w14:paraId="380321F1" w14:textId="77777777" w:rsidR="009A26BB" w:rsidRPr="00502099" w:rsidRDefault="004068E0" w:rsidP="0016206D">
      <w:pPr>
        <w:pStyle w:val="Proposal"/>
        <w:numPr>
          <w:ilvl w:val="0"/>
          <w:numId w:val="2"/>
        </w:numPr>
        <w:tabs>
          <w:tab w:val="clear" w:pos="5841"/>
        </w:tabs>
        <w:ind w:left="1701" w:hanging="1701"/>
        <w:rPr>
          <w:color w:val="000000" w:themeColor="text1"/>
          <w:lang w:val="en-GB"/>
        </w:rPr>
      </w:pPr>
      <w:r w:rsidRPr="00502099">
        <w:rPr>
          <w:color w:val="000000" w:themeColor="text1"/>
        </w:rPr>
        <w:t>RAN4 shall no</w:t>
      </w:r>
      <w:r w:rsidR="007E35C7" w:rsidRPr="00502099">
        <w:rPr>
          <w:color w:val="000000" w:themeColor="text1"/>
        </w:rPr>
        <w:t xml:space="preserve">t reuse </w:t>
      </w:r>
      <w:r w:rsidR="00995414" w:rsidRPr="00502099">
        <w:rPr>
          <w:color w:val="000000" w:themeColor="text1"/>
        </w:rPr>
        <w:t xml:space="preserve">the legacy </w:t>
      </w:r>
      <w:r w:rsidR="00227139" w:rsidRPr="00502099">
        <w:rPr>
          <w:color w:val="000000" w:themeColor="text1"/>
        </w:rPr>
        <w:t xml:space="preserve">RSRP-based </w:t>
      </w:r>
      <w:r w:rsidR="00A25448" w:rsidRPr="00502099">
        <w:rPr>
          <w:color w:val="000000" w:themeColor="text1"/>
        </w:rPr>
        <w:t xml:space="preserve">TA validation </w:t>
      </w:r>
      <w:r w:rsidR="000D7FD5" w:rsidRPr="00502099">
        <w:rPr>
          <w:color w:val="000000" w:themeColor="text1"/>
        </w:rPr>
        <w:t xml:space="preserve">for PUR </w:t>
      </w:r>
      <w:r w:rsidR="009C0258" w:rsidRPr="00502099">
        <w:rPr>
          <w:color w:val="000000" w:themeColor="text1"/>
        </w:rPr>
        <w:t>in IoT NTN.</w:t>
      </w:r>
    </w:p>
    <w:p w14:paraId="571CF4D0" w14:textId="77777777" w:rsidR="009A26BB" w:rsidRPr="00502099" w:rsidRDefault="00877A55"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The UE update the uplink timing for transmitting on PUR using the configured TA command </w:t>
      </w:r>
      <w:r w:rsidRPr="00502099">
        <w:rPr>
          <w:rFonts w:eastAsia="Times New Roman" w:cs="Arial"/>
          <w:color w:val="000000" w:themeColor="text1"/>
        </w:rPr>
        <w:t xml:space="preserve">according to TS 36.211 v17.2.0 i.e. transmission of uplink radio frame number </w:t>
      </w:r>
      <w:r w:rsidRPr="00502099">
        <w:rPr>
          <w:color w:val="000000" w:themeColor="text1"/>
          <w:position w:val="-6"/>
        </w:rPr>
        <w:object w:dxaOrig="139" w:dyaOrig="240" w14:anchorId="3F537EEC">
          <v:shape id="_x0000_i1028" type="#_x0000_t75" style="width:6.95pt;height:14.2pt" o:ole="">
            <v:imagedata r:id="rId19" o:title=""/>
          </v:shape>
          <o:OLEObject Type="Embed" ProgID="Equation.3" ShapeID="_x0000_i1028" DrawAspect="Content" ObjectID="_1726081459" r:id="rId21"/>
        </w:object>
      </w:r>
      <w:r w:rsidRPr="00502099">
        <w:rPr>
          <w:rFonts w:eastAsia="Times New Roman" w:cs="Arial"/>
          <w:color w:val="000000" w:themeColor="text1"/>
        </w:rPr>
        <w:t xml:space="preserve"> from the UE starts </w:t>
      </w:r>
      <m:oMath>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T</m:t>
            </m:r>
          </m:e>
          <m:sub>
            <m:r>
              <m:rPr>
                <m:nor/>
              </m:rPr>
              <w:rPr>
                <w:rFonts w:eastAsia="Times New Roman" w:cs="Arial"/>
                <w:color w:val="000000" w:themeColor="text1"/>
              </w:rPr>
              <m:t>TA</m:t>
            </m:r>
          </m:sub>
        </m:sSub>
        <m:r>
          <m:rPr>
            <m:sty m:val="bi"/>
          </m:rPr>
          <w:rPr>
            <w:rFonts w:ascii="Cambria Math" w:eastAsia="Times New Roman" w:hAnsi="Cambria Math" w:cs="Arial"/>
            <w:color w:val="000000" w:themeColor="text1"/>
          </w:rPr>
          <m:t>=</m:t>
        </m:r>
        <m:d>
          <m:dPr>
            <m:ctrlPr>
              <w:rPr>
                <w:rFonts w:ascii="Cambria Math" w:eastAsia="Times New Roman" w:hAnsi="Cambria Math" w:cs="Arial"/>
                <w:i/>
                <w:color w:val="000000" w:themeColor="text1"/>
              </w:rPr>
            </m:ctrlPr>
          </m:dPr>
          <m:e>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m:t>
                </m:r>
              </m:sub>
            </m:sSub>
            <m:r>
              <m:rPr>
                <m:sty m:val="bi"/>
              </m:rPr>
              <w:rPr>
                <w:rFonts w:ascii="Cambria Math" w:eastAsia="Times New Roman" w:hAnsi="Cambria Math" w:cs="Arial"/>
                <w:color w:val="000000" w:themeColor="text1"/>
              </w:rPr>
              <m:t>+</m:t>
            </m:r>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TA,offset</m:t>
                </m:r>
              </m:sub>
            </m:sSub>
            <m:r>
              <m:rPr>
                <m:sty m:val="bi"/>
              </m:rPr>
              <w:rPr>
                <w:rFonts w:ascii="Cambria Math" w:eastAsia="Times New Roman" w:hAnsi="Cambria Math" w:cs="Arial"/>
                <w:color w:val="000000" w:themeColor="text1"/>
              </w:rPr>
              <m:t>+</m:t>
            </m:r>
            <m:sSubSup>
              <m:sSubSupPr>
                <m:ctrlPr>
                  <w:rPr>
                    <w:rFonts w:ascii="Cambria Math" w:eastAsia="Times New Roman" w:hAnsi="Cambria Math" w:cs="Arial"/>
                    <w:i/>
                    <w:color w:val="000000" w:themeColor="text1"/>
                  </w:rPr>
                </m:ctrlPr>
              </m:sSubSup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TA,adj</m:t>
                </m:r>
              </m:sub>
              <m:sup>
                <m:r>
                  <m:rPr>
                    <m:nor/>
                  </m:rPr>
                  <w:rPr>
                    <w:rFonts w:eastAsia="Times New Roman" w:cs="Arial"/>
                    <w:color w:val="000000" w:themeColor="text1"/>
                  </w:rPr>
                  <m:t>common</m:t>
                </m:r>
              </m:sup>
            </m:sSubSup>
            <m:r>
              <m:rPr>
                <m:sty m:val="bi"/>
              </m:rPr>
              <w:rPr>
                <w:rFonts w:ascii="Cambria Math" w:eastAsia="Times New Roman" w:hAnsi="Cambria Math" w:cs="Arial"/>
                <w:color w:val="000000" w:themeColor="text1"/>
              </w:rPr>
              <m:t>+</m:t>
            </m:r>
            <m:sSubSup>
              <m:sSubSupPr>
                <m:ctrlPr>
                  <w:rPr>
                    <w:rFonts w:ascii="Cambria Math" w:eastAsia="Times New Roman" w:hAnsi="Cambria Math" w:cs="Arial"/>
                    <w:i/>
                    <w:color w:val="000000" w:themeColor="text1"/>
                  </w:rPr>
                </m:ctrlPr>
              </m:sSubSup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TA,adj</m:t>
                </m:r>
              </m:sub>
              <m:sup>
                <m:r>
                  <m:rPr>
                    <m:nor/>
                  </m:rPr>
                  <w:rPr>
                    <w:rFonts w:eastAsia="Times New Roman" w:cs="Arial"/>
                    <w:color w:val="000000" w:themeColor="text1"/>
                  </w:rPr>
                  <m:t>UE</m:t>
                </m:r>
              </m:sup>
            </m:sSubSup>
          </m:e>
        </m:d>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T</m:t>
            </m:r>
          </m:e>
          <m:sub>
            <m:r>
              <m:rPr>
                <m:nor/>
              </m:rPr>
              <w:rPr>
                <w:rFonts w:eastAsia="Times New Roman" w:cs="Arial"/>
                <w:color w:val="000000" w:themeColor="text1"/>
              </w:rPr>
              <m:t>s</m:t>
            </m:r>
          </m:sub>
        </m:sSub>
      </m:oMath>
    </w:p>
    <w:p w14:paraId="6D0C9205" w14:textId="64597651" w:rsidR="001418E4" w:rsidRPr="00502099" w:rsidRDefault="001418E4"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The UE assumes TA is valid provided that the following conditions are met, otherwise the TA is considered invalid: </w:t>
      </w:r>
    </w:p>
    <w:p w14:paraId="164ABDF5" w14:textId="77777777" w:rsidR="001418E4" w:rsidRPr="00502099" w:rsidRDefault="001418E4" w:rsidP="0016206D">
      <w:pPr>
        <w:pStyle w:val="ListParagraph"/>
        <w:numPr>
          <w:ilvl w:val="3"/>
          <w:numId w:val="19"/>
        </w:numPr>
        <w:overflowPunct w:val="0"/>
        <w:autoSpaceDE w:val="0"/>
        <w:autoSpaceDN w:val="0"/>
        <w:spacing w:after="180" w:line="276" w:lineRule="auto"/>
        <w:rPr>
          <w:b/>
          <w:bCs/>
          <w:color w:val="000000" w:themeColor="text1"/>
          <w:lang w:val="en-US"/>
        </w:rPr>
      </w:pPr>
      <w:r w:rsidRPr="00502099">
        <w:rPr>
          <w:b/>
          <w:bCs/>
          <w:color w:val="000000" w:themeColor="text1"/>
          <w:lang w:val="en-US"/>
        </w:rPr>
        <w:t>Satellite assistance information (SAI) is valid i.e. T317 has not expired and</w:t>
      </w:r>
    </w:p>
    <w:p w14:paraId="4C662876" w14:textId="7A671470" w:rsidR="001418E4" w:rsidRPr="0050727B" w:rsidRDefault="001418E4" w:rsidP="0016206D">
      <w:pPr>
        <w:pStyle w:val="ListParagraph"/>
        <w:numPr>
          <w:ilvl w:val="3"/>
          <w:numId w:val="19"/>
        </w:numPr>
        <w:overflowPunct w:val="0"/>
        <w:autoSpaceDE w:val="0"/>
        <w:autoSpaceDN w:val="0"/>
        <w:spacing w:after="180" w:line="276" w:lineRule="auto"/>
        <w:rPr>
          <w:b/>
          <w:bCs/>
          <w:lang w:val="en-US"/>
        </w:rPr>
      </w:pPr>
      <w:r w:rsidRPr="00502099">
        <w:rPr>
          <w:b/>
          <w:bCs/>
          <w:color w:val="000000" w:themeColor="text1"/>
          <w:lang w:val="en-US"/>
        </w:rPr>
        <w:t>Current time of the UE is at least DT seconds earlier than t-Service</w:t>
      </w:r>
      <w:r w:rsidR="00821658" w:rsidRPr="00502099">
        <w:rPr>
          <w:b/>
          <w:bCs/>
          <w:color w:val="000000" w:themeColor="text1"/>
          <w:lang w:val="en-US"/>
        </w:rPr>
        <w:t>, where DT</w:t>
      </w:r>
      <w:r w:rsidR="00D64976" w:rsidRPr="00502099">
        <w:rPr>
          <w:b/>
          <w:bCs/>
          <w:color w:val="000000" w:themeColor="text1"/>
          <w:lang w:val="en-US"/>
        </w:rPr>
        <w:t xml:space="preserve"> is the configured </w:t>
      </w:r>
      <w:r w:rsidR="0037423F" w:rsidRPr="00502099">
        <w:rPr>
          <w:b/>
          <w:bCs/>
          <w:color w:val="000000" w:themeColor="text1"/>
          <w:lang w:val="en-US"/>
        </w:rPr>
        <w:t xml:space="preserve">PUR </w:t>
      </w:r>
      <w:r w:rsidR="00BA3092" w:rsidRPr="00502099">
        <w:rPr>
          <w:b/>
          <w:bCs/>
          <w:color w:val="000000" w:themeColor="text1"/>
          <w:lang w:val="en-US"/>
        </w:rPr>
        <w:t>periodicity</w:t>
      </w:r>
      <w:r w:rsidR="00891F71" w:rsidRPr="0050727B">
        <w:rPr>
          <w:b/>
          <w:bCs/>
          <w:lang w:val="en-US"/>
        </w:rPr>
        <w:t>.</w:t>
      </w:r>
    </w:p>
    <w:p w14:paraId="3585E770" w14:textId="77777777" w:rsidR="0066550D" w:rsidRPr="0066550D" w:rsidRDefault="0066550D" w:rsidP="001418E4">
      <w:pPr>
        <w:pStyle w:val="Proposal"/>
        <w:ind w:left="1304" w:hanging="1304"/>
        <w:rPr>
          <w:rFonts w:eastAsia="PMingLiU"/>
          <w:iCs/>
          <w:u w:val="single"/>
          <w:lang w:eastAsia="zh-TW"/>
        </w:rPr>
      </w:pPr>
    </w:p>
    <w:p w14:paraId="17ACED83" w14:textId="5325CC39" w:rsidR="00030136" w:rsidRDefault="00030136" w:rsidP="00030136">
      <w:pPr>
        <w:pStyle w:val="Heading2"/>
      </w:pPr>
      <w:r>
        <w:lastRenderedPageBreak/>
        <w:t>2.</w:t>
      </w:r>
      <w:r w:rsidR="00D910E4">
        <w:t>3</w:t>
      </w:r>
      <w:r>
        <w:tab/>
        <w:t>CONNECTED mode Mobility</w:t>
      </w:r>
    </w:p>
    <w:p w14:paraId="14C5BE21" w14:textId="77777777" w:rsidR="00937CAB" w:rsidRDefault="00937CAB" w:rsidP="00937CAB">
      <w:pPr>
        <w:rPr>
          <w:lang w:val="en-GB" w:eastAsia="ja-JP"/>
        </w:rPr>
      </w:pPr>
    </w:p>
    <w:p w14:paraId="201A488C" w14:textId="5120DAD8" w:rsidR="00937CAB" w:rsidRPr="00937CAB" w:rsidRDefault="00937CAB" w:rsidP="00937CAB">
      <w:pPr>
        <w:rPr>
          <w:b/>
          <w:bCs/>
          <w:u w:val="single"/>
          <w:lang w:val="en-GB" w:eastAsia="ja-JP"/>
        </w:rPr>
      </w:pPr>
      <w:r w:rsidRPr="00937CAB">
        <w:rPr>
          <w:b/>
          <w:bCs/>
          <w:u w:val="single"/>
          <w:lang w:val="en-GB" w:eastAsia="ja-JP"/>
        </w:rPr>
        <w:t>RRC re-establishment, RRC connection release with redirection and random access</w:t>
      </w:r>
    </w:p>
    <w:p w14:paraId="60207DCD" w14:textId="2A6C3816" w:rsidR="00030136" w:rsidRPr="00502099" w:rsidRDefault="00AC69EA" w:rsidP="00030136">
      <w:pPr>
        <w:rPr>
          <w:color w:val="000000" w:themeColor="text1"/>
          <w:lang w:val="en-GB" w:eastAsia="ja-JP"/>
        </w:rPr>
      </w:pPr>
      <w:r>
        <w:rPr>
          <w:lang w:val="en-GB" w:eastAsia="ja-JP"/>
        </w:rPr>
        <w:t xml:space="preserve">For the CONNECTED mode </w:t>
      </w:r>
      <w:r w:rsidRPr="00502099">
        <w:rPr>
          <w:color w:val="000000" w:themeColor="text1"/>
          <w:lang w:val="en-GB" w:eastAsia="ja-JP"/>
        </w:rPr>
        <w:t>mobility procedures</w:t>
      </w:r>
      <w:r w:rsidR="00F67C07" w:rsidRPr="00502099">
        <w:rPr>
          <w:color w:val="000000" w:themeColor="text1"/>
          <w:lang w:val="en-GB" w:eastAsia="ja-JP"/>
        </w:rPr>
        <w:t xml:space="preserve"> RRC re-establishment, RRC connection release with redirection and random access, </w:t>
      </w:r>
      <w:r w:rsidR="00D64A34" w:rsidRPr="00502099">
        <w:rPr>
          <w:color w:val="000000" w:themeColor="text1"/>
          <w:lang w:val="en-GB" w:eastAsia="ja-JP"/>
        </w:rPr>
        <w:t xml:space="preserve">our view is that the existing requirements from TN can be reused. We have not identified as NTN specific </w:t>
      </w:r>
      <w:r w:rsidR="002414DB" w:rsidRPr="00502099">
        <w:rPr>
          <w:color w:val="000000" w:themeColor="text1"/>
          <w:lang w:val="en-GB" w:eastAsia="ja-JP"/>
        </w:rPr>
        <w:t>impact,</w:t>
      </w:r>
      <w:r w:rsidR="00D64A34" w:rsidRPr="00502099">
        <w:rPr>
          <w:color w:val="000000" w:themeColor="text1"/>
          <w:lang w:val="en-GB" w:eastAsia="ja-JP"/>
        </w:rPr>
        <w:t xml:space="preserve"> and this is also in line with the Rel-17 NTN requirements. </w:t>
      </w:r>
    </w:p>
    <w:p w14:paraId="3EF0D7D8" w14:textId="77777777" w:rsidR="00BC19DA" w:rsidRPr="00502099" w:rsidRDefault="00CA37FE"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Existing </w:t>
      </w:r>
      <w:r w:rsidR="00CA6D24" w:rsidRPr="00502099">
        <w:rPr>
          <w:color w:val="000000" w:themeColor="text1"/>
        </w:rPr>
        <w:t xml:space="preserve">TN </w:t>
      </w:r>
      <w:r w:rsidRPr="00502099">
        <w:rPr>
          <w:color w:val="000000" w:themeColor="text1"/>
        </w:rPr>
        <w:t>RRC connection release with redirection requirements are reused for NTN IoT.</w:t>
      </w:r>
    </w:p>
    <w:p w14:paraId="3FDE2D98" w14:textId="77777777" w:rsidR="00BC19DA" w:rsidRPr="00502099" w:rsidRDefault="00074994"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Existing </w:t>
      </w:r>
      <w:r w:rsidR="00CA6D24" w:rsidRPr="00502099">
        <w:rPr>
          <w:color w:val="000000" w:themeColor="text1"/>
        </w:rPr>
        <w:t xml:space="preserve">TN </w:t>
      </w:r>
      <w:r w:rsidRPr="00502099">
        <w:rPr>
          <w:color w:val="000000" w:themeColor="text1"/>
        </w:rPr>
        <w:t>random access requirements are reused for NTN IoT.</w:t>
      </w:r>
      <w:r w:rsidR="00DC5694" w:rsidRPr="00502099">
        <w:rPr>
          <w:color w:val="000000" w:themeColor="text1"/>
        </w:rPr>
        <w:t>RAN4 shall not reuse the legacy RSRP-based TA validation for PUR in IoT NTN.</w:t>
      </w:r>
    </w:p>
    <w:p w14:paraId="716CDE61" w14:textId="50E6C346" w:rsidR="00C674AF" w:rsidRPr="00502099" w:rsidRDefault="00C674AF"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Existing </w:t>
      </w:r>
      <w:r w:rsidR="00CA6D24" w:rsidRPr="00502099">
        <w:rPr>
          <w:color w:val="000000" w:themeColor="text1"/>
        </w:rPr>
        <w:t xml:space="preserve">TN </w:t>
      </w:r>
      <w:r w:rsidRPr="00502099">
        <w:rPr>
          <w:color w:val="000000" w:themeColor="text1"/>
        </w:rPr>
        <w:t>RRC re-establishment requirements are reused for NTN IoT.</w:t>
      </w:r>
    </w:p>
    <w:p w14:paraId="469E3354" w14:textId="77777777" w:rsidR="0060667A" w:rsidRPr="00502099" w:rsidRDefault="0060667A" w:rsidP="00A52E43">
      <w:pPr>
        <w:pStyle w:val="Proposal"/>
        <w:rPr>
          <w:color w:val="000000" w:themeColor="text1"/>
        </w:rPr>
      </w:pPr>
    </w:p>
    <w:p w14:paraId="615E782A" w14:textId="77777777" w:rsidR="00FE35C8" w:rsidRPr="00502099" w:rsidRDefault="006D093C" w:rsidP="00A52E43">
      <w:pPr>
        <w:pStyle w:val="Proposal"/>
        <w:rPr>
          <w:b w:val="0"/>
          <w:bCs w:val="0"/>
          <w:color w:val="000000" w:themeColor="text1"/>
        </w:rPr>
      </w:pPr>
      <w:r w:rsidRPr="00502099">
        <w:rPr>
          <w:b w:val="0"/>
          <w:bCs w:val="0"/>
          <w:color w:val="000000" w:themeColor="text1"/>
        </w:rPr>
        <w:t>In RRC_CONNECTED state, the network maintains the connection between the serving cell and the UE, e.g. by collecting measurements, and providing the UE with updated configuration when needed.</w:t>
      </w:r>
      <w:r w:rsidR="00375B17" w:rsidRPr="00502099">
        <w:rPr>
          <w:b w:val="0"/>
          <w:bCs w:val="0"/>
          <w:color w:val="000000" w:themeColor="text1"/>
        </w:rPr>
        <w:t xml:space="preserve">  </w:t>
      </w:r>
    </w:p>
    <w:p w14:paraId="70919983" w14:textId="1C0AB214" w:rsidR="005A2462" w:rsidRDefault="00375B17" w:rsidP="00A52E43">
      <w:pPr>
        <w:pStyle w:val="Proposal"/>
        <w:rPr>
          <w:b w:val="0"/>
          <w:bCs w:val="0"/>
        </w:rPr>
      </w:pPr>
      <w:r w:rsidRPr="00502099">
        <w:rPr>
          <w:b w:val="0"/>
          <w:bCs w:val="0"/>
          <w:color w:val="000000" w:themeColor="text1"/>
        </w:rPr>
        <w:t xml:space="preserve">In NTN scenario, the network may lose the ability to maintain the connection between the serving cell and the UE, e.g. due to bad coverage or a failed handover. Under such circumstances, the UE may be trapped in a non-reachable state since the network </w:t>
      </w:r>
      <w:r w:rsidRPr="00375B17">
        <w:rPr>
          <w:b w:val="0"/>
          <w:bCs w:val="0"/>
        </w:rPr>
        <w:t>cannot contact the UE to restore the communication link. In these cases, it may be advantageous for the UE to reset the RRC connection and restart the communication.</w:t>
      </w:r>
    </w:p>
    <w:p w14:paraId="257796F0" w14:textId="53115F5F" w:rsidR="00B8613C" w:rsidRDefault="00FF010F" w:rsidP="00A52E43">
      <w:pPr>
        <w:pStyle w:val="Proposal"/>
        <w:rPr>
          <w:b w:val="0"/>
          <w:bCs w:val="0"/>
        </w:rPr>
      </w:pPr>
      <w:r>
        <w:rPr>
          <w:b w:val="0"/>
          <w:bCs w:val="0"/>
        </w:rPr>
        <w:t>Timing based CHO in NTN facilitate</w:t>
      </w:r>
      <w:r w:rsidR="00FE35C8">
        <w:rPr>
          <w:b w:val="0"/>
          <w:bCs w:val="0"/>
        </w:rPr>
        <w:t>s</w:t>
      </w:r>
      <w:r>
        <w:rPr>
          <w:b w:val="0"/>
          <w:bCs w:val="0"/>
        </w:rPr>
        <w:t xml:space="preserve"> </w:t>
      </w:r>
      <w:r w:rsidR="006915C6">
        <w:rPr>
          <w:b w:val="0"/>
          <w:bCs w:val="0"/>
        </w:rPr>
        <w:t xml:space="preserve">mobility to avoid </w:t>
      </w:r>
      <w:r w:rsidR="006437E2">
        <w:rPr>
          <w:b w:val="0"/>
          <w:bCs w:val="0"/>
        </w:rPr>
        <w:t xml:space="preserve">interruption due to </w:t>
      </w:r>
      <w:r w:rsidR="006915C6">
        <w:rPr>
          <w:b w:val="0"/>
          <w:bCs w:val="0"/>
        </w:rPr>
        <w:t xml:space="preserve">satellites’ s expiry or </w:t>
      </w:r>
      <w:r w:rsidR="00FE35C8">
        <w:rPr>
          <w:b w:val="0"/>
          <w:bCs w:val="0"/>
        </w:rPr>
        <w:t xml:space="preserve">missing. </w:t>
      </w:r>
      <w:r w:rsidR="006915C6">
        <w:rPr>
          <w:b w:val="0"/>
          <w:bCs w:val="0"/>
        </w:rPr>
        <w:t xml:space="preserve"> </w:t>
      </w:r>
      <w:r w:rsidR="00B8613C">
        <w:rPr>
          <w:b w:val="0"/>
          <w:bCs w:val="0"/>
        </w:rPr>
        <w:t xml:space="preserve">Since no </w:t>
      </w:r>
      <w:r w:rsidR="00334460">
        <w:rPr>
          <w:b w:val="0"/>
          <w:bCs w:val="0"/>
        </w:rPr>
        <w:t>connected mode mobility in Io</w:t>
      </w:r>
      <w:r w:rsidR="006437E2">
        <w:rPr>
          <w:b w:val="0"/>
          <w:bCs w:val="0"/>
        </w:rPr>
        <w:t>T, instead</w:t>
      </w:r>
      <w:r>
        <w:rPr>
          <w:b w:val="0"/>
          <w:bCs w:val="0"/>
        </w:rPr>
        <w:t xml:space="preserve"> </w:t>
      </w:r>
      <w:r w:rsidR="0039786B" w:rsidRPr="0039786B">
        <w:rPr>
          <w:b w:val="0"/>
          <w:bCs w:val="0"/>
        </w:rPr>
        <w:t>RRC re-establishment</w:t>
      </w:r>
      <w:r w:rsidR="0039786B">
        <w:rPr>
          <w:b w:val="0"/>
          <w:bCs w:val="0"/>
        </w:rPr>
        <w:t xml:space="preserve"> </w:t>
      </w:r>
      <w:r w:rsidR="00B711DD">
        <w:rPr>
          <w:rFonts w:eastAsia="DengXian" w:hint="eastAsia"/>
          <w:b w:val="0"/>
          <w:bCs w:val="0"/>
        </w:rPr>
        <w:t>u</w:t>
      </w:r>
      <w:r w:rsidR="00B711DD">
        <w:rPr>
          <w:rFonts w:eastAsia="DengXian"/>
          <w:b w:val="0"/>
          <w:bCs w:val="0"/>
        </w:rPr>
        <w:t>ndertake</w:t>
      </w:r>
      <w:r w:rsidR="00914F62">
        <w:rPr>
          <w:rFonts w:eastAsia="DengXian"/>
          <w:b w:val="0"/>
          <w:bCs w:val="0"/>
        </w:rPr>
        <w:t>s</w:t>
      </w:r>
      <w:r w:rsidR="00B711DD">
        <w:rPr>
          <w:rFonts w:eastAsia="DengXian"/>
          <w:b w:val="0"/>
          <w:bCs w:val="0"/>
        </w:rPr>
        <w:t xml:space="preserve"> cell change function in connected mode, </w:t>
      </w:r>
      <w:r w:rsidR="00914F62">
        <w:rPr>
          <w:rFonts w:eastAsia="DengXian"/>
          <w:b w:val="0"/>
          <w:bCs w:val="0"/>
        </w:rPr>
        <w:t>it</w:t>
      </w:r>
      <w:r w:rsidR="00914F62" w:rsidRPr="000804A5">
        <w:rPr>
          <w:rFonts w:eastAsia="DengXian"/>
          <w:b w:val="0"/>
          <w:bCs w:val="0"/>
        </w:rPr>
        <w:t>’</w:t>
      </w:r>
      <w:r w:rsidR="00914F62">
        <w:rPr>
          <w:rFonts w:eastAsia="DengXian"/>
          <w:b w:val="0"/>
          <w:bCs w:val="0"/>
        </w:rPr>
        <w:t xml:space="preserve">s </w:t>
      </w:r>
      <w:r w:rsidR="000804A5">
        <w:rPr>
          <w:rFonts w:eastAsia="DengXian"/>
          <w:b w:val="0"/>
          <w:bCs w:val="0"/>
        </w:rPr>
        <w:t>feasible</w:t>
      </w:r>
      <w:r w:rsidR="00914F62">
        <w:rPr>
          <w:rFonts w:eastAsia="DengXian"/>
          <w:b w:val="0"/>
          <w:bCs w:val="0"/>
        </w:rPr>
        <w:t xml:space="preserve"> to take </w:t>
      </w:r>
      <w:r w:rsidR="00914F62" w:rsidRPr="0039786B">
        <w:rPr>
          <w:b w:val="0"/>
          <w:bCs w:val="0"/>
        </w:rPr>
        <w:t>RRC re-establishment</w:t>
      </w:r>
      <w:r w:rsidR="00914F62">
        <w:rPr>
          <w:b w:val="0"/>
          <w:bCs w:val="0"/>
        </w:rPr>
        <w:t xml:space="preserve"> before expiry of </w:t>
      </w:r>
      <w:r w:rsidR="00914F62" w:rsidRPr="00914F62">
        <w:rPr>
          <w:b w:val="0"/>
          <w:bCs w:val="0"/>
        </w:rPr>
        <w:t>serving cell coverage (Tservice)</w:t>
      </w:r>
      <w:r w:rsidR="00914F62">
        <w:rPr>
          <w:b w:val="0"/>
          <w:bCs w:val="0"/>
        </w:rPr>
        <w:t>.</w:t>
      </w:r>
    </w:p>
    <w:p w14:paraId="29085D0B" w14:textId="77777777" w:rsidR="00FA50E8" w:rsidRDefault="00FA50E8" w:rsidP="00A52E43">
      <w:pPr>
        <w:pStyle w:val="Proposal"/>
        <w:rPr>
          <w:b w:val="0"/>
          <w:bCs w:val="0"/>
        </w:rPr>
      </w:pPr>
    </w:p>
    <w:p w14:paraId="30A1F4E5" w14:textId="1DA594D2" w:rsidR="00914F62" w:rsidRPr="00D26D5D" w:rsidRDefault="00914F62" w:rsidP="0016206D">
      <w:pPr>
        <w:pStyle w:val="Proposal"/>
        <w:numPr>
          <w:ilvl w:val="0"/>
          <w:numId w:val="2"/>
        </w:numPr>
        <w:tabs>
          <w:tab w:val="clear" w:pos="5841"/>
        </w:tabs>
        <w:ind w:left="1701" w:hanging="1701"/>
        <w:rPr>
          <w:rFonts w:eastAsia="Times New Roman" w:cs="Arial"/>
          <w:iCs/>
          <w:lang w:eastAsia="zh-TW"/>
        </w:rPr>
      </w:pPr>
      <w:r w:rsidRPr="00900509">
        <w:t xml:space="preserve">RRC re-establishment </w:t>
      </w:r>
      <w:r w:rsidR="00BA7940" w:rsidRPr="00900509">
        <w:t xml:space="preserve">shall be started </w:t>
      </w:r>
      <w:r w:rsidRPr="00900509">
        <w:t xml:space="preserve">before </w:t>
      </w:r>
      <w:r w:rsidR="00BA7940" w:rsidRPr="00900509">
        <w:t xml:space="preserve">or at the least </w:t>
      </w:r>
      <w:r w:rsidR="00E70311" w:rsidRPr="00900509">
        <w:t xml:space="preserve">at the time instance of </w:t>
      </w:r>
      <w:r w:rsidRPr="00900509">
        <w:t xml:space="preserve">expiry of serving cell coverage </w:t>
      </w:r>
      <w:r w:rsidRPr="00D26D5D">
        <w:rPr>
          <w:b w:val="0"/>
          <w:bCs w:val="0"/>
        </w:rPr>
        <w:t>(</w:t>
      </w:r>
      <w:r w:rsidR="00C43195" w:rsidRPr="00D26D5D">
        <w:rPr>
          <w:b w:val="0"/>
          <w:bCs w:val="0"/>
          <w:i/>
          <w:iCs/>
        </w:rPr>
        <w:t>‘t-S</w:t>
      </w:r>
      <w:r w:rsidRPr="00D26D5D">
        <w:rPr>
          <w:b w:val="0"/>
          <w:bCs w:val="0"/>
          <w:i/>
          <w:iCs/>
        </w:rPr>
        <w:t>ervice</w:t>
      </w:r>
      <w:r w:rsidR="00C43195" w:rsidRPr="00D26D5D">
        <w:rPr>
          <w:b w:val="0"/>
          <w:bCs w:val="0"/>
          <w:i/>
          <w:iCs/>
        </w:rPr>
        <w:t>’</w:t>
      </w:r>
      <w:r w:rsidRPr="00900509">
        <w:t>).</w:t>
      </w:r>
    </w:p>
    <w:p w14:paraId="7474C2A6" w14:textId="318F94F7" w:rsidR="00F46F66" w:rsidRPr="00900509" w:rsidRDefault="00967F19" w:rsidP="00A52E43">
      <w:pPr>
        <w:pStyle w:val="Proposal"/>
        <w:rPr>
          <w:rFonts w:cs="Arial"/>
          <w:b w:val="0"/>
          <w:bCs w:val="0"/>
        </w:rPr>
      </w:pPr>
      <w:r w:rsidRPr="00231C47">
        <w:rPr>
          <w:rFonts w:cs="Arial"/>
          <w:b w:val="0"/>
          <w:bCs w:val="0"/>
        </w:rPr>
        <w:t xml:space="preserve">The legacy </w:t>
      </w:r>
      <w:r w:rsidR="00736F91" w:rsidRPr="00454B38">
        <w:rPr>
          <w:rFonts w:cs="Arial"/>
          <w:b w:val="0"/>
          <w:bCs w:val="0"/>
        </w:rPr>
        <w:t xml:space="preserve">RRC </w:t>
      </w:r>
      <w:r w:rsidR="00972261" w:rsidRPr="00900509">
        <w:rPr>
          <w:rFonts w:cs="Arial"/>
          <w:b w:val="0"/>
          <w:bCs w:val="0"/>
        </w:rPr>
        <w:t xml:space="preserve">connection </w:t>
      </w:r>
      <w:r w:rsidR="00736F91" w:rsidRPr="00900509">
        <w:rPr>
          <w:rFonts w:cs="Arial"/>
          <w:b w:val="0"/>
          <w:bCs w:val="0"/>
        </w:rPr>
        <w:t xml:space="preserve">redirection </w:t>
      </w:r>
      <w:r w:rsidR="00743FCE" w:rsidRPr="00900509">
        <w:rPr>
          <w:rFonts w:cs="Arial"/>
          <w:b w:val="0"/>
          <w:bCs w:val="0"/>
        </w:rPr>
        <w:t xml:space="preserve">to non-anchor carrier </w:t>
      </w:r>
      <w:r w:rsidR="0077622A" w:rsidRPr="00900509">
        <w:rPr>
          <w:rFonts w:cs="Arial"/>
          <w:b w:val="0"/>
          <w:bCs w:val="0"/>
        </w:rPr>
        <w:t xml:space="preserve">for </w:t>
      </w:r>
      <w:r w:rsidR="00AB0BEF" w:rsidRPr="00900509">
        <w:rPr>
          <w:rFonts w:cs="Arial"/>
          <w:b w:val="0"/>
          <w:bCs w:val="0"/>
        </w:rPr>
        <w:t>NB-IoT</w:t>
      </w:r>
      <w:r w:rsidR="0077622A" w:rsidRPr="00900509">
        <w:rPr>
          <w:rFonts w:cs="Arial"/>
          <w:b w:val="0"/>
          <w:bCs w:val="0"/>
        </w:rPr>
        <w:t xml:space="preserve"> is defined </w:t>
      </w:r>
      <w:r w:rsidR="00AB0BEF" w:rsidRPr="00900509">
        <w:rPr>
          <w:rFonts w:cs="Arial"/>
          <w:b w:val="0"/>
          <w:bCs w:val="0"/>
        </w:rPr>
        <w:t xml:space="preserve">under the conditions that the anchor and non-anchor carriers are within 20 MHz and </w:t>
      </w:r>
      <w:r w:rsidR="00AE1399" w:rsidRPr="00900509">
        <w:rPr>
          <w:rFonts w:cs="Arial"/>
          <w:b w:val="0"/>
          <w:bCs w:val="0"/>
        </w:rPr>
        <w:t>are served by the same BS or by the co-located BSs</w:t>
      </w:r>
      <w:r w:rsidR="00927496" w:rsidRPr="00900509">
        <w:rPr>
          <w:rFonts w:cs="Arial"/>
          <w:b w:val="0"/>
          <w:bCs w:val="0"/>
        </w:rPr>
        <w:t xml:space="preserve">. </w:t>
      </w:r>
      <w:r w:rsidR="005328AE" w:rsidRPr="00900509">
        <w:rPr>
          <w:rFonts w:cs="Arial"/>
          <w:b w:val="0"/>
          <w:bCs w:val="0"/>
        </w:rPr>
        <w:t xml:space="preserve">In the </w:t>
      </w:r>
      <w:r w:rsidR="001613CC" w:rsidRPr="00900509">
        <w:rPr>
          <w:rFonts w:cs="Arial"/>
          <w:b w:val="0"/>
          <w:bCs w:val="0"/>
        </w:rPr>
        <w:t>legacy RRC connection redirection to non-anchor carrier</w:t>
      </w:r>
      <w:r w:rsidR="0067050B" w:rsidRPr="00900509">
        <w:rPr>
          <w:rFonts w:cs="Arial"/>
          <w:b w:val="0"/>
          <w:bCs w:val="0"/>
        </w:rPr>
        <w:t xml:space="preserve"> </w:t>
      </w:r>
      <w:r w:rsidR="005328AE" w:rsidRPr="00900509">
        <w:rPr>
          <w:rFonts w:cs="Arial"/>
          <w:b w:val="0"/>
          <w:bCs w:val="0"/>
        </w:rPr>
        <w:t>delay</w:t>
      </w:r>
      <w:r w:rsidR="00487F09" w:rsidRPr="00900509">
        <w:rPr>
          <w:rFonts w:cs="Arial"/>
          <w:b w:val="0"/>
          <w:bCs w:val="0"/>
        </w:rPr>
        <w:t xml:space="preserve">, </w:t>
      </w:r>
      <w:r w:rsidR="001613CC" w:rsidRPr="00900509">
        <w:rPr>
          <w:rFonts w:cs="Arial"/>
          <w:b w:val="0"/>
          <w:bCs w:val="0"/>
        </w:rPr>
        <w:t xml:space="preserve">the </w:t>
      </w:r>
      <w:r w:rsidR="0067050B" w:rsidRPr="00900509">
        <w:rPr>
          <w:rFonts w:cs="Arial"/>
          <w:b w:val="0"/>
          <w:bCs w:val="0"/>
        </w:rPr>
        <w:t xml:space="preserve">UE </w:t>
      </w:r>
      <w:r w:rsidR="00EC69F3" w:rsidRPr="00900509">
        <w:rPr>
          <w:rFonts w:cs="Arial"/>
          <w:b w:val="0"/>
          <w:bCs w:val="0"/>
        </w:rPr>
        <w:t>switch</w:t>
      </w:r>
      <w:r w:rsidR="00487F09" w:rsidRPr="00900509">
        <w:rPr>
          <w:rFonts w:cs="Arial"/>
          <w:b w:val="0"/>
          <w:bCs w:val="0"/>
        </w:rPr>
        <w:t>es</w:t>
      </w:r>
      <w:r w:rsidR="00EC69F3" w:rsidRPr="00900509">
        <w:rPr>
          <w:rFonts w:cs="Arial"/>
          <w:b w:val="0"/>
          <w:bCs w:val="0"/>
        </w:rPr>
        <w:t xml:space="preserve"> to the non-anchor carrier as indicated in the </w:t>
      </w:r>
      <w:r w:rsidR="001613CC" w:rsidRPr="00EA2C22">
        <w:rPr>
          <w:rFonts w:eastAsia="Times New Roman" w:cs="Arial"/>
          <w:b w:val="0"/>
          <w:bCs w:val="0"/>
          <w:szCs w:val="20"/>
          <w:lang w:val="en-GB" w:eastAsia="en-GB"/>
        </w:rPr>
        <w:t xml:space="preserve">IE </w:t>
      </w:r>
      <w:r w:rsidR="001613CC" w:rsidRPr="00EA2C22">
        <w:rPr>
          <w:rFonts w:eastAsia="Times New Roman" w:cs="Arial"/>
          <w:b w:val="0"/>
          <w:bCs w:val="0"/>
          <w:i/>
          <w:szCs w:val="20"/>
          <w:lang w:val="en-GB" w:eastAsia="en-GB"/>
        </w:rPr>
        <w:t>DL-Bitmap</w:t>
      </w:r>
      <w:r w:rsidR="001613CC" w:rsidRPr="00EA2C22">
        <w:rPr>
          <w:rFonts w:eastAsia="Times New Roman" w:cs="Arial"/>
          <w:b w:val="0"/>
          <w:bCs w:val="0"/>
          <w:i/>
          <w:noProof/>
          <w:szCs w:val="20"/>
          <w:lang w:val="en-GB" w:eastAsia="en-GB"/>
        </w:rPr>
        <w:t>-NB</w:t>
      </w:r>
      <w:r w:rsidR="001613CC" w:rsidRPr="00EA2C22">
        <w:rPr>
          <w:rFonts w:eastAsia="Times New Roman" w:cs="Arial"/>
          <w:b w:val="0"/>
          <w:bCs w:val="0"/>
          <w:szCs w:val="20"/>
          <w:lang w:val="en-GB" w:eastAsia="en-GB"/>
        </w:rPr>
        <w:t xml:space="preserve"> </w:t>
      </w:r>
      <w:r w:rsidR="00D71C3B">
        <w:rPr>
          <w:rFonts w:cs="Arial"/>
          <w:b w:val="0"/>
          <w:bCs w:val="0"/>
        </w:rPr>
        <w:t xml:space="preserve">to </w:t>
      </w:r>
      <w:r w:rsidR="001613CC" w:rsidRPr="00EA2C22">
        <w:rPr>
          <w:rFonts w:cs="Arial"/>
          <w:b w:val="0"/>
          <w:bCs w:val="0"/>
        </w:rPr>
        <w:t xml:space="preserve">acquire the UL grant from </w:t>
      </w:r>
      <w:r w:rsidR="0067050B" w:rsidRPr="00231C47">
        <w:rPr>
          <w:rFonts w:cs="Arial"/>
          <w:b w:val="0"/>
          <w:bCs w:val="0"/>
        </w:rPr>
        <w:t xml:space="preserve">the target </w:t>
      </w:r>
      <w:r w:rsidR="00D71C3B">
        <w:rPr>
          <w:rFonts w:cs="Arial"/>
          <w:b w:val="0"/>
          <w:bCs w:val="0"/>
        </w:rPr>
        <w:t xml:space="preserve">non-anchor carrier and use the UL grant to send NPUSCH in </w:t>
      </w:r>
      <w:r w:rsidR="00D71C3B" w:rsidRPr="00A14EB4">
        <w:rPr>
          <w:rFonts w:cs="Arial"/>
          <w:b w:val="0"/>
          <w:bCs w:val="0"/>
        </w:rPr>
        <w:t xml:space="preserve">the target </w:t>
      </w:r>
      <w:r w:rsidR="00D71C3B">
        <w:rPr>
          <w:rFonts w:cs="Arial"/>
          <w:b w:val="0"/>
          <w:bCs w:val="0"/>
        </w:rPr>
        <w:t xml:space="preserve">non-anchor carrier. </w:t>
      </w:r>
      <w:r w:rsidR="003508E7" w:rsidRPr="00231C47">
        <w:rPr>
          <w:rFonts w:cs="Arial"/>
          <w:b w:val="0"/>
          <w:bCs w:val="0"/>
        </w:rPr>
        <w:t xml:space="preserve">In our view the same principle can be reused for </w:t>
      </w:r>
      <w:r w:rsidR="00D71C3B" w:rsidRPr="00A14EB4">
        <w:rPr>
          <w:rFonts w:cs="Arial"/>
          <w:b w:val="0"/>
          <w:bCs w:val="0"/>
        </w:rPr>
        <w:t xml:space="preserve">RRC connection redirection to non-anchor carrier </w:t>
      </w:r>
      <w:r w:rsidR="003508E7" w:rsidRPr="00231C47">
        <w:rPr>
          <w:rFonts w:cs="Arial"/>
          <w:b w:val="0"/>
          <w:bCs w:val="0"/>
        </w:rPr>
        <w:t xml:space="preserve">for </w:t>
      </w:r>
      <w:r w:rsidR="003508E7" w:rsidRPr="00454B38">
        <w:rPr>
          <w:rFonts w:cs="Arial"/>
          <w:b w:val="0"/>
          <w:bCs w:val="0"/>
        </w:rPr>
        <w:t xml:space="preserve">satellite access. </w:t>
      </w:r>
      <w:r w:rsidR="00B26924" w:rsidRPr="00900509">
        <w:rPr>
          <w:rFonts w:cs="Arial"/>
          <w:b w:val="0"/>
          <w:bCs w:val="0"/>
        </w:rPr>
        <w:t xml:space="preserve">Furthermore, </w:t>
      </w:r>
      <w:r w:rsidR="00486981">
        <w:rPr>
          <w:rFonts w:cs="Arial"/>
          <w:b w:val="0"/>
          <w:bCs w:val="0"/>
        </w:rPr>
        <w:t>the</w:t>
      </w:r>
      <w:r w:rsidR="00B26924">
        <w:rPr>
          <w:rFonts w:cs="Arial"/>
          <w:b w:val="0"/>
        </w:rPr>
        <w:t xml:space="preserve"> </w:t>
      </w:r>
      <w:r w:rsidR="00B26924" w:rsidRPr="00900509">
        <w:rPr>
          <w:rFonts w:cs="Arial"/>
          <w:b w:val="0"/>
          <w:bCs w:val="0"/>
        </w:rPr>
        <w:t xml:space="preserve">requirements can be applied </w:t>
      </w:r>
      <w:r w:rsidR="00486981">
        <w:rPr>
          <w:rFonts w:cs="Arial"/>
          <w:b w:val="0"/>
          <w:bCs w:val="0"/>
        </w:rPr>
        <w:t>only when</w:t>
      </w:r>
      <w:r w:rsidR="002A0668" w:rsidRPr="00900509">
        <w:rPr>
          <w:rFonts w:cs="Arial"/>
          <w:b w:val="0"/>
          <w:bCs w:val="0"/>
        </w:rPr>
        <w:t xml:space="preserve"> the </w:t>
      </w:r>
      <w:r w:rsidR="00486981" w:rsidRPr="00A14EB4">
        <w:rPr>
          <w:rFonts w:cs="Arial"/>
          <w:b w:val="0"/>
          <w:bCs w:val="0"/>
        </w:rPr>
        <w:t>anchor carrier</w:t>
      </w:r>
      <w:r w:rsidR="002A0668" w:rsidRPr="00A14EB4">
        <w:rPr>
          <w:rFonts w:cs="Arial"/>
          <w:b w:val="0"/>
        </w:rPr>
        <w:t xml:space="preserve"> </w:t>
      </w:r>
      <w:r w:rsidR="002A0668">
        <w:rPr>
          <w:rFonts w:cs="Arial"/>
          <w:b w:val="0"/>
        </w:rPr>
        <w:t xml:space="preserve">and the target </w:t>
      </w:r>
      <w:r w:rsidR="00486981" w:rsidRPr="00A14EB4">
        <w:rPr>
          <w:rFonts w:cs="Arial"/>
          <w:b w:val="0"/>
          <w:bCs w:val="0"/>
        </w:rPr>
        <w:t>non-anchor carrier</w:t>
      </w:r>
      <w:r w:rsidR="002A0668" w:rsidRPr="00A14EB4">
        <w:rPr>
          <w:rFonts w:cs="Arial"/>
          <w:b w:val="0"/>
        </w:rPr>
        <w:t xml:space="preserve"> </w:t>
      </w:r>
      <w:r w:rsidR="002A0668" w:rsidRPr="00900509">
        <w:rPr>
          <w:rFonts w:cs="Arial"/>
          <w:b w:val="0"/>
          <w:bCs w:val="0"/>
        </w:rPr>
        <w:t>are served by the same satellite access nodes.</w:t>
      </w:r>
    </w:p>
    <w:p w14:paraId="76A85D99" w14:textId="77777777" w:rsidR="00515415" w:rsidRDefault="002A0668" w:rsidP="0016206D">
      <w:pPr>
        <w:pStyle w:val="Proposal"/>
        <w:numPr>
          <w:ilvl w:val="0"/>
          <w:numId w:val="2"/>
        </w:numPr>
        <w:tabs>
          <w:tab w:val="clear" w:pos="5841"/>
        </w:tabs>
        <w:ind w:left="1701" w:hanging="1701"/>
      </w:pPr>
      <w:r>
        <w:t xml:space="preserve">The </w:t>
      </w:r>
      <w:r w:rsidR="00095406">
        <w:t xml:space="preserve">legacy </w:t>
      </w:r>
      <w:r w:rsidRPr="00A14EB4">
        <w:t xml:space="preserve">RRC </w:t>
      </w:r>
      <w:r w:rsidR="000933A2">
        <w:t xml:space="preserve">redirection </w:t>
      </w:r>
      <w:r w:rsidR="00486981" w:rsidRPr="00486981">
        <w:t xml:space="preserve">to non-anchor carrier </w:t>
      </w:r>
      <w:r w:rsidR="000933A2">
        <w:t xml:space="preserve">delay requirements for </w:t>
      </w:r>
      <w:r w:rsidR="00486981">
        <w:t>NB-IoT</w:t>
      </w:r>
      <w:r w:rsidR="000933A2">
        <w:t xml:space="preserve"> can be reused for </w:t>
      </w:r>
      <w:r w:rsidR="000933A2" w:rsidRPr="00A14EB4">
        <w:t xml:space="preserve">RRC </w:t>
      </w:r>
      <w:r w:rsidR="000933A2">
        <w:t xml:space="preserve">redirection </w:t>
      </w:r>
      <w:r w:rsidR="00742975" w:rsidRPr="00486981">
        <w:t xml:space="preserve">to non-anchor carrier </w:t>
      </w:r>
      <w:r w:rsidR="000933A2">
        <w:t>delay requirements</w:t>
      </w:r>
      <w:r w:rsidR="00095406">
        <w:t xml:space="preserve"> for </w:t>
      </w:r>
      <w:r w:rsidR="00742975">
        <w:t>NB-IoT</w:t>
      </w:r>
      <w:r w:rsidR="00095406">
        <w:t xml:space="preserve"> with satellite access. </w:t>
      </w:r>
    </w:p>
    <w:p w14:paraId="37FA924C" w14:textId="1C0C67E0" w:rsidR="006B1B36" w:rsidRPr="00502099" w:rsidRDefault="00BA70A6" w:rsidP="0016206D">
      <w:pPr>
        <w:pStyle w:val="Proposal"/>
        <w:numPr>
          <w:ilvl w:val="0"/>
          <w:numId w:val="2"/>
        </w:numPr>
        <w:tabs>
          <w:tab w:val="clear" w:pos="5841"/>
        </w:tabs>
        <w:ind w:left="1701" w:hanging="1701"/>
        <w:rPr>
          <w:color w:val="000000" w:themeColor="text1"/>
        </w:rPr>
      </w:pPr>
      <w:r>
        <w:t>The</w:t>
      </w:r>
      <w:r w:rsidR="00742975" w:rsidRPr="00742975">
        <w:t xml:space="preserve"> </w:t>
      </w:r>
      <w:r w:rsidR="00742975" w:rsidRPr="00A14EB4">
        <w:t>RRC</w:t>
      </w:r>
      <w:r w:rsidR="00742975">
        <w:t xml:space="preserve"> </w:t>
      </w:r>
      <w:r w:rsidR="00742975" w:rsidRPr="00486981">
        <w:t xml:space="preserve">redirection to non-anchor carrier </w:t>
      </w:r>
      <w:r w:rsidR="00742975">
        <w:t xml:space="preserve">delay requirements for NB-IoT with satellite are applicable provided that the </w:t>
      </w:r>
      <w:r w:rsidR="00742975" w:rsidRPr="00742975">
        <w:t>anchor and the target non-anchor carrier</w:t>
      </w:r>
      <w:r w:rsidR="00742975">
        <w:t>s</w:t>
      </w:r>
      <w:r w:rsidR="00742975" w:rsidRPr="00742975">
        <w:t xml:space="preserve"> </w:t>
      </w:r>
      <w:r w:rsidR="00742975" w:rsidRPr="00502099">
        <w:rPr>
          <w:color w:val="000000" w:themeColor="text1"/>
        </w:rPr>
        <w:t xml:space="preserve">are served by the same satellite access node and </w:t>
      </w:r>
      <w:r w:rsidR="00A708B7" w:rsidRPr="00502099">
        <w:rPr>
          <w:color w:val="000000" w:themeColor="text1"/>
        </w:rPr>
        <w:t xml:space="preserve">frequencies of </w:t>
      </w:r>
      <w:r w:rsidR="00742975" w:rsidRPr="00502099">
        <w:rPr>
          <w:color w:val="000000" w:themeColor="text1"/>
        </w:rPr>
        <w:t>the anchor and the target non-anchor carrier</w:t>
      </w:r>
      <w:r w:rsidR="00A708B7" w:rsidRPr="00502099">
        <w:rPr>
          <w:color w:val="000000" w:themeColor="text1"/>
        </w:rPr>
        <w:t>s</w:t>
      </w:r>
      <w:r w:rsidR="00742975" w:rsidRPr="00502099">
        <w:rPr>
          <w:color w:val="000000" w:themeColor="text1"/>
        </w:rPr>
        <w:t xml:space="preserve"> are within 20 MHz</w:t>
      </w:r>
      <w:r w:rsidR="006B1B36" w:rsidRPr="00502099">
        <w:rPr>
          <w:color w:val="000000" w:themeColor="text1"/>
        </w:rPr>
        <w:t>.</w:t>
      </w:r>
    </w:p>
    <w:p w14:paraId="22CB443B" w14:textId="77777777" w:rsidR="006B1B36" w:rsidRPr="00502099" w:rsidRDefault="006B1B36" w:rsidP="006B1B36">
      <w:pPr>
        <w:pStyle w:val="Proposal"/>
        <w:rPr>
          <w:b w:val="0"/>
          <w:bCs w:val="0"/>
          <w:color w:val="000000" w:themeColor="text1"/>
        </w:rPr>
      </w:pPr>
      <w:r w:rsidRPr="00502099">
        <w:rPr>
          <w:b w:val="0"/>
          <w:bCs w:val="0"/>
          <w:color w:val="000000" w:themeColor="text1"/>
        </w:rPr>
        <w:t>The legacy RRC connection release with redirection procedure for UE category M1 is defined for CE Mode A. It requires the UE to identify the target cell and acquire the SI (if not provided by the serving cell) in the RRC release message before sending the RA to the target cell. In our view the same principle can be reused for redirection procedure for UE category M1 for satellite access. The requirements should apply only for UE category M1 supporting FDD or HD-FDD operation. Furthermore, same requirements can be applied regardless of whether the serving and the target cells are served by the same or by different satellite access nodes.</w:t>
      </w:r>
    </w:p>
    <w:p w14:paraId="1B8220ED" w14:textId="77777777" w:rsidR="002C25E3" w:rsidRPr="00502099" w:rsidRDefault="006B1B36"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The legacy RRC connection release with redirection delay requirements for UE category M1 in CE Mode A can be reused for RRC connection release with </w:t>
      </w:r>
      <w:r w:rsidRPr="00502099">
        <w:rPr>
          <w:color w:val="000000" w:themeColor="text1"/>
        </w:rPr>
        <w:lastRenderedPageBreak/>
        <w:t xml:space="preserve">redirection delay requirements for UE category M1 in CE Mode A with satellite access. </w:t>
      </w:r>
    </w:p>
    <w:p w14:paraId="2286DA34" w14:textId="65E19E48" w:rsidR="00095406" w:rsidRPr="00502099" w:rsidRDefault="006B1B36" w:rsidP="0016206D">
      <w:pPr>
        <w:pStyle w:val="Proposal"/>
        <w:numPr>
          <w:ilvl w:val="0"/>
          <w:numId w:val="2"/>
        </w:numPr>
        <w:tabs>
          <w:tab w:val="clear" w:pos="5841"/>
        </w:tabs>
        <w:ind w:left="1701" w:hanging="1701"/>
        <w:rPr>
          <w:color w:val="000000" w:themeColor="text1"/>
          <w:lang w:val="en-GB"/>
        </w:rPr>
      </w:pPr>
      <w:r w:rsidRPr="00502099">
        <w:rPr>
          <w:color w:val="000000" w:themeColor="text1"/>
        </w:rPr>
        <w:t xml:space="preserve">The same RRC connection release with redirection delay requirements can be applied regardless of whether the serving and the target cells are served by the same or by different satellite access nodes </w:t>
      </w:r>
      <w:r w:rsidR="00095406" w:rsidRPr="00502099">
        <w:rPr>
          <w:color w:val="000000" w:themeColor="text1"/>
        </w:rPr>
        <w:t xml:space="preserve"> </w:t>
      </w:r>
    </w:p>
    <w:p w14:paraId="4D592A6D" w14:textId="406FF083" w:rsidR="00937CAB" w:rsidRPr="00502099" w:rsidRDefault="00AD0630" w:rsidP="00A52E43">
      <w:pPr>
        <w:pStyle w:val="Proposal"/>
        <w:rPr>
          <w:color w:val="000000" w:themeColor="text1"/>
          <w:u w:val="single"/>
        </w:rPr>
      </w:pPr>
      <w:r w:rsidRPr="00502099">
        <w:rPr>
          <w:color w:val="000000" w:themeColor="text1"/>
          <w:u w:val="single"/>
        </w:rPr>
        <w:t>Handover</w:t>
      </w:r>
    </w:p>
    <w:p w14:paraId="118D8BAD" w14:textId="6E583FC1" w:rsidR="00AD0630" w:rsidRPr="00502099" w:rsidRDefault="005935E6" w:rsidP="00A52E43">
      <w:pPr>
        <w:pStyle w:val="Proposal"/>
        <w:rPr>
          <w:b w:val="0"/>
          <w:bCs w:val="0"/>
          <w:color w:val="000000" w:themeColor="text1"/>
        </w:rPr>
      </w:pPr>
      <w:r w:rsidRPr="00502099">
        <w:rPr>
          <w:b w:val="0"/>
          <w:bCs w:val="0"/>
          <w:color w:val="000000" w:themeColor="text1"/>
        </w:rPr>
        <w:t>Whether to support condition</w:t>
      </w:r>
      <w:r w:rsidR="005544B0" w:rsidRPr="00502099">
        <w:rPr>
          <w:b w:val="0"/>
          <w:bCs w:val="0"/>
          <w:color w:val="000000" w:themeColor="text1"/>
        </w:rPr>
        <w:t>al</w:t>
      </w:r>
      <w:r w:rsidRPr="00502099">
        <w:rPr>
          <w:b w:val="0"/>
          <w:bCs w:val="0"/>
          <w:color w:val="000000" w:themeColor="text1"/>
        </w:rPr>
        <w:t xml:space="preserve"> handover for category M1 UEs remain ope</w:t>
      </w:r>
      <w:r w:rsidR="002538BD" w:rsidRPr="00502099">
        <w:rPr>
          <w:b w:val="0"/>
          <w:bCs w:val="0"/>
          <w:color w:val="000000" w:themeColor="text1"/>
        </w:rPr>
        <w:t>n as follows [1]:</w:t>
      </w:r>
    </w:p>
    <w:tbl>
      <w:tblPr>
        <w:tblStyle w:val="TableGrid"/>
        <w:tblW w:w="0" w:type="auto"/>
        <w:tblLook w:val="04A0" w:firstRow="1" w:lastRow="0" w:firstColumn="1" w:lastColumn="0" w:noHBand="0" w:noVBand="1"/>
      </w:tblPr>
      <w:tblGrid>
        <w:gridCol w:w="9629"/>
      </w:tblGrid>
      <w:tr w:rsidR="002538BD" w:rsidRPr="00502099" w14:paraId="59F6095D" w14:textId="77777777" w:rsidTr="002538BD">
        <w:tc>
          <w:tcPr>
            <w:tcW w:w="9629" w:type="dxa"/>
          </w:tcPr>
          <w:p w14:paraId="1229C70E" w14:textId="77777777" w:rsidR="002538BD" w:rsidRPr="00502099" w:rsidRDefault="002538BD" w:rsidP="002538BD">
            <w:pPr>
              <w:pStyle w:val="Heading4"/>
              <w:ind w:left="0" w:firstLine="0"/>
              <w:outlineLvl w:val="3"/>
              <w:rPr>
                <w:rFonts w:eastAsia="SimSun"/>
                <w:color w:val="000000" w:themeColor="text1"/>
                <w:szCs w:val="18"/>
                <w:lang w:val="sv-SE" w:eastAsia="zh-CN"/>
              </w:rPr>
            </w:pPr>
            <w:r w:rsidRPr="00502099">
              <w:rPr>
                <w:rFonts w:eastAsia="SimSun"/>
                <w:color w:val="000000" w:themeColor="text1"/>
              </w:rPr>
              <w:t>__Issue 3-</w:t>
            </w:r>
            <w:r w:rsidRPr="00502099">
              <w:rPr>
                <w:rFonts w:eastAsia="PMingLiU"/>
                <w:color w:val="000000" w:themeColor="text1"/>
                <w:lang w:eastAsia="zh-TW"/>
              </w:rPr>
              <w:t>4</w:t>
            </w:r>
            <w:r w:rsidRPr="00502099">
              <w:rPr>
                <w:rFonts w:eastAsia="SimSun"/>
                <w:color w:val="000000" w:themeColor="text1"/>
              </w:rPr>
              <w:t>:</w:t>
            </w:r>
            <w:r w:rsidRPr="00502099">
              <w:rPr>
                <w:rFonts w:eastAsia="SimSun"/>
                <w:color w:val="000000" w:themeColor="text1"/>
              </w:rPr>
              <w:tab/>
              <w:t>M1, CHO requirements</w:t>
            </w:r>
          </w:p>
          <w:p w14:paraId="67C62F63" w14:textId="77777777" w:rsidR="002538BD" w:rsidRPr="00502099" w:rsidRDefault="002538BD" w:rsidP="0016206D">
            <w:pPr>
              <w:pStyle w:val="ListParagraph"/>
              <w:numPr>
                <w:ilvl w:val="0"/>
                <w:numId w:val="20"/>
              </w:numPr>
              <w:autoSpaceDN w:val="0"/>
              <w:spacing w:after="120" w:line="240" w:lineRule="auto"/>
              <w:ind w:left="930"/>
              <w:rPr>
                <w:rFonts w:eastAsia="MS Mincho"/>
                <w:i/>
                <w:color w:val="000000" w:themeColor="text1"/>
              </w:rPr>
            </w:pPr>
            <w:r w:rsidRPr="00502099">
              <w:rPr>
                <w:color w:val="000000" w:themeColor="text1"/>
                <w:szCs w:val="24"/>
                <w:lang w:eastAsia="zh-CN"/>
              </w:rPr>
              <w:t xml:space="preserve">Option </w:t>
            </w:r>
            <w:r w:rsidRPr="00502099">
              <w:rPr>
                <w:rFonts w:eastAsia="PMingLiU"/>
                <w:color w:val="000000" w:themeColor="text1"/>
                <w:szCs w:val="24"/>
                <w:lang w:eastAsia="zh-TW"/>
              </w:rPr>
              <w:t>1</w:t>
            </w:r>
            <w:r w:rsidRPr="00502099">
              <w:rPr>
                <w:color w:val="000000" w:themeColor="text1"/>
                <w:szCs w:val="24"/>
                <w:lang w:eastAsia="zh-CN"/>
              </w:rPr>
              <w:t>:</w:t>
            </w:r>
            <w:r w:rsidRPr="00502099">
              <w:rPr>
                <w:color w:val="000000" w:themeColor="text1"/>
              </w:rPr>
              <w:t xml:space="preserve"> define CHO requirements for M1 in NTN</w:t>
            </w:r>
          </w:p>
          <w:p w14:paraId="3914D7DC" w14:textId="77777777" w:rsidR="002538BD" w:rsidRPr="00502099" w:rsidRDefault="002538BD" w:rsidP="0016206D">
            <w:pPr>
              <w:pStyle w:val="ListParagraph"/>
              <w:numPr>
                <w:ilvl w:val="1"/>
                <w:numId w:val="20"/>
              </w:numPr>
              <w:autoSpaceDN w:val="0"/>
              <w:spacing w:after="120" w:line="240" w:lineRule="auto"/>
              <w:ind w:left="1650"/>
              <w:rPr>
                <w:i/>
                <w:color w:val="000000" w:themeColor="text1"/>
              </w:rPr>
            </w:pPr>
            <w:r w:rsidRPr="00502099">
              <w:rPr>
                <w:color w:val="000000" w:themeColor="text1"/>
              </w:rPr>
              <w:t>FFS no need to consider time or location based CHO</w:t>
            </w:r>
          </w:p>
          <w:p w14:paraId="10D51792" w14:textId="73F06477" w:rsidR="002538BD" w:rsidRPr="00502099" w:rsidRDefault="002538BD" w:rsidP="0016206D">
            <w:pPr>
              <w:pStyle w:val="ListParagraph"/>
              <w:numPr>
                <w:ilvl w:val="0"/>
                <w:numId w:val="20"/>
              </w:numPr>
              <w:autoSpaceDN w:val="0"/>
              <w:spacing w:after="120" w:line="240" w:lineRule="auto"/>
              <w:ind w:left="930"/>
              <w:rPr>
                <w:color w:val="000000" w:themeColor="text1"/>
              </w:rPr>
            </w:pPr>
            <w:r w:rsidRPr="00502099">
              <w:rPr>
                <w:color w:val="000000" w:themeColor="text1"/>
                <w:szCs w:val="24"/>
                <w:lang w:eastAsia="zh-CN"/>
              </w:rPr>
              <w:t xml:space="preserve">Option </w:t>
            </w:r>
            <w:r w:rsidRPr="00502099">
              <w:rPr>
                <w:rFonts w:eastAsia="PMingLiU"/>
                <w:color w:val="000000" w:themeColor="text1"/>
                <w:szCs w:val="24"/>
                <w:lang w:eastAsia="zh-TW"/>
              </w:rPr>
              <w:t>2</w:t>
            </w:r>
            <w:r w:rsidRPr="00502099">
              <w:rPr>
                <w:color w:val="000000" w:themeColor="text1"/>
                <w:szCs w:val="24"/>
                <w:lang w:eastAsia="zh-CN"/>
              </w:rPr>
              <w:t>:</w:t>
            </w:r>
            <w:r w:rsidRPr="00502099">
              <w:rPr>
                <w:color w:val="000000" w:themeColor="text1"/>
              </w:rPr>
              <w:t xml:space="preserve"> CHO requirements for M1 should be introduced first in the Terrestrial IoT</w:t>
            </w:r>
          </w:p>
        </w:tc>
      </w:tr>
    </w:tbl>
    <w:p w14:paraId="786B1EBF" w14:textId="77777777" w:rsidR="002538BD" w:rsidRPr="00502099" w:rsidRDefault="002538BD" w:rsidP="00A52E43">
      <w:pPr>
        <w:pStyle w:val="Proposal"/>
        <w:rPr>
          <w:b w:val="0"/>
          <w:bCs w:val="0"/>
          <w:color w:val="000000" w:themeColor="text1"/>
        </w:rPr>
      </w:pPr>
    </w:p>
    <w:p w14:paraId="7F773415" w14:textId="6BF2D601" w:rsidR="006C6D1E" w:rsidRPr="00502099" w:rsidRDefault="00B54271" w:rsidP="00A52E43">
      <w:pPr>
        <w:pStyle w:val="Proposal"/>
        <w:rPr>
          <w:b w:val="0"/>
          <w:bCs w:val="0"/>
          <w:color w:val="000000" w:themeColor="text1"/>
        </w:rPr>
      </w:pPr>
      <w:r w:rsidRPr="00502099">
        <w:rPr>
          <w:b w:val="0"/>
          <w:bCs w:val="0"/>
          <w:color w:val="000000" w:themeColor="text1"/>
        </w:rPr>
        <w:t xml:space="preserve">It is recalled that </w:t>
      </w:r>
      <w:r w:rsidR="004C2E46" w:rsidRPr="00502099">
        <w:rPr>
          <w:b w:val="0"/>
          <w:bCs w:val="0"/>
          <w:color w:val="000000" w:themeColor="text1"/>
        </w:rPr>
        <w:t xml:space="preserve">requirements for </w:t>
      </w:r>
      <w:r w:rsidR="00A57CFC" w:rsidRPr="00502099">
        <w:rPr>
          <w:b w:val="0"/>
          <w:bCs w:val="0"/>
          <w:color w:val="000000" w:themeColor="text1"/>
        </w:rPr>
        <w:t>condition</w:t>
      </w:r>
      <w:r w:rsidR="004C2E46" w:rsidRPr="00502099">
        <w:rPr>
          <w:b w:val="0"/>
          <w:bCs w:val="0"/>
          <w:color w:val="000000" w:themeColor="text1"/>
        </w:rPr>
        <w:t>al</w:t>
      </w:r>
      <w:r w:rsidR="00A57CFC" w:rsidRPr="00502099">
        <w:rPr>
          <w:b w:val="0"/>
          <w:bCs w:val="0"/>
          <w:color w:val="000000" w:themeColor="text1"/>
        </w:rPr>
        <w:t xml:space="preserve"> handover is </w:t>
      </w:r>
      <w:r w:rsidR="004C2E46" w:rsidRPr="00502099">
        <w:rPr>
          <w:b w:val="0"/>
          <w:bCs w:val="0"/>
          <w:color w:val="000000" w:themeColor="text1"/>
        </w:rPr>
        <w:t xml:space="preserve">currently missing for </w:t>
      </w:r>
      <w:r w:rsidR="00A57CFC" w:rsidRPr="00502099">
        <w:rPr>
          <w:b w:val="0"/>
          <w:bCs w:val="0"/>
          <w:color w:val="000000" w:themeColor="text1"/>
        </w:rPr>
        <w:t xml:space="preserve">eMTC in TN networks. </w:t>
      </w:r>
      <w:r w:rsidR="00393E56" w:rsidRPr="00502099">
        <w:rPr>
          <w:b w:val="0"/>
          <w:bCs w:val="0"/>
          <w:color w:val="000000" w:themeColor="text1"/>
        </w:rPr>
        <w:t xml:space="preserve">Whether to define CHO requirements for eMTC in NTN remains open. </w:t>
      </w:r>
      <w:r w:rsidR="00C85BCA" w:rsidRPr="00502099">
        <w:rPr>
          <w:b w:val="0"/>
          <w:bCs w:val="0"/>
          <w:color w:val="000000" w:themeColor="text1"/>
        </w:rPr>
        <w:t>Condition</w:t>
      </w:r>
      <w:r w:rsidR="00AD5E42" w:rsidRPr="00502099">
        <w:rPr>
          <w:b w:val="0"/>
          <w:bCs w:val="0"/>
          <w:color w:val="000000" w:themeColor="text1"/>
        </w:rPr>
        <w:t>al</w:t>
      </w:r>
      <w:r w:rsidR="00C85BCA" w:rsidRPr="00502099">
        <w:rPr>
          <w:b w:val="0"/>
          <w:bCs w:val="0"/>
          <w:color w:val="000000" w:themeColor="text1"/>
        </w:rPr>
        <w:t xml:space="preserve"> handover can be based on RSR</w:t>
      </w:r>
      <w:r w:rsidR="00A578BC" w:rsidRPr="00502099">
        <w:rPr>
          <w:b w:val="0"/>
          <w:bCs w:val="0"/>
          <w:color w:val="000000" w:themeColor="text1"/>
        </w:rPr>
        <w:t>P</w:t>
      </w:r>
      <w:r w:rsidR="00A37F27" w:rsidRPr="00502099">
        <w:rPr>
          <w:b w:val="0"/>
          <w:bCs w:val="0"/>
          <w:color w:val="000000" w:themeColor="text1"/>
        </w:rPr>
        <w:t xml:space="preserve">, </w:t>
      </w:r>
      <w:r w:rsidR="00C85BCA" w:rsidRPr="00502099">
        <w:rPr>
          <w:b w:val="0"/>
          <w:bCs w:val="0"/>
          <w:color w:val="000000" w:themeColor="text1"/>
        </w:rPr>
        <w:t>time and location information.</w:t>
      </w:r>
      <w:r w:rsidR="00152413" w:rsidRPr="00502099">
        <w:rPr>
          <w:b w:val="0"/>
          <w:bCs w:val="0"/>
          <w:color w:val="000000" w:themeColor="text1"/>
        </w:rPr>
        <w:t xml:space="preserve"> </w:t>
      </w:r>
      <w:r w:rsidR="006C6D1E" w:rsidRPr="00502099">
        <w:rPr>
          <w:b w:val="0"/>
          <w:bCs w:val="0"/>
          <w:color w:val="000000" w:themeColor="text1"/>
        </w:rPr>
        <w:t>Given that</w:t>
      </w:r>
      <w:r w:rsidR="00CA2533" w:rsidRPr="00502099">
        <w:rPr>
          <w:b w:val="0"/>
          <w:bCs w:val="0"/>
          <w:color w:val="000000" w:themeColor="text1"/>
        </w:rPr>
        <w:t xml:space="preserve"> IoT NTN can be operated by different types of satellites that have different characteristics, </w:t>
      </w:r>
      <w:r w:rsidR="005E322C" w:rsidRPr="00502099">
        <w:rPr>
          <w:b w:val="0"/>
          <w:bCs w:val="0"/>
          <w:color w:val="000000" w:themeColor="text1"/>
        </w:rPr>
        <w:t xml:space="preserve">timing and/or </w:t>
      </w:r>
      <w:r w:rsidR="00CE4E59" w:rsidRPr="00502099">
        <w:rPr>
          <w:b w:val="0"/>
          <w:bCs w:val="0"/>
          <w:color w:val="000000" w:themeColor="text1"/>
        </w:rPr>
        <w:t>location-based</w:t>
      </w:r>
      <w:r w:rsidR="005E322C" w:rsidRPr="00502099">
        <w:rPr>
          <w:b w:val="0"/>
          <w:bCs w:val="0"/>
          <w:color w:val="000000" w:themeColor="text1"/>
        </w:rPr>
        <w:t xml:space="preserve"> CHO handover can be beneficial. </w:t>
      </w:r>
    </w:p>
    <w:p w14:paraId="27980D5F" w14:textId="37A44946" w:rsidR="00152413" w:rsidRPr="00502099" w:rsidRDefault="00152413" w:rsidP="00A52E43">
      <w:pPr>
        <w:pStyle w:val="Proposal"/>
        <w:rPr>
          <w:b w:val="0"/>
          <w:bCs w:val="0"/>
          <w:color w:val="000000" w:themeColor="text1"/>
        </w:rPr>
      </w:pPr>
    </w:p>
    <w:p w14:paraId="67F8C932" w14:textId="14F614CF" w:rsidR="00F11DAB" w:rsidRPr="00502099" w:rsidRDefault="003B76C2" w:rsidP="0016206D">
      <w:pPr>
        <w:pStyle w:val="Proposal"/>
        <w:numPr>
          <w:ilvl w:val="0"/>
          <w:numId w:val="2"/>
        </w:numPr>
        <w:tabs>
          <w:tab w:val="clear" w:pos="5841"/>
        </w:tabs>
        <w:ind w:left="1701" w:hanging="1701"/>
        <w:rPr>
          <w:color w:val="000000" w:themeColor="text1"/>
          <w:lang w:val="en-GB"/>
        </w:rPr>
      </w:pPr>
      <w:r w:rsidRPr="00502099">
        <w:rPr>
          <w:color w:val="000000" w:themeColor="text1"/>
        </w:rPr>
        <w:t>RAN4 to define the CHO requirements base</w:t>
      </w:r>
      <w:r w:rsidR="00EB036F" w:rsidRPr="00502099">
        <w:rPr>
          <w:color w:val="000000" w:themeColor="text1"/>
        </w:rPr>
        <w:t xml:space="preserve"> eMTC in Rel-18 IoT NTN.</w:t>
      </w:r>
    </w:p>
    <w:p w14:paraId="4D2D2CAA" w14:textId="4E4B6026" w:rsidR="00393E56" w:rsidRPr="00502099" w:rsidRDefault="00393E56" w:rsidP="00A52E43">
      <w:pPr>
        <w:pStyle w:val="Proposal"/>
        <w:rPr>
          <w:b w:val="0"/>
          <w:bCs w:val="0"/>
          <w:color w:val="000000" w:themeColor="text1"/>
        </w:rPr>
      </w:pPr>
    </w:p>
    <w:p w14:paraId="5DB16263" w14:textId="40F50508" w:rsidR="004B0236" w:rsidRDefault="004B0236" w:rsidP="004B0236">
      <w:pPr>
        <w:pStyle w:val="Heading2"/>
      </w:pPr>
      <w:r w:rsidRPr="00502099">
        <w:rPr>
          <w:color w:val="000000" w:themeColor="text1"/>
        </w:rPr>
        <w:t>2.</w:t>
      </w:r>
      <w:r w:rsidR="000E339E" w:rsidRPr="00502099">
        <w:rPr>
          <w:color w:val="000000" w:themeColor="text1"/>
        </w:rPr>
        <w:t>4</w:t>
      </w:r>
      <w:r w:rsidRPr="00502099">
        <w:rPr>
          <w:color w:val="000000" w:themeColor="text1"/>
        </w:rPr>
        <w:tab/>
        <w:t xml:space="preserve">Timing and </w:t>
      </w:r>
      <w:r>
        <w:t>RLM requirements</w:t>
      </w:r>
    </w:p>
    <w:p w14:paraId="6858DFD5" w14:textId="4A43F9EF" w:rsidR="009D2F4C" w:rsidRPr="009D2F4C" w:rsidRDefault="009D2F4C" w:rsidP="009D2F4C">
      <w:pPr>
        <w:rPr>
          <w:b/>
          <w:bCs/>
          <w:u w:val="single"/>
          <w:lang w:val="en-GB" w:eastAsia="ja-JP"/>
        </w:rPr>
      </w:pPr>
      <w:r w:rsidRPr="009D2F4C">
        <w:rPr>
          <w:b/>
          <w:bCs/>
          <w:u w:val="single"/>
          <w:lang w:val="en-GB" w:eastAsia="ja-JP"/>
        </w:rPr>
        <w:t>Timing requirements</w:t>
      </w:r>
    </w:p>
    <w:tbl>
      <w:tblPr>
        <w:tblStyle w:val="TableGrid"/>
        <w:tblW w:w="0" w:type="auto"/>
        <w:tblLook w:val="04A0" w:firstRow="1" w:lastRow="0" w:firstColumn="1" w:lastColumn="0" w:noHBand="0" w:noVBand="1"/>
      </w:tblPr>
      <w:tblGrid>
        <w:gridCol w:w="9629"/>
      </w:tblGrid>
      <w:tr w:rsidR="009C5BB4" w14:paraId="6272508F" w14:textId="77777777" w:rsidTr="009C5BB4">
        <w:tc>
          <w:tcPr>
            <w:tcW w:w="9629" w:type="dxa"/>
          </w:tcPr>
          <w:p w14:paraId="1ECC63AD" w14:textId="77777777" w:rsidR="009C5BB4" w:rsidRPr="00CE4E59" w:rsidRDefault="009C5BB4" w:rsidP="009C5BB4">
            <w:pPr>
              <w:pStyle w:val="Heading4"/>
              <w:ind w:left="0" w:firstLine="0"/>
              <w:outlineLvl w:val="3"/>
              <w:rPr>
                <w:rFonts w:eastAsia="SimSun"/>
                <w:szCs w:val="18"/>
                <w:lang w:val="en-US" w:eastAsia="zh-CN"/>
              </w:rPr>
            </w:pPr>
            <w:r>
              <w:rPr>
                <w:rFonts w:eastAsia="SimSun"/>
              </w:rPr>
              <w:lastRenderedPageBreak/>
              <w:t>__Issue 4-</w:t>
            </w:r>
            <w:r>
              <w:rPr>
                <w:rFonts w:eastAsia="PMingLiU"/>
                <w:lang w:eastAsia="zh-TW"/>
              </w:rPr>
              <w:t>1-1</w:t>
            </w:r>
            <w:r>
              <w:rPr>
                <w:rFonts w:eastAsia="SimSun"/>
              </w:rPr>
              <w:t>: UE transmit timing (Te) requirement</w:t>
            </w:r>
          </w:p>
          <w:p w14:paraId="2218B359" w14:textId="77777777" w:rsidR="009C5BB4" w:rsidRDefault="009C5BB4" w:rsidP="0016206D">
            <w:pPr>
              <w:pStyle w:val="ListParagraph"/>
              <w:numPr>
                <w:ilvl w:val="0"/>
                <w:numId w:val="21"/>
              </w:numPr>
              <w:overflowPunct w:val="0"/>
              <w:autoSpaceDE w:val="0"/>
              <w:autoSpaceDN w:val="0"/>
              <w:adjustRightInd w:val="0"/>
              <w:spacing w:after="180" w:line="240" w:lineRule="auto"/>
              <w:rPr>
                <w:rFonts w:eastAsia="PMingLiU"/>
                <w:iCs/>
                <w:lang w:val="en-US" w:eastAsia="zh-TW"/>
              </w:rPr>
            </w:pPr>
            <w:r>
              <w:rPr>
                <w:rFonts w:eastAsia="PMingLiU"/>
                <w:iCs/>
                <w:lang w:val="en-US" w:eastAsia="zh-TW"/>
              </w:rPr>
              <w:t>The reference time point for T</w:t>
            </w:r>
            <w:r>
              <w:rPr>
                <w:rFonts w:eastAsia="PMingLiU"/>
                <w:iCs/>
                <w:vertAlign w:val="subscript"/>
                <w:lang w:val="en-US" w:eastAsia="zh-TW"/>
              </w:rPr>
              <w:t>e_NTN</w:t>
            </w:r>
          </w:p>
          <w:p w14:paraId="28A52C75" w14:textId="77777777" w:rsidR="009C5BB4" w:rsidRDefault="009C5BB4" w:rsidP="0016206D">
            <w:pPr>
              <w:pStyle w:val="ListParagraph"/>
              <w:numPr>
                <w:ilvl w:val="1"/>
                <w:numId w:val="21"/>
              </w:numPr>
              <w:overflowPunct w:val="0"/>
              <w:autoSpaceDE w:val="0"/>
              <w:autoSpaceDN w:val="0"/>
              <w:adjustRightInd w:val="0"/>
              <w:spacing w:after="120" w:line="240" w:lineRule="auto"/>
              <w:rPr>
                <w:rFonts w:eastAsia="PMingLiU"/>
                <w:iCs/>
                <w:lang w:val="en-US" w:eastAsia="zh-TW"/>
              </w:rPr>
            </w:pPr>
            <w:r>
              <w:rPr>
                <w:rFonts w:eastAsia="PMingLiU"/>
                <w:iCs/>
                <w:lang w:val="en-US" w:eastAsia="zh-TW"/>
              </w:rPr>
              <w:t xml:space="preserve">Option 1: </w:t>
            </w:r>
            <w:r>
              <w:rPr>
                <w:rFonts w:eastAsiaTheme="minorEastAsia"/>
              </w:rPr>
              <w:t xml:space="preserve">The reference point for </w:t>
            </w:r>
            <w:r>
              <w:rPr>
                <w:rFonts w:eastAsia="PMingLiU"/>
                <w:iCs/>
                <w:lang w:val="en-US" w:eastAsia="zh-TW"/>
              </w:rPr>
              <w:t>T</w:t>
            </w:r>
            <w:r>
              <w:rPr>
                <w:rFonts w:eastAsia="PMingLiU"/>
                <w:iCs/>
                <w:vertAlign w:val="subscript"/>
                <w:lang w:val="en-US" w:eastAsia="zh-TW"/>
              </w:rPr>
              <w:t>e_NTN</w:t>
            </w:r>
            <w:r>
              <w:rPr>
                <w:rFonts w:eastAsiaTheme="minorEastAsia"/>
              </w:rPr>
              <w:t xml:space="preserve"> should be the downlink timing of the reference cell minus (</w:t>
            </w:r>
            <w:r>
              <w:rPr>
                <w:rFonts w:eastAsia="Yu Mincho"/>
                <w:i/>
              </w:rPr>
              <w:t>N</w:t>
            </w:r>
            <w:r>
              <w:rPr>
                <w:rFonts w:eastAsia="Yu Mincho"/>
                <w:vertAlign w:val="subscript"/>
              </w:rPr>
              <w:t>TA</w:t>
            </w:r>
            <w:r>
              <w:rPr>
                <w:rFonts w:eastAsia="Yu Mincho"/>
                <w:i/>
              </w:rPr>
              <w:t xml:space="preserve"> + N</w:t>
            </w:r>
            <w:r>
              <w:rPr>
                <w:rFonts w:eastAsia="Yu Mincho"/>
                <w:vertAlign w:val="subscript"/>
              </w:rPr>
              <w:t>TA-offset</w:t>
            </w:r>
            <w:r>
              <w:rPr>
                <w:rFonts w:eastAsia="Yu Mincho"/>
                <w:i/>
              </w:rPr>
              <w:t xml:space="preserve"> + N</w:t>
            </w:r>
            <w:r>
              <w:rPr>
                <w:rFonts w:eastAsia="Yu Mincho"/>
                <w:vertAlign w:val="subscript"/>
              </w:rPr>
              <w:t>TA,common</w:t>
            </w:r>
            <w:r>
              <w:rPr>
                <w:rFonts w:eastAsia="Yu Mincho"/>
                <w:i/>
              </w:rPr>
              <w:t xml:space="preserve"> + N</w:t>
            </w:r>
            <w:r>
              <w:rPr>
                <w:rFonts w:eastAsia="Yu Mincho"/>
                <w:vertAlign w:val="subscript"/>
              </w:rPr>
              <w:t>TA,UE-specific</w:t>
            </w:r>
            <w:r>
              <w:rPr>
                <w:rFonts w:eastAsia="Yu Mincho"/>
              </w:rPr>
              <w:t>)</w:t>
            </w:r>
            <w:r>
              <w:rPr>
                <w:rFonts w:eastAsia="Yu Mincho"/>
                <w:i/>
                <w:lang w:eastAsia="ko-KR"/>
              </w:rPr>
              <w:t>×</w:t>
            </w:r>
            <w:r>
              <w:rPr>
                <w:rFonts w:eastAsia="Yu Mincho"/>
              </w:rPr>
              <w:t>T</w:t>
            </w:r>
            <w:r>
              <w:rPr>
                <w:rFonts w:eastAsia="Yu Mincho"/>
                <w:vertAlign w:val="subscript"/>
              </w:rPr>
              <w:t>s</w:t>
            </w:r>
          </w:p>
          <w:p w14:paraId="63A75726" w14:textId="77777777" w:rsidR="009C5BB4" w:rsidRDefault="009C5BB4" w:rsidP="0016206D">
            <w:pPr>
              <w:pStyle w:val="ListParagraph"/>
              <w:numPr>
                <w:ilvl w:val="1"/>
                <w:numId w:val="21"/>
              </w:numPr>
              <w:overflowPunct w:val="0"/>
              <w:autoSpaceDE w:val="0"/>
              <w:autoSpaceDN w:val="0"/>
              <w:adjustRightInd w:val="0"/>
              <w:spacing w:after="180" w:line="240" w:lineRule="auto"/>
              <w:rPr>
                <w:rFonts w:eastAsia="PMingLiU"/>
                <w:iCs/>
                <w:lang w:val="en-US" w:eastAsia="zh-TW"/>
              </w:rPr>
            </w:pPr>
            <w:r>
              <w:rPr>
                <w:rFonts w:eastAsia="PMingLiU"/>
                <w:iCs/>
                <w:lang w:val="en-US" w:eastAsia="zh-TW"/>
              </w:rPr>
              <w:t xml:space="preserve">Option 2: </w:t>
            </w:r>
            <w:r>
              <w:rPr>
                <w:rFonts w:eastAsiaTheme="minorEastAsia"/>
              </w:rPr>
              <w:t xml:space="preserve">The reference point for Te should be the downlink timing of the reference cell minus the UE UL timing. FFS the UE UL timing. </w:t>
            </w:r>
          </w:p>
          <w:p w14:paraId="25C7340F" w14:textId="77777777" w:rsidR="009C5BB4" w:rsidRDefault="009C5BB4" w:rsidP="0016206D">
            <w:pPr>
              <w:pStyle w:val="ListParagraph"/>
              <w:numPr>
                <w:ilvl w:val="0"/>
                <w:numId w:val="21"/>
              </w:numPr>
              <w:overflowPunct w:val="0"/>
              <w:autoSpaceDE w:val="0"/>
              <w:autoSpaceDN w:val="0"/>
              <w:adjustRightInd w:val="0"/>
              <w:spacing w:after="180" w:line="240" w:lineRule="auto"/>
              <w:rPr>
                <w:rFonts w:eastAsia="PMingLiU"/>
                <w:iCs/>
                <w:lang w:val="en-US" w:eastAsia="zh-TW"/>
              </w:rPr>
            </w:pPr>
            <w:r>
              <w:rPr>
                <w:rFonts w:eastAsia="PMingLiU"/>
                <w:iCs/>
                <w:lang w:val="en-US" w:eastAsia="zh-TW"/>
              </w:rPr>
              <w:t xml:space="preserve">Whether to relaxed Te by </w:t>
            </w:r>
            <w:r>
              <w:rPr>
                <w:rFonts w:eastAsia="SimSun"/>
                <w:szCs w:val="24"/>
                <w:lang w:eastAsia="zh-CN"/>
              </w:rPr>
              <w:t>considering GNSS estimation accuracy</w:t>
            </w:r>
          </w:p>
          <w:p w14:paraId="6624E276" w14:textId="77777777" w:rsidR="009C5BB4" w:rsidRDefault="009C5BB4" w:rsidP="0016206D">
            <w:pPr>
              <w:pStyle w:val="ListParagraph"/>
              <w:numPr>
                <w:ilvl w:val="1"/>
                <w:numId w:val="21"/>
              </w:numPr>
              <w:overflowPunct w:val="0"/>
              <w:autoSpaceDE w:val="0"/>
              <w:autoSpaceDN w:val="0"/>
              <w:adjustRightInd w:val="0"/>
              <w:spacing w:after="180" w:line="240" w:lineRule="auto"/>
              <w:rPr>
                <w:rFonts w:eastAsia="PMingLiU"/>
                <w:iCs/>
                <w:lang w:val="en-US" w:eastAsia="zh-TW"/>
              </w:rPr>
            </w:pPr>
            <w:r>
              <w:rPr>
                <w:rFonts w:eastAsia="PMingLiU"/>
                <w:iCs/>
                <w:lang w:val="en-US" w:eastAsia="zh-TW"/>
              </w:rPr>
              <w:t>Option 1: no</w:t>
            </w:r>
          </w:p>
          <w:p w14:paraId="3010BFDB" w14:textId="77777777" w:rsidR="009C5BB4" w:rsidRDefault="009C5BB4" w:rsidP="0016206D">
            <w:pPr>
              <w:pStyle w:val="ListParagraph"/>
              <w:numPr>
                <w:ilvl w:val="1"/>
                <w:numId w:val="21"/>
              </w:numPr>
              <w:overflowPunct w:val="0"/>
              <w:autoSpaceDE w:val="0"/>
              <w:autoSpaceDN w:val="0"/>
              <w:adjustRightInd w:val="0"/>
              <w:spacing w:after="180" w:line="240" w:lineRule="auto"/>
              <w:rPr>
                <w:rFonts w:eastAsia="PMingLiU"/>
                <w:iCs/>
                <w:lang w:val="en-US" w:eastAsia="zh-TW"/>
              </w:rPr>
            </w:pPr>
            <w:r>
              <w:rPr>
                <w:rFonts w:eastAsia="PMingLiU"/>
                <w:iCs/>
                <w:lang w:val="en-US" w:eastAsia="zh-TW"/>
              </w:rPr>
              <w:t>Option 2: yes</w:t>
            </w:r>
          </w:p>
          <w:p w14:paraId="7F78F03E" w14:textId="77777777" w:rsidR="009C5BB4" w:rsidRPr="005313BB" w:rsidRDefault="009C5BB4" w:rsidP="0016206D">
            <w:pPr>
              <w:pStyle w:val="ListParagraph"/>
              <w:numPr>
                <w:ilvl w:val="2"/>
                <w:numId w:val="21"/>
              </w:numPr>
              <w:overflowPunct w:val="0"/>
              <w:autoSpaceDE w:val="0"/>
              <w:autoSpaceDN w:val="0"/>
              <w:adjustRightInd w:val="0"/>
              <w:spacing w:after="180" w:line="240" w:lineRule="auto"/>
              <w:rPr>
                <w:rFonts w:eastAsia="SimSun"/>
                <w:szCs w:val="24"/>
                <w:lang w:val="en-GB" w:eastAsia="zh-CN"/>
              </w:rPr>
            </w:pPr>
            <w:r>
              <w:rPr>
                <w:rFonts w:eastAsia="SimSun"/>
                <w:szCs w:val="24"/>
                <w:lang w:eastAsia="zh-CN"/>
              </w:rPr>
              <w:t>FSS whether and how to relax the GNSS estimation accuracy</w:t>
            </w:r>
          </w:p>
          <w:p w14:paraId="7C66E8D4" w14:textId="77777777" w:rsidR="005313BB" w:rsidRDefault="005313BB" w:rsidP="005313BB">
            <w:pPr>
              <w:overflowPunct w:val="0"/>
              <w:autoSpaceDE w:val="0"/>
              <w:autoSpaceDN w:val="0"/>
              <w:adjustRightInd w:val="0"/>
              <w:spacing w:after="180" w:line="240" w:lineRule="auto"/>
              <w:rPr>
                <w:rFonts w:eastAsia="SimSun"/>
                <w:szCs w:val="24"/>
                <w:lang w:val="en-GB" w:eastAsia="zh-CN"/>
              </w:rPr>
            </w:pPr>
          </w:p>
          <w:p w14:paraId="46834011" w14:textId="77777777" w:rsidR="005313BB" w:rsidRDefault="005313BB" w:rsidP="005313BB">
            <w:pPr>
              <w:pStyle w:val="Heading4"/>
              <w:ind w:left="0" w:firstLine="0"/>
              <w:outlineLvl w:val="3"/>
              <w:rPr>
                <w:rFonts w:eastAsia="SimSun"/>
                <w:szCs w:val="18"/>
                <w:lang w:val="sv-SE" w:eastAsia="zh-CN"/>
              </w:rPr>
            </w:pPr>
            <w:r>
              <w:rPr>
                <w:rFonts w:eastAsia="SimSun"/>
              </w:rPr>
              <w:t>__Issue 4-</w:t>
            </w:r>
            <w:r>
              <w:rPr>
                <w:rFonts w:eastAsia="PMingLiU"/>
                <w:lang w:eastAsia="zh-TW"/>
              </w:rPr>
              <w:t>1-2</w:t>
            </w:r>
            <w:r>
              <w:rPr>
                <w:rFonts w:eastAsia="SimSun"/>
              </w:rPr>
              <w:t>: Gradual timing adjustment</w:t>
            </w:r>
          </w:p>
          <w:p w14:paraId="343DA604" w14:textId="77777777" w:rsidR="005313BB" w:rsidRDefault="005313BB" w:rsidP="0016206D">
            <w:pPr>
              <w:pStyle w:val="ListParagraph"/>
              <w:numPr>
                <w:ilvl w:val="0"/>
                <w:numId w:val="22"/>
              </w:numPr>
              <w:overflowPunct w:val="0"/>
              <w:autoSpaceDE w:val="0"/>
              <w:autoSpaceDN w:val="0"/>
              <w:adjustRightInd w:val="0"/>
              <w:spacing w:after="180" w:line="240" w:lineRule="auto"/>
              <w:rPr>
                <w:rFonts w:eastAsia="PMingLiU"/>
                <w:iCs/>
                <w:lang w:val="en-US" w:eastAsia="zh-TW"/>
              </w:rPr>
            </w:pPr>
            <w:r>
              <w:rPr>
                <w:rFonts w:eastAsia="Arial"/>
                <w:iCs/>
                <w:kern w:val="2"/>
                <w:lang w:eastAsia="x-none"/>
              </w:rPr>
              <w:t xml:space="preserve">FFS For gradual timing adjustment, </w:t>
            </w:r>
            <w:r>
              <w:t xml:space="preserve">the reference </w:t>
            </w:r>
            <w:r>
              <w:rPr>
                <w:lang w:eastAsia="ja-JP"/>
              </w:rPr>
              <w:t>timing</w:t>
            </w:r>
            <w:r>
              <w:t xml:space="preserve"> shall be (</w:t>
            </w:r>
            <w:r>
              <w:rPr>
                <w:i/>
              </w:rPr>
              <w:t>N</w:t>
            </w:r>
            <w:r>
              <w:rPr>
                <w:vertAlign w:val="subscript"/>
              </w:rPr>
              <w:t>TA</w:t>
            </w:r>
            <w:r>
              <w:rPr>
                <w:i/>
              </w:rPr>
              <w:t xml:space="preserve"> + N</w:t>
            </w:r>
            <w:r>
              <w:rPr>
                <w:vertAlign w:val="subscript"/>
              </w:rPr>
              <w:t>TA-offset</w:t>
            </w:r>
            <w:r>
              <w:rPr>
                <w:i/>
              </w:rPr>
              <w:t xml:space="preserve"> + N</w:t>
            </w:r>
            <w:r>
              <w:rPr>
                <w:vertAlign w:val="subscript"/>
              </w:rPr>
              <w:t>TA,common</w:t>
            </w:r>
            <w:r>
              <w:rPr>
                <w:i/>
              </w:rPr>
              <w:t xml:space="preserve"> + N</w:t>
            </w:r>
            <w:r>
              <w:rPr>
                <w:vertAlign w:val="subscript"/>
              </w:rPr>
              <w:t>TA,UE-specific</w:t>
            </w:r>
            <w:r>
              <w:t>)</w:t>
            </w:r>
            <w:r>
              <w:rPr>
                <w:i/>
                <w:lang w:eastAsia="ko-KR"/>
              </w:rPr>
              <w:t>×</w:t>
            </w:r>
            <w:r>
              <w:t>T</w:t>
            </w:r>
            <w:r>
              <w:rPr>
                <w:vertAlign w:val="subscript"/>
              </w:rPr>
              <w:t>s</w:t>
            </w:r>
            <w:r>
              <w:rPr>
                <w:lang w:eastAsia="ja-JP"/>
              </w:rPr>
              <w:t xml:space="preserve"> before </w:t>
            </w:r>
            <w:r>
              <w:t>the d</w:t>
            </w:r>
            <w:r>
              <w:rPr>
                <w:lang w:eastAsia="ja-JP"/>
              </w:rPr>
              <w:t xml:space="preserve">ownlink timing of the reference cell. </w:t>
            </w:r>
            <w:r>
              <w:rPr>
                <w:rFonts w:eastAsia="PMingLiU"/>
                <w:lang w:val="en-US" w:eastAsia="zh-TW"/>
              </w:rPr>
              <w:t>Clarify the adjustment with “apart from a change of N</w:t>
            </w:r>
            <w:r>
              <w:rPr>
                <w:rFonts w:eastAsia="PMingLiU"/>
                <w:vertAlign w:val="subscript"/>
                <w:lang w:val="en-US" w:eastAsia="zh-TW"/>
              </w:rPr>
              <w:t>TA,UE-specific</w:t>
            </w:r>
            <w:r>
              <w:rPr>
                <w:rFonts w:eastAsia="PMingLiU"/>
                <w:lang w:val="en-US" w:eastAsia="zh-TW"/>
              </w:rPr>
              <w:t xml:space="preserve"> and N</w:t>
            </w:r>
            <w:r>
              <w:rPr>
                <w:rFonts w:eastAsia="PMingLiU"/>
                <w:vertAlign w:val="subscript"/>
                <w:lang w:val="en-US" w:eastAsia="zh-TW"/>
              </w:rPr>
              <w:t>TA,common</w:t>
            </w:r>
            <w:r>
              <w:rPr>
                <w:rFonts w:eastAsia="PMingLiU"/>
                <w:lang w:val="en-US" w:eastAsia="zh-TW"/>
              </w:rPr>
              <w:t>”</w:t>
            </w:r>
          </w:p>
          <w:p w14:paraId="3C16B920" w14:textId="77777777" w:rsidR="005313BB" w:rsidRDefault="005313BB" w:rsidP="0016206D">
            <w:pPr>
              <w:pStyle w:val="ListParagraph"/>
              <w:numPr>
                <w:ilvl w:val="0"/>
                <w:numId w:val="22"/>
              </w:numPr>
              <w:overflowPunct w:val="0"/>
              <w:autoSpaceDE w:val="0"/>
              <w:autoSpaceDN w:val="0"/>
              <w:adjustRightInd w:val="0"/>
              <w:spacing w:after="180" w:line="240" w:lineRule="auto"/>
              <w:rPr>
                <w:rFonts w:eastAsia="PMingLiU"/>
                <w:iCs/>
                <w:lang w:val="en-US" w:eastAsia="zh-TW"/>
              </w:rPr>
            </w:pPr>
            <w:r>
              <w:rPr>
                <w:rFonts w:eastAsia="Arial"/>
                <w:iCs/>
                <w:kern w:val="2"/>
                <w:lang w:eastAsia="x-none"/>
              </w:rPr>
              <w:t>FFS the gradual timing adjustment</w:t>
            </w:r>
            <w:r>
              <w:t xml:space="preserve"> figures (max step size, max, min rate etc)</w:t>
            </w:r>
          </w:p>
          <w:p w14:paraId="4EC8DA04" w14:textId="77777777" w:rsidR="005313BB" w:rsidRDefault="005313BB" w:rsidP="0016206D">
            <w:pPr>
              <w:pStyle w:val="ListParagraph"/>
              <w:numPr>
                <w:ilvl w:val="0"/>
                <w:numId w:val="22"/>
              </w:numPr>
              <w:overflowPunct w:val="0"/>
              <w:autoSpaceDE w:val="0"/>
              <w:autoSpaceDN w:val="0"/>
              <w:adjustRightInd w:val="0"/>
              <w:spacing w:after="180" w:line="240" w:lineRule="auto"/>
              <w:rPr>
                <w:rFonts w:eastAsia="PMingLiU"/>
                <w:iCs/>
                <w:lang w:val="en-US" w:eastAsia="zh-TW"/>
              </w:rPr>
            </w:pPr>
            <w:r>
              <w:rPr>
                <w:rFonts w:eastAsia="Arial"/>
                <w:iCs/>
                <w:kern w:val="2"/>
                <w:lang w:eastAsia="x-none"/>
              </w:rPr>
              <w:t>FFS the impact of “segmented UL transmission</w:t>
            </w:r>
          </w:p>
          <w:p w14:paraId="01BA483F" w14:textId="3BC47FC8" w:rsidR="005313BB" w:rsidRPr="005313BB" w:rsidRDefault="005313BB" w:rsidP="005313BB">
            <w:pPr>
              <w:overflowPunct w:val="0"/>
              <w:autoSpaceDE w:val="0"/>
              <w:autoSpaceDN w:val="0"/>
              <w:adjustRightInd w:val="0"/>
              <w:spacing w:after="180" w:line="240" w:lineRule="auto"/>
              <w:rPr>
                <w:rFonts w:eastAsia="SimSun"/>
                <w:szCs w:val="24"/>
                <w:lang w:val="en-GB" w:eastAsia="zh-CN"/>
              </w:rPr>
            </w:pPr>
          </w:p>
        </w:tc>
      </w:tr>
    </w:tbl>
    <w:p w14:paraId="79184647" w14:textId="77777777" w:rsidR="004B0236" w:rsidRDefault="004B0236" w:rsidP="004B0236">
      <w:pPr>
        <w:rPr>
          <w:lang w:val="en-GB" w:eastAsia="ja-JP"/>
        </w:rPr>
      </w:pPr>
    </w:p>
    <w:p w14:paraId="166D1F03" w14:textId="77777777" w:rsidR="00957853" w:rsidRPr="00502099" w:rsidRDefault="00A26664" w:rsidP="004B0236">
      <w:pPr>
        <w:rPr>
          <w:rFonts w:eastAsiaTheme="minorEastAsia"/>
          <w:color w:val="000000" w:themeColor="text1"/>
        </w:rPr>
      </w:pPr>
      <w:r w:rsidRPr="004C2CD4">
        <w:rPr>
          <w:lang w:val="en-GB" w:eastAsia="ja-JP"/>
        </w:rPr>
        <w:t xml:space="preserve">Regarding the first issue on reference point for </w:t>
      </w:r>
      <w:r w:rsidRPr="004C2CD4">
        <w:rPr>
          <w:rFonts w:eastAsia="PMingLiU"/>
          <w:iCs/>
          <w:lang w:eastAsia="zh-TW"/>
        </w:rPr>
        <w:t>T</w:t>
      </w:r>
      <w:r w:rsidRPr="004C2CD4">
        <w:rPr>
          <w:rFonts w:eastAsia="PMingLiU"/>
          <w:iCs/>
          <w:vertAlign w:val="subscript"/>
          <w:lang w:eastAsia="zh-TW"/>
        </w:rPr>
        <w:t>e_NTN</w:t>
      </w:r>
      <w:r w:rsidRPr="004C2CD4">
        <w:rPr>
          <w:rFonts w:eastAsiaTheme="minorEastAsia"/>
        </w:rPr>
        <w:t xml:space="preserve">, </w:t>
      </w:r>
      <w:r w:rsidR="005025EF">
        <w:rPr>
          <w:rFonts w:eastAsiaTheme="minorEastAsia"/>
        </w:rPr>
        <w:t>o</w:t>
      </w:r>
      <w:r w:rsidR="007C05AF" w:rsidRPr="004C2CD4">
        <w:rPr>
          <w:rFonts w:eastAsiaTheme="minorEastAsia"/>
        </w:rPr>
        <w:t xml:space="preserve">ption 1 is </w:t>
      </w:r>
      <w:r w:rsidR="005C5621">
        <w:rPr>
          <w:rFonts w:eastAsiaTheme="minorEastAsia"/>
        </w:rPr>
        <w:t>our</w:t>
      </w:r>
      <w:r w:rsidR="007C05AF" w:rsidRPr="004C2CD4">
        <w:rPr>
          <w:rFonts w:eastAsiaTheme="minorEastAsia"/>
        </w:rPr>
        <w:t xml:space="preserve"> preferred option as it is more concret</w:t>
      </w:r>
      <w:r w:rsidR="005C5621">
        <w:rPr>
          <w:rFonts w:eastAsiaTheme="minorEastAsia"/>
        </w:rPr>
        <w:t xml:space="preserve">e and </w:t>
      </w:r>
      <w:r w:rsidR="00957853">
        <w:rPr>
          <w:rFonts w:eastAsiaTheme="minorEastAsia"/>
        </w:rPr>
        <w:t xml:space="preserve">more specific </w:t>
      </w:r>
      <w:r w:rsidR="00957853" w:rsidRPr="00502099">
        <w:rPr>
          <w:rFonts w:eastAsiaTheme="minorEastAsia"/>
          <w:color w:val="000000" w:themeColor="text1"/>
        </w:rPr>
        <w:t xml:space="preserve">reference time is defined. </w:t>
      </w:r>
    </w:p>
    <w:p w14:paraId="2E883CCE" w14:textId="620BD3D7" w:rsidR="00E2674C" w:rsidRPr="00502099" w:rsidRDefault="002607A4" w:rsidP="0016206D">
      <w:pPr>
        <w:pStyle w:val="Proposal"/>
        <w:numPr>
          <w:ilvl w:val="0"/>
          <w:numId w:val="2"/>
        </w:numPr>
        <w:tabs>
          <w:tab w:val="clear" w:pos="5841"/>
        </w:tabs>
        <w:ind w:left="1701" w:hanging="1701"/>
        <w:rPr>
          <w:color w:val="000000" w:themeColor="text1"/>
          <w:lang w:val="en-GB"/>
        </w:rPr>
      </w:pPr>
      <w:r w:rsidRPr="00502099">
        <w:rPr>
          <w:rFonts w:eastAsiaTheme="minorEastAsia"/>
          <w:color w:val="000000" w:themeColor="text1"/>
        </w:rPr>
        <w:t xml:space="preserve">The reference point for </w:t>
      </w:r>
      <w:r w:rsidRPr="00502099">
        <w:rPr>
          <w:rFonts w:eastAsia="PMingLiU"/>
          <w:iCs/>
          <w:color w:val="000000" w:themeColor="text1"/>
          <w:lang w:eastAsia="zh-TW"/>
        </w:rPr>
        <w:t>T</w:t>
      </w:r>
      <w:r w:rsidRPr="00502099">
        <w:rPr>
          <w:rFonts w:eastAsia="PMingLiU"/>
          <w:iCs/>
          <w:color w:val="000000" w:themeColor="text1"/>
          <w:vertAlign w:val="subscript"/>
          <w:lang w:eastAsia="zh-TW"/>
        </w:rPr>
        <w:t>e_NTN</w:t>
      </w:r>
      <w:r w:rsidRPr="00502099">
        <w:rPr>
          <w:rFonts w:eastAsiaTheme="minorEastAsia"/>
          <w:color w:val="000000" w:themeColor="text1"/>
        </w:rPr>
        <w:t xml:space="preserve"> should be the downlink timing of the reference cell minus (</w:t>
      </w:r>
      <w:r w:rsidRPr="00502099">
        <w:rPr>
          <w:rFonts w:eastAsia="Yu Mincho"/>
          <w:i/>
          <w:color w:val="000000" w:themeColor="text1"/>
        </w:rPr>
        <w:t>N</w:t>
      </w:r>
      <w:r w:rsidRPr="00502099">
        <w:rPr>
          <w:rFonts w:eastAsia="Yu Mincho"/>
          <w:color w:val="000000" w:themeColor="text1"/>
          <w:vertAlign w:val="subscript"/>
        </w:rPr>
        <w:t>TA</w:t>
      </w:r>
      <w:r w:rsidRPr="00502099">
        <w:rPr>
          <w:rFonts w:eastAsia="Yu Mincho"/>
          <w:i/>
          <w:color w:val="000000" w:themeColor="text1"/>
        </w:rPr>
        <w:t xml:space="preserve"> + N</w:t>
      </w:r>
      <w:r w:rsidRPr="00502099">
        <w:rPr>
          <w:rFonts w:eastAsia="Yu Mincho"/>
          <w:color w:val="000000" w:themeColor="text1"/>
          <w:vertAlign w:val="subscript"/>
        </w:rPr>
        <w:t>TA-offset</w:t>
      </w:r>
      <w:r w:rsidRPr="00502099">
        <w:rPr>
          <w:rFonts w:eastAsia="Yu Mincho"/>
          <w:i/>
          <w:color w:val="000000" w:themeColor="text1"/>
        </w:rPr>
        <w:t xml:space="preserve"> + N</w:t>
      </w:r>
      <w:r w:rsidRPr="00502099">
        <w:rPr>
          <w:rFonts w:eastAsia="Yu Mincho"/>
          <w:color w:val="000000" w:themeColor="text1"/>
          <w:vertAlign w:val="subscript"/>
        </w:rPr>
        <w:t>TA,common</w:t>
      </w:r>
      <w:r w:rsidRPr="00502099">
        <w:rPr>
          <w:rFonts w:eastAsia="Yu Mincho"/>
          <w:i/>
          <w:color w:val="000000" w:themeColor="text1"/>
        </w:rPr>
        <w:t xml:space="preserve"> + N</w:t>
      </w:r>
      <w:r w:rsidRPr="00502099">
        <w:rPr>
          <w:rFonts w:eastAsia="Yu Mincho"/>
          <w:color w:val="000000" w:themeColor="text1"/>
          <w:vertAlign w:val="subscript"/>
        </w:rPr>
        <w:t>TA,UE-specific</w:t>
      </w:r>
      <w:r w:rsidRPr="00502099">
        <w:rPr>
          <w:rFonts w:eastAsia="Yu Mincho"/>
          <w:color w:val="000000" w:themeColor="text1"/>
        </w:rPr>
        <w:t>)</w:t>
      </w:r>
      <w:r w:rsidRPr="00502099">
        <w:rPr>
          <w:rFonts w:eastAsia="Yu Mincho"/>
          <w:i/>
          <w:color w:val="000000" w:themeColor="text1"/>
          <w:lang w:eastAsia="ko-KR"/>
        </w:rPr>
        <w:t>×</w:t>
      </w:r>
      <w:r w:rsidRPr="00502099">
        <w:rPr>
          <w:rFonts w:eastAsia="Yu Mincho"/>
          <w:color w:val="000000" w:themeColor="text1"/>
        </w:rPr>
        <w:t>T</w:t>
      </w:r>
      <w:r w:rsidRPr="00502099">
        <w:rPr>
          <w:rFonts w:eastAsia="Yu Mincho"/>
          <w:color w:val="000000" w:themeColor="text1"/>
          <w:vertAlign w:val="subscript"/>
        </w:rPr>
        <w:t>s</w:t>
      </w:r>
      <w:r w:rsidR="00E2674C" w:rsidRPr="00502099">
        <w:rPr>
          <w:rFonts w:eastAsia="Yu Mincho"/>
          <w:color w:val="000000" w:themeColor="text1"/>
          <w:vertAlign w:val="subscript"/>
        </w:rPr>
        <w:t>.</w:t>
      </w:r>
      <w:r w:rsidR="00966051" w:rsidRPr="00502099">
        <w:rPr>
          <w:b w:val="0"/>
          <w:bCs w:val="0"/>
          <w:color w:val="000000" w:themeColor="text1"/>
        </w:rPr>
        <w:t xml:space="preserve"> </w:t>
      </w:r>
    </w:p>
    <w:p w14:paraId="54F3D22D" w14:textId="1ADDD026" w:rsidR="00640C35" w:rsidRPr="00502099" w:rsidRDefault="00640C35" w:rsidP="00640C35">
      <w:pPr>
        <w:pStyle w:val="Proposal"/>
        <w:rPr>
          <w:rFonts w:eastAsia="Times New Roman" w:cs="Arial"/>
          <w:b w:val="0"/>
          <w:bCs w:val="0"/>
          <w:iCs/>
          <w:color w:val="000000" w:themeColor="text1"/>
          <w:lang w:eastAsia="zh-TW"/>
        </w:rPr>
      </w:pPr>
      <w:r w:rsidRPr="00502099">
        <w:rPr>
          <w:rFonts w:eastAsia="Times New Roman" w:cs="Arial"/>
          <w:b w:val="0"/>
          <w:bCs w:val="0"/>
          <w:iCs/>
          <w:color w:val="000000" w:themeColor="text1"/>
          <w:lang w:eastAsia="zh-TW"/>
        </w:rPr>
        <w:t xml:space="preserve">Regarding the </w:t>
      </w:r>
      <w:r w:rsidR="00B052CE" w:rsidRPr="00502099">
        <w:rPr>
          <w:rFonts w:eastAsia="Times New Roman" w:cs="Arial"/>
          <w:b w:val="0"/>
          <w:bCs w:val="0"/>
          <w:iCs/>
          <w:color w:val="000000" w:themeColor="text1"/>
          <w:lang w:eastAsia="zh-TW"/>
        </w:rPr>
        <w:t xml:space="preserve">open issue related to </w:t>
      </w:r>
      <w:r w:rsidRPr="00502099">
        <w:rPr>
          <w:rFonts w:eastAsia="Times New Roman" w:cs="Arial"/>
          <w:b w:val="0"/>
          <w:bCs w:val="0"/>
          <w:iCs/>
          <w:color w:val="000000" w:themeColor="text1"/>
          <w:lang w:eastAsia="zh-TW"/>
        </w:rPr>
        <w:t xml:space="preserve">GNSS </w:t>
      </w:r>
      <w:r w:rsidR="00B052CE" w:rsidRPr="00502099">
        <w:rPr>
          <w:rFonts w:eastAsia="Times New Roman" w:cs="Arial"/>
          <w:b w:val="0"/>
          <w:bCs w:val="0"/>
          <w:iCs/>
          <w:color w:val="000000" w:themeColor="text1"/>
          <w:lang w:eastAsia="zh-TW"/>
        </w:rPr>
        <w:t>estimation</w:t>
      </w:r>
      <w:r w:rsidRPr="00502099">
        <w:rPr>
          <w:rFonts w:eastAsia="Times New Roman" w:cs="Arial"/>
          <w:b w:val="0"/>
          <w:bCs w:val="0"/>
          <w:iCs/>
          <w:color w:val="000000" w:themeColor="text1"/>
          <w:lang w:eastAsia="zh-TW"/>
        </w:rPr>
        <w:t xml:space="preserve"> accuracy, </w:t>
      </w:r>
      <w:r w:rsidR="00B052CE" w:rsidRPr="00502099">
        <w:rPr>
          <w:rFonts w:eastAsia="Times New Roman" w:cs="Arial"/>
          <w:b w:val="0"/>
          <w:bCs w:val="0"/>
          <w:iCs/>
          <w:color w:val="000000" w:themeColor="text1"/>
          <w:lang w:eastAsia="zh-TW"/>
        </w:rPr>
        <w:t xml:space="preserve">it is noted that the Te was relaxed due to UE and satellites positioning error in Rel-17 NR NTN. It is therefore reasonable to reuse the same agreement </w:t>
      </w:r>
      <w:r w:rsidR="00893F76" w:rsidRPr="00502099">
        <w:rPr>
          <w:rFonts w:eastAsia="Times New Roman" w:cs="Arial"/>
          <w:b w:val="0"/>
          <w:bCs w:val="0"/>
          <w:iCs/>
          <w:color w:val="000000" w:themeColor="text1"/>
          <w:lang w:eastAsia="zh-TW"/>
        </w:rPr>
        <w:t>for IoT NTN.</w:t>
      </w:r>
      <w:r w:rsidR="000448EA" w:rsidRPr="00502099">
        <w:rPr>
          <w:rFonts w:eastAsia="Times New Roman" w:cs="Arial"/>
          <w:b w:val="0"/>
          <w:bCs w:val="0"/>
          <w:iCs/>
          <w:color w:val="000000" w:themeColor="text1"/>
          <w:lang w:eastAsia="zh-TW"/>
        </w:rPr>
        <w:t xml:space="preserve"> </w:t>
      </w:r>
    </w:p>
    <w:p w14:paraId="4BE6CCB8" w14:textId="1798A04E" w:rsidR="0050198B" w:rsidRPr="00D84807" w:rsidRDefault="0050198B" w:rsidP="0016206D">
      <w:pPr>
        <w:pStyle w:val="Proposal"/>
        <w:numPr>
          <w:ilvl w:val="0"/>
          <w:numId w:val="2"/>
        </w:numPr>
        <w:tabs>
          <w:tab w:val="clear" w:pos="5841"/>
        </w:tabs>
        <w:ind w:left="1701" w:hanging="1701"/>
        <w:rPr>
          <w:color w:val="000000" w:themeColor="text1"/>
          <w:lang w:val="en-GB"/>
        </w:rPr>
      </w:pPr>
      <w:r w:rsidRPr="00D84807">
        <w:rPr>
          <w:rFonts w:eastAsiaTheme="minorEastAsia"/>
        </w:rPr>
        <w:t>The</w:t>
      </w:r>
      <w:r w:rsidR="00282012" w:rsidRPr="00D84807">
        <w:rPr>
          <w:rFonts w:eastAsiaTheme="minorEastAsia"/>
        </w:rPr>
        <w:t xml:space="preserve"> agreement from Rel-17 NR NTN on relaxed Te due to GNSS estimation accuracy is reused. </w:t>
      </w:r>
      <w:r w:rsidRPr="00D84807">
        <w:rPr>
          <w:b w:val="0"/>
          <w:bCs w:val="0"/>
        </w:rPr>
        <w:t xml:space="preserve"> </w:t>
      </w:r>
    </w:p>
    <w:p w14:paraId="6E07E948" w14:textId="77777777" w:rsidR="00966051" w:rsidRPr="004C2CD4" w:rsidRDefault="00966051" w:rsidP="004B0236">
      <w:pPr>
        <w:rPr>
          <w:lang w:val="en-GB" w:eastAsia="ja-JP"/>
        </w:rPr>
      </w:pPr>
    </w:p>
    <w:p w14:paraId="3CB446A3" w14:textId="03885F49" w:rsidR="00CC36EF" w:rsidRDefault="00BE33DE" w:rsidP="004B0236">
      <w:pPr>
        <w:rPr>
          <w:b/>
          <w:bCs/>
          <w:u w:val="single"/>
          <w:lang w:val="en-GB" w:eastAsia="ja-JP"/>
        </w:rPr>
      </w:pPr>
      <w:r w:rsidRPr="00BE33DE">
        <w:rPr>
          <w:b/>
          <w:bCs/>
          <w:u w:val="single"/>
          <w:lang w:val="en-GB" w:eastAsia="ja-JP"/>
        </w:rPr>
        <w:t>RLM requirements</w:t>
      </w:r>
    </w:p>
    <w:p w14:paraId="1CB8CF8C" w14:textId="56FECD5C" w:rsidR="001646A3" w:rsidRPr="003328F8" w:rsidRDefault="00921468" w:rsidP="004B0236">
      <w:pPr>
        <w:rPr>
          <w:lang w:val="en-GB" w:eastAsia="ja-JP"/>
        </w:rPr>
      </w:pPr>
      <w:r>
        <w:rPr>
          <w:lang w:val="en-GB" w:eastAsia="ja-JP"/>
        </w:rPr>
        <w:t xml:space="preserve">At last meeting it was agreed to use the existing RLM requirements for eMTC and NB-IoT assuming that the cell is managed by a GEO satellite. But </w:t>
      </w:r>
      <w:r w:rsidR="008F3DAB">
        <w:rPr>
          <w:lang w:val="en-GB" w:eastAsia="ja-JP"/>
        </w:rPr>
        <w:t>for</w:t>
      </w:r>
      <w:r>
        <w:rPr>
          <w:lang w:val="en-GB" w:eastAsia="ja-JP"/>
        </w:rPr>
        <w:t xml:space="preserve"> a cell managed by a L</w:t>
      </w:r>
      <w:r w:rsidR="008F3DAB">
        <w:rPr>
          <w:lang w:val="en-GB" w:eastAsia="ja-JP"/>
        </w:rPr>
        <w:t>EO</w:t>
      </w:r>
      <w:r>
        <w:rPr>
          <w:lang w:val="en-GB" w:eastAsia="ja-JP"/>
        </w:rPr>
        <w:t xml:space="preserve"> satellite, f</w:t>
      </w:r>
      <w:r w:rsidR="001646A3" w:rsidRPr="003328F8">
        <w:rPr>
          <w:lang w:val="en-GB" w:eastAsia="ja-JP"/>
        </w:rPr>
        <w:t>ollowing open issues remain</w:t>
      </w:r>
      <w:r w:rsidR="003328F8">
        <w:rPr>
          <w:lang w:val="en-GB" w:eastAsia="ja-JP"/>
        </w:rPr>
        <w:t xml:space="preserve"> [1]:</w:t>
      </w:r>
      <w:r w:rsidR="001646A3" w:rsidRPr="003328F8">
        <w:rPr>
          <w:lang w:val="en-GB" w:eastAsia="ja-JP"/>
        </w:rPr>
        <w:t xml:space="preserve"> </w:t>
      </w:r>
    </w:p>
    <w:tbl>
      <w:tblPr>
        <w:tblStyle w:val="TableGrid"/>
        <w:tblW w:w="0" w:type="auto"/>
        <w:tblLook w:val="04A0" w:firstRow="1" w:lastRow="0" w:firstColumn="1" w:lastColumn="0" w:noHBand="0" w:noVBand="1"/>
      </w:tblPr>
      <w:tblGrid>
        <w:gridCol w:w="9629"/>
      </w:tblGrid>
      <w:tr w:rsidR="00663151" w14:paraId="31B404E1" w14:textId="77777777" w:rsidTr="00663151">
        <w:tc>
          <w:tcPr>
            <w:tcW w:w="9629" w:type="dxa"/>
          </w:tcPr>
          <w:p w14:paraId="78DD1FEE" w14:textId="77777777" w:rsidR="00663151" w:rsidRDefault="00663151" w:rsidP="00663151">
            <w:pPr>
              <w:pStyle w:val="Heading4"/>
              <w:ind w:left="0" w:firstLine="0"/>
              <w:outlineLvl w:val="3"/>
              <w:rPr>
                <w:rFonts w:eastAsia="SimSun"/>
                <w:szCs w:val="18"/>
                <w:lang w:val="sv-SE" w:eastAsia="zh-CN"/>
              </w:rPr>
            </w:pPr>
            <w:r>
              <w:rPr>
                <w:rFonts w:eastAsia="SimSun"/>
              </w:rPr>
              <w:lastRenderedPageBreak/>
              <w:t>__Issue 4-</w:t>
            </w:r>
            <w:r>
              <w:rPr>
                <w:rFonts w:eastAsia="PMingLiU"/>
                <w:lang w:eastAsia="zh-TW"/>
              </w:rPr>
              <w:t>4</w:t>
            </w:r>
            <w:r>
              <w:rPr>
                <w:rFonts w:eastAsia="SimSun"/>
              </w:rPr>
              <w:t>: RLM</w:t>
            </w:r>
          </w:p>
          <w:p w14:paraId="7C1A5E4B" w14:textId="77777777" w:rsidR="00663151" w:rsidRDefault="00663151" w:rsidP="0016206D">
            <w:pPr>
              <w:pStyle w:val="ListParagraph"/>
              <w:numPr>
                <w:ilvl w:val="0"/>
                <w:numId w:val="20"/>
              </w:numPr>
              <w:overflowPunct w:val="0"/>
              <w:autoSpaceDE w:val="0"/>
              <w:autoSpaceDN w:val="0"/>
              <w:adjustRightInd w:val="0"/>
              <w:spacing w:after="120" w:line="240" w:lineRule="auto"/>
              <w:ind w:left="930"/>
              <w:rPr>
                <w:rFonts w:eastAsia="SimSun"/>
                <w:szCs w:val="24"/>
                <w:lang w:eastAsia="zh-CN"/>
              </w:rPr>
            </w:pPr>
            <w:r>
              <w:rPr>
                <w:rFonts w:eastAsia="PMingLiU"/>
                <w:szCs w:val="24"/>
                <w:lang w:eastAsia="zh-TW"/>
              </w:rPr>
              <w:t xml:space="preserve">For NB NGSO, </w:t>
            </w:r>
            <w:r>
              <w:rPr>
                <w:rFonts w:eastAsia="SimSun"/>
                <w:szCs w:val="24"/>
                <w:lang w:eastAsia="zh-CN"/>
              </w:rPr>
              <w:t xml:space="preserve"> FFS the impact of satellite assistance information validity and t-Service</w:t>
            </w:r>
          </w:p>
          <w:p w14:paraId="162823B2" w14:textId="77777777" w:rsidR="00663151" w:rsidRDefault="00663151" w:rsidP="0016206D">
            <w:pPr>
              <w:pStyle w:val="ListParagraph"/>
              <w:numPr>
                <w:ilvl w:val="0"/>
                <w:numId w:val="20"/>
              </w:numPr>
              <w:overflowPunct w:val="0"/>
              <w:autoSpaceDE w:val="0"/>
              <w:autoSpaceDN w:val="0"/>
              <w:adjustRightInd w:val="0"/>
              <w:spacing w:after="120" w:line="240" w:lineRule="auto"/>
              <w:ind w:left="930"/>
              <w:rPr>
                <w:rFonts w:eastAsia="SimSun"/>
                <w:szCs w:val="24"/>
                <w:lang w:eastAsia="zh-CN"/>
              </w:rPr>
            </w:pPr>
            <w:r>
              <w:rPr>
                <w:rFonts w:eastAsia="SimSun"/>
                <w:szCs w:val="24"/>
                <w:lang w:eastAsia="zh-CN"/>
              </w:rPr>
              <w:t>For M1 NGSO, FFS the impact of satellite assistance information validity and t-Service</w:t>
            </w:r>
          </w:p>
          <w:p w14:paraId="1CEE2E25" w14:textId="77777777" w:rsidR="00663151" w:rsidRDefault="00663151" w:rsidP="0016206D">
            <w:pPr>
              <w:pStyle w:val="ListParagraph"/>
              <w:numPr>
                <w:ilvl w:val="0"/>
                <w:numId w:val="20"/>
              </w:numPr>
              <w:overflowPunct w:val="0"/>
              <w:autoSpaceDE w:val="0"/>
              <w:autoSpaceDN w:val="0"/>
              <w:adjustRightInd w:val="0"/>
              <w:spacing w:after="120" w:line="240" w:lineRule="auto"/>
              <w:ind w:left="930"/>
              <w:rPr>
                <w:rFonts w:eastAsia="SimSun"/>
                <w:szCs w:val="24"/>
                <w:lang w:eastAsia="zh-CN"/>
              </w:rPr>
            </w:pPr>
            <w:r>
              <w:rPr>
                <w:rFonts w:eastAsia="PMingLiU"/>
                <w:szCs w:val="24"/>
                <w:lang w:eastAsia="zh-TW"/>
              </w:rPr>
              <w:t>FFS the following proposal</w:t>
            </w:r>
          </w:p>
          <w:p w14:paraId="786D0A0B" w14:textId="77777777" w:rsidR="00663151" w:rsidRDefault="00663151" w:rsidP="0016206D">
            <w:pPr>
              <w:pStyle w:val="ListParagraph"/>
              <w:numPr>
                <w:ilvl w:val="1"/>
                <w:numId w:val="20"/>
              </w:numPr>
              <w:autoSpaceDN w:val="0"/>
              <w:spacing w:after="120" w:line="240" w:lineRule="auto"/>
              <w:ind w:left="1230"/>
              <w:rPr>
                <w:rFonts w:eastAsia="PMingLiU"/>
                <w:szCs w:val="24"/>
                <w:lang w:eastAsia="zh-TW"/>
              </w:rPr>
            </w:pPr>
            <w:r>
              <w:rPr>
                <w:rFonts w:eastAsia="PMingLiU"/>
                <w:szCs w:val="24"/>
                <w:lang w:eastAsia="zh-TW"/>
              </w:rPr>
              <w:t xml:space="preserve">Option 1: The UE in DRX shall evaluate the RLM according non-DRX requirements provided that the following conditions are met, otherwise the UE is allowed to evaluate following DRX requirements: </w:t>
            </w:r>
          </w:p>
          <w:p w14:paraId="0A274894" w14:textId="77777777" w:rsidR="00663151" w:rsidRDefault="00663151" w:rsidP="0016206D">
            <w:pPr>
              <w:pStyle w:val="ListParagraph"/>
              <w:numPr>
                <w:ilvl w:val="2"/>
                <w:numId w:val="20"/>
              </w:numPr>
              <w:autoSpaceDN w:val="0"/>
              <w:spacing w:after="120" w:line="240" w:lineRule="auto"/>
              <w:ind w:left="1950"/>
              <w:rPr>
                <w:rFonts w:eastAsia="PMingLiU"/>
                <w:szCs w:val="24"/>
                <w:lang w:eastAsia="zh-TW"/>
              </w:rPr>
            </w:pPr>
            <w:r>
              <w:rPr>
                <w:rFonts w:eastAsia="PMingLiU"/>
                <w:szCs w:val="24"/>
                <w:lang w:eastAsia="zh-TW"/>
              </w:rPr>
              <w:t>Satellite assistance information (SAI) is valid i.e. T317 has not expired and</w:t>
            </w:r>
          </w:p>
          <w:p w14:paraId="5A81695D" w14:textId="7CB21D74" w:rsidR="00663151" w:rsidRPr="00C90302" w:rsidRDefault="00663151" w:rsidP="0016206D">
            <w:pPr>
              <w:pStyle w:val="ListParagraph"/>
              <w:numPr>
                <w:ilvl w:val="2"/>
                <w:numId w:val="20"/>
              </w:numPr>
              <w:autoSpaceDN w:val="0"/>
              <w:spacing w:after="120" w:line="240" w:lineRule="auto"/>
              <w:ind w:left="1950"/>
              <w:rPr>
                <w:rFonts w:eastAsia="PMingLiU"/>
                <w:szCs w:val="24"/>
                <w:lang w:eastAsia="zh-TW"/>
              </w:rPr>
            </w:pPr>
            <w:r>
              <w:rPr>
                <w:rFonts w:eastAsia="PMingLiU"/>
                <w:szCs w:val="24"/>
                <w:lang w:eastAsia="zh-TW"/>
              </w:rPr>
              <w:t>Current time of the UE is at least DT seconds earlier than t-Service.</w:t>
            </w:r>
          </w:p>
        </w:tc>
      </w:tr>
    </w:tbl>
    <w:p w14:paraId="7B83A1A8" w14:textId="77777777" w:rsidR="00BE33DE" w:rsidRDefault="00BE33DE" w:rsidP="004B0236">
      <w:pPr>
        <w:rPr>
          <w:lang w:val="en-GB" w:eastAsia="ja-JP"/>
        </w:rPr>
      </w:pPr>
    </w:p>
    <w:p w14:paraId="1B4DA1CA" w14:textId="6DFBA21C" w:rsidR="004A2E52" w:rsidRPr="00502099" w:rsidRDefault="007B257F" w:rsidP="004B0236">
      <w:pPr>
        <w:rPr>
          <w:color w:val="000000" w:themeColor="text1"/>
        </w:rPr>
      </w:pPr>
      <w:r>
        <w:rPr>
          <w:color w:val="000000" w:themeColor="text1"/>
        </w:rPr>
        <w:t xml:space="preserve">As described in </w:t>
      </w:r>
      <w:r w:rsidR="00C8361C">
        <w:rPr>
          <w:color w:val="000000" w:themeColor="text1"/>
        </w:rPr>
        <w:t xml:space="preserve">section 2.2, </w:t>
      </w:r>
      <w:r>
        <w:rPr>
          <w:color w:val="000000" w:themeColor="text1"/>
        </w:rPr>
        <w:t xml:space="preserve">the coverage </w:t>
      </w:r>
      <w:r w:rsidR="00424010">
        <w:rPr>
          <w:color w:val="000000" w:themeColor="text1"/>
        </w:rPr>
        <w:t xml:space="preserve">of a </w:t>
      </w:r>
      <w:r>
        <w:rPr>
          <w:color w:val="000000" w:themeColor="text1"/>
        </w:rPr>
        <w:t xml:space="preserve">cell </w:t>
      </w:r>
      <w:r w:rsidR="00424010">
        <w:rPr>
          <w:color w:val="000000" w:themeColor="text1"/>
        </w:rPr>
        <w:t xml:space="preserve">served by a NTN </w:t>
      </w:r>
      <w:r w:rsidR="00A53FAE">
        <w:rPr>
          <w:color w:val="000000" w:themeColor="text1"/>
        </w:rPr>
        <w:t xml:space="preserve">satellite </w:t>
      </w:r>
      <w:r>
        <w:rPr>
          <w:color w:val="000000" w:themeColor="text1"/>
        </w:rPr>
        <w:t>can be impacted (disappear)</w:t>
      </w:r>
      <w:r w:rsidR="00A53FAE">
        <w:rPr>
          <w:color w:val="000000" w:themeColor="text1"/>
        </w:rPr>
        <w:t xml:space="preserve"> based on type of satellite (e.g. LEO)</w:t>
      </w:r>
      <w:r>
        <w:rPr>
          <w:color w:val="000000" w:themeColor="text1"/>
        </w:rPr>
        <w:t xml:space="preserve">. The coverage information of the serving cell is already provided to the UE as agreed in Rel-17 NTN work. Our view is that that the UE shall evaluate the RLM according to non-DRX requirements when the when the coverage of the satellites is about to disappear e.g. when the current time is close to or equal to ‘t-Service’. </w:t>
      </w:r>
      <w:r w:rsidR="004A2E52">
        <w:rPr>
          <w:color w:val="000000" w:themeColor="text1"/>
        </w:rPr>
        <w:t xml:space="preserve">Similar to the discussions on neighbour cell measurements in section 2.2, the UE configured </w:t>
      </w:r>
      <w:r w:rsidR="004A2E52" w:rsidRPr="00502099">
        <w:rPr>
          <w:color w:val="000000" w:themeColor="text1"/>
        </w:rPr>
        <w:t xml:space="preserve">with DRX can continue to evaluate RLM based on DRX requirements if at least </w:t>
      </w:r>
      <w:r w:rsidR="00675A1E" w:rsidRPr="00502099">
        <w:rPr>
          <w:color w:val="000000" w:themeColor="text1"/>
        </w:rPr>
        <w:sym w:font="Symbol" w:char="F044"/>
      </w:r>
      <w:r w:rsidR="00675A1E" w:rsidRPr="00502099">
        <w:rPr>
          <w:color w:val="000000" w:themeColor="text1"/>
        </w:rPr>
        <w:t xml:space="preserve">T is left until the expiry of the current cell. Otherwise, the UE shall evaluate following the non-DRX </w:t>
      </w:r>
      <w:r w:rsidR="00B93AD7" w:rsidRPr="00502099">
        <w:rPr>
          <w:color w:val="000000" w:themeColor="text1"/>
        </w:rPr>
        <w:t>requirements</w:t>
      </w:r>
      <w:r w:rsidR="00675A1E" w:rsidRPr="00502099">
        <w:rPr>
          <w:color w:val="000000" w:themeColor="text1"/>
        </w:rPr>
        <w:t xml:space="preserve">. </w:t>
      </w:r>
      <w:r w:rsidR="00B93AD7" w:rsidRPr="00502099">
        <w:rPr>
          <w:color w:val="000000" w:themeColor="text1"/>
        </w:rPr>
        <w:sym w:font="Symbol" w:char="F044"/>
      </w:r>
      <w:r w:rsidR="00B93AD7" w:rsidRPr="00502099">
        <w:rPr>
          <w:color w:val="000000" w:themeColor="text1"/>
        </w:rPr>
        <w:t>T can be set to the minimum evaluation period expressed in term of DRX cycles</w:t>
      </w:r>
      <w:r w:rsidR="00C01E6B" w:rsidRPr="00502099">
        <w:rPr>
          <w:color w:val="000000" w:themeColor="text1"/>
        </w:rPr>
        <w:t xml:space="preserve"> which is 5 for eMTC and 10 for NB-IoT assuming longest DRX cycles.</w:t>
      </w:r>
    </w:p>
    <w:p w14:paraId="3A1759A2" w14:textId="297F7F91" w:rsidR="00EB63B3" w:rsidRPr="00502099" w:rsidRDefault="007B257F" w:rsidP="004B0236">
      <w:pPr>
        <w:rPr>
          <w:color w:val="000000" w:themeColor="text1"/>
        </w:rPr>
      </w:pPr>
      <w:r w:rsidRPr="00502099">
        <w:rPr>
          <w:color w:val="000000" w:themeColor="text1"/>
        </w:rPr>
        <w:t>This allow</w:t>
      </w:r>
      <w:r w:rsidR="001B08FF" w:rsidRPr="00502099">
        <w:rPr>
          <w:color w:val="000000" w:themeColor="text1"/>
        </w:rPr>
        <w:t>s</w:t>
      </w:r>
      <w:r w:rsidRPr="00502099">
        <w:rPr>
          <w:color w:val="000000" w:themeColor="text1"/>
        </w:rPr>
        <w:t xml:space="preserve"> the UE to complete an ongoing RLM evaluation or new evaluations before the UE is going to out of coverage wrt to that serving cell.</w:t>
      </w:r>
    </w:p>
    <w:p w14:paraId="1289C99B" w14:textId="77777777" w:rsidR="00166129" w:rsidRPr="00502099" w:rsidRDefault="00FC330E" w:rsidP="0016206D">
      <w:pPr>
        <w:pStyle w:val="Proposal"/>
        <w:numPr>
          <w:ilvl w:val="0"/>
          <w:numId w:val="2"/>
        </w:numPr>
        <w:tabs>
          <w:tab w:val="clear" w:pos="5841"/>
        </w:tabs>
        <w:ind w:left="1701" w:hanging="1701"/>
        <w:rPr>
          <w:color w:val="000000" w:themeColor="text1"/>
          <w:lang w:val="en-GB"/>
        </w:rPr>
      </w:pPr>
      <w:r w:rsidRPr="00502099">
        <w:rPr>
          <w:color w:val="000000" w:themeColor="text1"/>
        </w:rPr>
        <w:t>If the UE is configured with ‘</w:t>
      </w:r>
      <w:r w:rsidRPr="00502099">
        <w:rPr>
          <w:i/>
          <w:color w:val="000000" w:themeColor="text1"/>
        </w:rPr>
        <w:t>t-Service-r17</w:t>
      </w:r>
      <w:r w:rsidRPr="00502099">
        <w:rPr>
          <w:color w:val="000000" w:themeColor="text1"/>
        </w:rPr>
        <w:t xml:space="preserve">’ [2] in the serving cell and DRX_cycle, then </w:t>
      </w:r>
      <w:r w:rsidRPr="00502099">
        <w:rPr>
          <w:snapToGrid w:val="0"/>
          <w:color w:val="000000" w:themeColor="text1"/>
        </w:rPr>
        <w:t xml:space="preserve">at least during </w:t>
      </w:r>
      <w:r w:rsidRPr="00502099">
        <w:rPr>
          <w:color w:val="000000" w:themeColor="text1"/>
        </w:rPr>
        <w:t xml:space="preserve">[5] DRX cycles </w:t>
      </w:r>
      <w:r w:rsidRPr="00502099">
        <w:rPr>
          <w:snapToGrid w:val="0"/>
          <w:color w:val="000000" w:themeColor="text1"/>
        </w:rPr>
        <w:t xml:space="preserve">before </w:t>
      </w:r>
      <w:r w:rsidRPr="00502099">
        <w:rPr>
          <w:i/>
          <w:color w:val="000000" w:themeColor="text1"/>
        </w:rPr>
        <w:t>t-Service</w:t>
      </w:r>
      <w:r w:rsidRPr="00502099">
        <w:rPr>
          <w:i/>
          <w:snapToGrid w:val="0"/>
          <w:color w:val="000000" w:themeColor="text1"/>
        </w:rPr>
        <w:t>-r17</w:t>
      </w:r>
      <w:r w:rsidRPr="00502099">
        <w:rPr>
          <w:snapToGrid w:val="0"/>
          <w:color w:val="000000" w:themeColor="text1"/>
        </w:rPr>
        <w:t xml:space="preserve">, </w:t>
      </w:r>
      <w:r w:rsidRPr="00502099">
        <w:rPr>
          <w:color w:val="000000" w:themeColor="text1"/>
        </w:rPr>
        <w:t xml:space="preserve">the UE shall meet the </w:t>
      </w:r>
      <w:r w:rsidR="00CB46AB" w:rsidRPr="00502099">
        <w:rPr>
          <w:color w:val="000000" w:themeColor="text1"/>
        </w:rPr>
        <w:t xml:space="preserve">non-DRX </w:t>
      </w:r>
      <w:r w:rsidRPr="00502099">
        <w:rPr>
          <w:color w:val="000000" w:themeColor="text1"/>
        </w:rPr>
        <w:t>requirements.</w:t>
      </w:r>
    </w:p>
    <w:p w14:paraId="647DC1F7" w14:textId="12564460" w:rsidR="00FC330E" w:rsidRPr="00502099" w:rsidRDefault="00D010E4" w:rsidP="0016206D">
      <w:pPr>
        <w:pStyle w:val="Proposal"/>
        <w:numPr>
          <w:ilvl w:val="0"/>
          <w:numId w:val="2"/>
        </w:numPr>
        <w:tabs>
          <w:tab w:val="clear" w:pos="5841"/>
        </w:tabs>
        <w:ind w:left="1701" w:hanging="1701"/>
        <w:rPr>
          <w:color w:val="000000" w:themeColor="text1"/>
          <w:lang w:val="en-GB"/>
        </w:rPr>
      </w:pPr>
      <w:r w:rsidRPr="00502099">
        <w:rPr>
          <w:color w:val="000000" w:themeColor="text1"/>
        </w:rPr>
        <w:t>If the UE is configured with ‘</w:t>
      </w:r>
      <w:r w:rsidRPr="00502099">
        <w:rPr>
          <w:i/>
          <w:color w:val="000000" w:themeColor="text1"/>
        </w:rPr>
        <w:t>t-Service-r17</w:t>
      </w:r>
      <w:r w:rsidRPr="00502099">
        <w:rPr>
          <w:color w:val="000000" w:themeColor="text1"/>
        </w:rPr>
        <w:t xml:space="preserve">’ [2] in the serving cell and eDRX_cycle, then </w:t>
      </w:r>
      <w:r w:rsidRPr="00502099">
        <w:rPr>
          <w:snapToGrid w:val="0"/>
          <w:color w:val="000000" w:themeColor="text1"/>
        </w:rPr>
        <w:t xml:space="preserve">at least during </w:t>
      </w:r>
      <w:r w:rsidRPr="00502099">
        <w:rPr>
          <w:color w:val="000000" w:themeColor="text1"/>
        </w:rPr>
        <w:t xml:space="preserve">[1] eDRX cycle </w:t>
      </w:r>
      <w:r w:rsidRPr="00502099">
        <w:rPr>
          <w:snapToGrid w:val="0"/>
          <w:color w:val="000000" w:themeColor="text1"/>
        </w:rPr>
        <w:t xml:space="preserve">before </w:t>
      </w:r>
      <w:r w:rsidRPr="00502099">
        <w:rPr>
          <w:i/>
          <w:color w:val="000000" w:themeColor="text1"/>
        </w:rPr>
        <w:t>t-Service-r17</w:t>
      </w:r>
      <w:r w:rsidRPr="00502099">
        <w:rPr>
          <w:snapToGrid w:val="0"/>
          <w:color w:val="000000" w:themeColor="text1"/>
        </w:rPr>
        <w:t xml:space="preserve">, </w:t>
      </w:r>
      <w:r w:rsidRPr="00502099">
        <w:rPr>
          <w:color w:val="000000" w:themeColor="text1"/>
        </w:rPr>
        <w:t>the UE shall meet the non-DRX requirements.</w:t>
      </w:r>
    </w:p>
    <w:p w14:paraId="47A2474C" w14:textId="08F8ABE0" w:rsidR="00EA57B3" w:rsidRDefault="00EA57B3" w:rsidP="00EA57B3">
      <w:pPr>
        <w:pStyle w:val="Heading2"/>
      </w:pPr>
      <w:r w:rsidRPr="00502099">
        <w:rPr>
          <w:color w:val="000000" w:themeColor="text1"/>
        </w:rPr>
        <w:t>2.4</w:t>
      </w:r>
      <w:r w:rsidRPr="00502099">
        <w:rPr>
          <w:color w:val="000000" w:themeColor="text1"/>
        </w:rPr>
        <w:tab/>
      </w:r>
      <w:r w:rsidR="00DC654A" w:rsidRPr="00502099">
        <w:rPr>
          <w:color w:val="000000" w:themeColor="text1"/>
        </w:rPr>
        <w:t xml:space="preserve">CONNECTED </w:t>
      </w:r>
      <w:r w:rsidR="00DC654A">
        <w:t>mode measurement requirements</w:t>
      </w:r>
    </w:p>
    <w:p w14:paraId="37961ABB" w14:textId="347C6D4F" w:rsidR="00EA57B3" w:rsidRPr="009D2F4C" w:rsidRDefault="00A85E63" w:rsidP="00EA57B3">
      <w:pPr>
        <w:rPr>
          <w:b/>
          <w:bCs/>
          <w:u w:val="single"/>
          <w:lang w:val="en-GB" w:eastAsia="ja-JP"/>
        </w:rPr>
      </w:pPr>
      <w:r>
        <w:rPr>
          <w:b/>
          <w:bCs/>
          <w:u w:val="single"/>
          <w:lang w:val="en-GB" w:eastAsia="ja-JP"/>
        </w:rPr>
        <w:t xml:space="preserve">Measurement </w:t>
      </w:r>
      <w:r w:rsidR="00EA57B3" w:rsidRPr="009D2F4C">
        <w:rPr>
          <w:b/>
          <w:bCs/>
          <w:u w:val="single"/>
          <w:lang w:val="en-GB" w:eastAsia="ja-JP"/>
        </w:rPr>
        <w:t>requirements</w:t>
      </w:r>
    </w:p>
    <w:p w14:paraId="4A29FB80" w14:textId="0F712D9F" w:rsidR="00EA57B3" w:rsidRDefault="004520DD" w:rsidP="004B0236">
      <w:pPr>
        <w:rPr>
          <w:lang w:val="en-GB" w:eastAsia="ja-JP"/>
        </w:rPr>
      </w:pPr>
      <w:r>
        <w:rPr>
          <w:lang w:val="en-GB" w:eastAsia="ja-JP"/>
        </w:rPr>
        <w:t>The CONNECTED mode measurement requirements were discussed with following outcome [1]:</w:t>
      </w:r>
    </w:p>
    <w:tbl>
      <w:tblPr>
        <w:tblStyle w:val="TableGrid"/>
        <w:tblW w:w="0" w:type="auto"/>
        <w:tblLook w:val="04A0" w:firstRow="1" w:lastRow="0" w:firstColumn="1" w:lastColumn="0" w:noHBand="0" w:noVBand="1"/>
      </w:tblPr>
      <w:tblGrid>
        <w:gridCol w:w="9629"/>
      </w:tblGrid>
      <w:tr w:rsidR="00751BF6" w14:paraId="79D98568" w14:textId="77777777" w:rsidTr="00751BF6">
        <w:tc>
          <w:tcPr>
            <w:tcW w:w="9629" w:type="dxa"/>
          </w:tcPr>
          <w:p w14:paraId="26D5E2D1" w14:textId="77777777" w:rsidR="00751BF6" w:rsidRDefault="00751BF6" w:rsidP="0016206D">
            <w:pPr>
              <w:pStyle w:val="ListParagraph"/>
              <w:numPr>
                <w:ilvl w:val="0"/>
                <w:numId w:val="23"/>
              </w:numPr>
              <w:overflowPunct w:val="0"/>
              <w:autoSpaceDE w:val="0"/>
              <w:autoSpaceDN w:val="0"/>
              <w:adjustRightInd w:val="0"/>
              <w:spacing w:after="180" w:line="240" w:lineRule="auto"/>
              <w:rPr>
                <w:rFonts w:ascii="Times New Roman" w:eastAsia="PMingLiU" w:hAnsi="Times New Roman" w:cs="Times New Roman"/>
                <w:iCs/>
                <w:szCs w:val="20"/>
                <w:lang w:val="en-US" w:eastAsia="zh-TW"/>
              </w:rPr>
            </w:pPr>
            <w:r>
              <w:rPr>
                <w:rFonts w:eastAsia="PMingLiU"/>
                <w:iCs/>
                <w:szCs w:val="24"/>
                <w:lang w:eastAsia="zh-TW"/>
              </w:rPr>
              <w:t>FFS the following proposals</w:t>
            </w:r>
          </w:p>
          <w:p w14:paraId="766B2EC2" w14:textId="77777777" w:rsidR="00751BF6" w:rsidRDefault="00751BF6" w:rsidP="0016206D">
            <w:pPr>
              <w:pStyle w:val="ListParagraph"/>
              <w:numPr>
                <w:ilvl w:val="1"/>
                <w:numId w:val="23"/>
              </w:numPr>
              <w:overflowPunct w:val="0"/>
              <w:autoSpaceDE w:val="0"/>
              <w:autoSpaceDN w:val="0"/>
              <w:adjustRightInd w:val="0"/>
              <w:spacing w:after="120" w:line="240" w:lineRule="auto"/>
              <w:rPr>
                <w:rFonts w:eastAsia="SimSun"/>
                <w:szCs w:val="24"/>
                <w:lang w:val="en-GB" w:eastAsia="zh-CN"/>
              </w:rPr>
            </w:pPr>
            <w:r>
              <w:rPr>
                <w:rFonts w:eastAsia="SimSun"/>
                <w:szCs w:val="24"/>
                <w:lang w:eastAsia="zh-CN"/>
              </w:rPr>
              <w:t>For M1 in GEO, the existing M1 TN intra frequency measurement requirements apply, as in 8.13.2.1 for CE mode A and 8.13.3.1 for CE mode B</w:t>
            </w:r>
          </w:p>
          <w:p w14:paraId="08EDC995" w14:textId="77777777" w:rsidR="00751BF6" w:rsidRDefault="00751BF6" w:rsidP="0016206D">
            <w:pPr>
              <w:pStyle w:val="ListParagraph"/>
              <w:numPr>
                <w:ilvl w:val="1"/>
                <w:numId w:val="23"/>
              </w:numPr>
              <w:overflowPunct w:val="0"/>
              <w:autoSpaceDE w:val="0"/>
              <w:autoSpaceDN w:val="0"/>
              <w:adjustRightInd w:val="0"/>
              <w:spacing w:after="120" w:line="240" w:lineRule="auto"/>
              <w:rPr>
                <w:rFonts w:eastAsia="SimSun"/>
                <w:szCs w:val="24"/>
                <w:lang w:eastAsia="zh-CN"/>
              </w:rPr>
            </w:pPr>
            <w:r>
              <w:rPr>
                <w:rFonts w:eastAsia="SimSun"/>
                <w:szCs w:val="24"/>
                <w:lang w:eastAsia="zh-CN"/>
              </w:rPr>
              <w:t>For M1 in GEO, the existing M1 TN inter frequency requirements apply, as in 8.13.2.6 for CE mode A and 8.13.3.5 for CE mode B.</w:t>
            </w:r>
          </w:p>
          <w:p w14:paraId="04598896" w14:textId="39FF79CF" w:rsidR="00751BF6" w:rsidRPr="00751BF6" w:rsidRDefault="00751BF6" w:rsidP="0016206D">
            <w:pPr>
              <w:pStyle w:val="ListParagraph"/>
              <w:numPr>
                <w:ilvl w:val="1"/>
                <w:numId w:val="23"/>
              </w:numPr>
              <w:overflowPunct w:val="0"/>
              <w:autoSpaceDE w:val="0"/>
              <w:autoSpaceDN w:val="0"/>
              <w:adjustRightInd w:val="0"/>
              <w:spacing w:after="120" w:line="240" w:lineRule="auto"/>
              <w:rPr>
                <w:rFonts w:eastAsia="SimSun"/>
                <w:szCs w:val="24"/>
                <w:lang w:eastAsia="zh-CN"/>
              </w:rPr>
            </w:pPr>
            <w:r>
              <w:rPr>
                <w:rFonts w:eastAsia="SimSun"/>
                <w:szCs w:val="24"/>
                <w:lang w:eastAsia="zh-CN"/>
              </w:rPr>
              <w:t>For M1 in NGSO, the delay requirements are scaled up by the number NGSO satellites.</w:t>
            </w:r>
          </w:p>
        </w:tc>
      </w:tr>
    </w:tbl>
    <w:p w14:paraId="25746A95" w14:textId="77777777" w:rsidR="004520DD" w:rsidRDefault="004520DD" w:rsidP="004B0236">
      <w:pPr>
        <w:rPr>
          <w:lang w:val="en-GB" w:eastAsia="ja-JP"/>
        </w:rPr>
      </w:pPr>
    </w:p>
    <w:p w14:paraId="2F901A95" w14:textId="61578EFF" w:rsidR="00D729B9" w:rsidRPr="00502099" w:rsidRDefault="008C61A1" w:rsidP="00B71C39">
      <w:pPr>
        <w:rPr>
          <w:b/>
          <w:bCs/>
          <w:color w:val="000000" w:themeColor="text1"/>
        </w:rPr>
      </w:pPr>
      <w:r>
        <w:rPr>
          <w:lang w:val="en-GB" w:eastAsia="ja-JP"/>
        </w:rPr>
        <w:t xml:space="preserve">Similar to the earlier discussions and proposals </w:t>
      </w:r>
      <w:r w:rsidR="002850AC">
        <w:rPr>
          <w:lang w:val="en-GB" w:eastAsia="ja-JP"/>
        </w:rPr>
        <w:t xml:space="preserve">for the CONNECTED mode mobility procedures </w:t>
      </w:r>
      <w:r>
        <w:rPr>
          <w:lang w:val="en-GB" w:eastAsia="ja-JP"/>
        </w:rPr>
        <w:t xml:space="preserve">above, our view is that the existing intra-frequency and inter-frequency measurements requirements in CE mode A and B can be reused for </w:t>
      </w:r>
      <w:r w:rsidR="00F14088">
        <w:rPr>
          <w:lang w:val="en-GB" w:eastAsia="ja-JP"/>
        </w:rPr>
        <w:t xml:space="preserve">eMTC when the measured is managed by a GEO satellite. </w:t>
      </w:r>
      <w:r w:rsidR="002850AC">
        <w:rPr>
          <w:lang w:val="en-GB" w:eastAsia="ja-JP"/>
        </w:rPr>
        <w:t>For NGSO,</w:t>
      </w:r>
      <w:r w:rsidR="00D729B9">
        <w:rPr>
          <w:lang w:val="en-GB" w:eastAsia="ja-JP"/>
        </w:rPr>
        <w:t xml:space="preserve"> there is no need to scale the existing TN requirements with the </w:t>
      </w:r>
      <w:r w:rsidR="00B71C39">
        <w:rPr>
          <w:lang w:val="en-GB" w:eastAsia="ja-JP"/>
        </w:rPr>
        <w:t xml:space="preserve">number of </w:t>
      </w:r>
      <w:r w:rsidR="005D2980">
        <w:rPr>
          <w:lang w:val="en-GB" w:eastAsia="ja-JP"/>
        </w:rPr>
        <w:t>satellites</w:t>
      </w:r>
      <w:r w:rsidR="00B71C39">
        <w:rPr>
          <w:lang w:val="en-GB" w:eastAsia="ja-JP"/>
        </w:rPr>
        <w:t xml:space="preserve"> since </w:t>
      </w:r>
      <w:r w:rsidR="00D729B9">
        <w:t xml:space="preserve">IoT </w:t>
      </w:r>
      <w:r w:rsidR="00B71C39">
        <w:t xml:space="preserve">requirements are already </w:t>
      </w:r>
      <w:r w:rsidR="00B71C39">
        <w:lastRenderedPageBreak/>
        <w:t xml:space="preserve">relaxed compared to </w:t>
      </w:r>
      <w:r w:rsidR="00B71C39" w:rsidRPr="00502099">
        <w:rPr>
          <w:color w:val="000000" w:themeColor="text1"/>
        </w:rPr>
        <w:t xml:space="preserve">corresponding requirements with 2 Rx. </w:t>
      </w:r>
      <w:r w:rsidR="00D729B9" w:rsidRPr="00502099">
        <w:rPr>
          <w:color w:val="000000" w:themeColor="text1"/>
        </w:rPr>
        <w:t xml:space="preserve">Therefore there is no need to scale the existing TN requirements with a satellite specific factor. </w:t>
      </w:r>
    </w:p>
    <w:p w14:paraId="12F3C2F3" w14:textId="77777777" w:rsidR="00591235" w:rsidRPr="00502099" w:rsidRDefault="005A3DB0" w:rsidP="0016206D">
      <w:pPr>
        <w:pStyle w:val="Proposal"/>
        <w:numPr>
          <w:ilvl w:val="0"/>
          <w:numId w:val="2"/>
        </w:numPr>
        <w:tabs>
          <w:tab w:val="clear" w:pos="5841"/>
        </w:tabs>
        <w:ind w:left="1701" w:hanging="1701"/>
        <w:rPr>
          <w:color w:val="000000" w:themeColor="text1"/>
          <w:lang w:val="en-GB"/>
        </w:rPr>
      </w:pPr>
      <w:r w:rsidRPr="00502099">
        <w:rPr>
          <w:rFonts w:eastAsia="SimSun"/>
          <w:color w:val="000000" w:themeColor="text1"/>
          <w:szCs w:val="24"/>
        </w:rPr>
        <w:t>For M1 in GEO, the existing M1 TN intra frequency measurement requirements apply,   as in 8.13.2.1 for CE mode A and 8.13.3.1 for CE mode B</w:t>
      </w:r>
    </w:p>
    <w:p w14:paraId="63BE031F" w14:textId="77777777" w:rsidR="00591235" w:rsidRPr="00502099" w:rsidRDefault="005A3DB0" w:rsidP="0016206D">
      <w:pPr>
        <w:pStyle w:val="Proposal"/>
        <w:numPr>
          <w:ilvl w:val="0"/>
          <w:numId w:val="2"/>
        </w:numPr>
        <w:tabs>
          <w:tab w:val="clear" w:pos="5841"/>
        </w:tabs>
        <w:ind w:left="1701" w:hanging="1701"/>
        <w:rPr>
          <w:color w:val="000000" w:themeColor="text1"/>
          <w:lang w:val="en-GB"/>
        </w:rPr>
      </w:pPr>
      <w:r w:rsidRPr="00502099">
        <w:rPr>
          <w:rFonts w:eastAsia="SimSun"/>
          <w:color w:val="000000" w:themeColor="text1"/>
          <w:szCs w:val="24"/>
        </w:rPr>
        <w:t>For M1 in GEO, the existing M1 TN inter frequency requirements apply, as in 8.13.2.6 for CE mode A and 8.13.3.5 for CE mode B.</w:t>
      </w:r>
    </w:p>
    <w:p w14:paraId="113D92CE" w14:textId="51D49752" w:rsidR="005A3DB0" w:rsidRPr="00502099" w:rsidRDefault="005A3DB0" w:rsidP="0016206D">
      <w:pPr>
        <w:pStyle w:val="Proposal"/>
        <w:numPr>
          <w:ilvl w:val="0"/>
          <w:numId w:val="2"/>
        </w:numPr>
        <w:tabs>
          <w:tab w:val="clear" w:pos="5841"/>
        </w:tabs>
        <w:ind w:left="1701" w:hanging="1701"/>
        <w:rPr>
          <w:color w:val="000000" w:themeColor="text1"/>
          <w:lang w:val="en-GB"/>
        </w:rPr>
      </w:pPr>
      <w:r w:rsidRPr="00502099">
        <w:rPr>
          <w:rFonts w:eastAsia="SimSun"/>
          <w:color w:val="000000" w:themeColor="text1"/>
          <w:szCs w:val="24"/>
        </w:rPr>
        <w:t>For M1 in NGSO, no need to scale the delay requirements with the number NGSO satellites.</w:t>
      </w:r>
    </w:p>
    <w:p w14:paraId="0D2B1589" w14:textId="11B78CB5" w:rsidR="00287853" w:rsidRDefault="00287853" w:rsidP="004B0236">
      <w:pPr>
        <w:rPr>
          <w:lang w:val="en-GB" w:eastAsia="ja-JP"/>
        </w:rPr>
      </w:pPr>
    </w:p>
    <w:p w14:paraId="41389D87" w14:textId="33ACF045" w:rsidR="00053DC1" w:rsidRDefault="00053DC1" w:rsidP="004B0236">
      <w:pPr>
        <w:rPr>
          <w:lang w:val="en-GB" w:eastAsia="ja-JP"/>
        </w:rPr>
      </w:pPr>
      <w:r>
        <w:rPr>
          <w:lang w:val="en-GB" w:eastAsia="ja-JP"/>
        </w:rPr>
        <w:t xml:space="preserve">Regarding the requirements on channel quality reporting, </w:t>
      </w:r>
      <w:r w:rsidR="00F727FC">
        <w:rPr>
          <w:lang w:val="en-GB" w:eastAsia="ja-JP"/>
        </w:rPr>
        <w:t xml:space="preserve">our corresponding proposal from IDLE mode is applicable also for CONNECTED mode. This means the corresponding TN requirements can be reused for CONNECTED.  </w:t>
      </w:r>
    </w:p>
    <w:p w14:paraId="6BCDEDC6" w14:textId="3A337BA4" w:rsidR="00FF4724" w:rsidRPr="004114E4" w:rsidRDefault="00FF4724" w:rsidP="0016206D">
      <w:pPr>
        <w:pStyle w:val="Proposal"/>
        <w:numPr>
          <w:ilvl w:val="0"/>
          <w:numId w:val="2"/>
        </w:numPr>
        <w:tabs>
          <w:tab w:val="clear" w:pos="5841"/>
        </w:tabs>
        <w:ind w:left="1701" w:hanging="1701"/>
        <w:rPr>
          <w:color w:val="000000" w:themeColor="text1"/>
          <w:lang w:val="en-GB"/>
        </w:rPr>
      </w:pPr>
      <w:r w:rsidRPr="004C3164">
        <w:t xml:space="preserve">For </w:t>
      </w:r>
      <w:r>
        <w:t>eMTC</w:t>
      </w:r>
      <w:r w:rsidRPr="004C3164">
        <w:t xml:space="preserve"> in </w:t>
      </w:r>
      <w:r>
        <w:t>LEO</w:t>
      </w:r>
      <w:r w:rsidRPr="004C3164">
        <w:t xml:space="preserve">, the </w:t>
      </w:r>
      <w:r>
        <w:t>channel quality reporting requirements</w:t>
      </w:r>
      <w:r w:rsidR="005D0191">
        <w:t xml:space="preserve"> (defined for 1.4 MHz) </w:t>
      </w:r>
      <w:r>
        <w:t xml:space="preserve">from </w:t>
      </w:r>
      <w:r w:rsidRPr="004C3164">
        <w:t>TN</w:t>
      </w:r>
      <w:r w:rsidR="00C92940">
        <w:t xml:space="preserve"> in CONNECTED mode </w:t>
      </w:r>
      <w:r>
        <w:t>are reused.</w:t>
      </w:r>
    </w:p>
    <w:p w14:paraId="0195D30B" w14:textId="77777777" w:rsidR="00FF4724" w:rsidRPr="00BE33DE" w:rsidRDefault="00FF4724" w:rsidP="004B0236">
      <w:pPr>
        <w:rPr>
          <w:lang w:val="en-GB" w:eastAsia="ja-JP"/>
        </w:rPr>
      </w:pPr>
    </w:p>
    <w:p w14:paraId="37EB5693" w14:textId="77777777" w:rsidR="00C01F33" w:rsidRPr="00CE0424" w:rsidRDefault="00C01F33" w:rsidP="00CE0424">
      <w:pPr>
        <w:pStyle w:val="Heading1"/>
      </w:pPr>
      <w:r w:rsidRPr="00CE0424">
        <w:t>Conclusion</w:t>
      </w:r>
    </w:p>
    <w:p w14:paraId="40D25753" w14:textId="7939E68F" w:rsidR="00067F3D" w:rsidRDefault="00067F3D" w:rsidP="00067F3D">
      <w:pPr>
        <w:pStyle w:val="BodyText"/>
        <w:rPr>
          <w:rFonts w:cs="Arial"/>
        </w:rPr>
      </w:pPr>
      <w:r w:rsidRPr="00267092">
        <w:rPr>
          <w:rFonts w:cs="Arial"/>
        </w:rPr>
        <w:t xml:space="preserve">In this contribution we have discussed and provided our view on the RRM issues identified in the way forward document at last meeting. More specifically, we have discussed RRM requirements for the different </w:t>
      </w:r>
      <w:r>
        <w:rPr>
          <w:rFonts w:cs="Arial"/>
        </w:rPr>
        <w:t xml:space="preserve">types of </w:t>
      </w:r>
      <w:r w:rsidRPr="00267092">
        <w:rPr>
          <w:rFonts w:cs="Arial"/>
        </w:rPr>
        <w:t xml:space="preserve">mobility procedures in RRC IDLE and CONNECTED mode and also </w:t>
      </w:r>
      <w:r w:rsidR="008617F9">
        <w:rPr>
          <w:rFonts w:cs="Arial"/>
        </w:rPr>
        <w:t xml:space="preserve">provided views on additional topics. </w:t>
      </w:r>
      <w:r w:rsidRPr="00267092">
        <w:rPr>
          <w:rFonts w:cs="Arial"/>
        </w:rPr>
        <w:t>Based on the discussions, we have made following proposals and observations:</w:t>
      </w:r>
    </w:p>
    <w:p w14:paraId="5312EE35" w14:textId="77777777" w:rsidR="00115CF3" w:rsidRDefault="00115CF3" w:rsidP="00067F3D">
      <w:pPr>
        <w:pStyle w:val="BodyText"/>
        <w:rPr>
          <w:rFonts w:cs="Arial"/>
        </w:rPr>
      </w:pPr>
    </w:p>
    <w:p w14:paraId="643B84D8" w14:textId="77777777" w:rsidR="00025FD5" w:rsidRDefault="00025FD5" w:rsidP="00EA4DD8">
      <w:pPr>
        <w:pStyle w:val="Proposal"/>
        <w:numPr>
          <w:ilvl w:val="0"/>
          <w:numId w:val="26"/>
        </w:numPr>
        <w:rPr>
          <w:color w:val="000000" w:themeColor="text1"/>
          <w:lang w:val="en-GB"/>
        </w:rPr>
      </w:pPr>
      <w:r w:rsidRPr="001025E2">
        <w:rPr>
          <w:color w:val="000000" w:themeColor="text1"/>
          <w:lang w:val="en-GB"/>
        </w:rPr>
        <w:t xml:space="preserve">RAN4 to inform RAN2 about RAN4 agreement that RAN4 assumes valid information about neighbour cells are available at the UE to perform the neighbour cell measurements. </w:t>
      </w:r>
    </w:p>
    <w:p w14:paraId="41E225C0" w14:textId="77777777" w:rsidR="00D243C5" w:rsidRPr="006630FD" w:rsidRDefault="00D243C5" w:rsidP="00D243C5">
      <w:pPr>
        <w:pStyle w:val="Proposal"/>
        <w:numPr>
          <w:ilvl w:val="0"/>
          <w:numId w:val="26"/>
        </w:numPr>
        <w:rPr>
          <w:color w:val="000000" w:themeColor="text1"/>
          <w:lang w:val="en-GB"/>
        </w:rPr>
      </w:pPr>
      <w:r w:rsidRPr="006630FD">
        <w:rPr>
          <w:szCs w:val="24"/>
        </w:rPr>
        <w:t>For both NB-IoT and eMTC UEs in NGSO, the number of target satellites UE needs to monitor per carrier is 2 including serving LEO satellite.</w:t>
      </w:r>
    </w:p>
    <w:p w14:paraId="473F683A" w14:textId="77777777" w:rsidR="00D243C5" w:rsidRDefault="00D243C5" w:rsidP="00D243C5">
      <w:pPr>
        <w:pStyle w:val="Proposal"/>
        <w:numPr>
          <w:ilvl w:val="0"/>
          <w:numId w:val="26"/>
        </w:numPr>
        <w:rPr>
          <w:rStyle w:val="IvDbodytextChar"/>
          <w:rFonts w:eastAsia="DengXian"/>
        </w:rPr>
      </w:pPr>
      <w:r w:rsidRPr="006F068E">
        <w:rPr>
          <w:rStyle w:val="IvDbodytextChar"/>
          <w:rFonts w:eastAsia="DengXian"/>
        </w:rPr>
        <w:t xml:space="preserve">Intra-frequency measurements (idle and connected modes) requirements shall be relaxed for neighbor cells which have strong Doppler shift to serving satellite. </w:t>
      </w:r>
    </w:p>
    <w:p w14:paraId="668E4173" w14:textId="77777777" w:rsidR="00D243C5" w:rsidRPr="006F068E" w:rsidRDefault="00D243C5" w:rsidP="00D243C5">
      <w:pPr>
        <w:pStyle w:val="Proposal"/>
        <w:numPr>
          <w:ilvl w:val="0"/>
          <w:numId w:val="26"/>
        </w:numPr>
        <w:rPr>
          <w:rStyle w:val="IvDbodytextChar"/>
          <w:rFonts w:eastAsia="DengXian"/>
        </w:rPr>
      </w:pPr>
      <w:r w:rsidRPr="006F068E">
        <w:rPr>
          <w:rStyle w:val="IvDbodytextChar"/>
          <w:rFonts w:eastAsia="DengXian"/>
        </w:rPr>
        <w:t>Intra-frequency measurements (idle and connected modes) requirements on neighbor cells which have strong Doppler shift to serving satellite can refer to measurement samples inter-frequency measurements.</w:t>
      </w:r>
    </w:p>
    <w:p w14:paraId="1924ECB7" w14:textId="77777777" w:rsidR="00D243C5" w:rsidRDefault="00D243C5" w:rsidP="00D243C5">
      <w:pPr>
        <w:pStyle w:val="Proposal"/>
        <w:numPr>
          <w:ilvl w:val="0"/>
          <w:numId w:val="26"/>
        </w:numPr>
        <w:rPr>
          <w:color w:val="000000" w:themeColor="text1"/>
          <w:lang w:val="en-GB"/>
        </w:rPr>
      </w:pPr>
      <w:r w:rsidRPr="00225551">
        <w:rPr>
          <w:rFonts w:cs="v4.2.0"/>
        </w:rPr>
        <w:t xml:space="preserve">If the UE is configured with </w:t>
      </w:r>
      <w:r w:rsidRPr="00DB23A6">
        <w:t>‘</w:t>
      </w:r>
      <w:r w:rsidRPr="00225551">
        <w:rPr>
          <w:i/>
          <w:iCs/>
        </w:rPr>
        <w:t>t-Service-r17</w:t>
      </w:r>
      <w:r w:rsidRPr="00DB23A6">
        <w:t>’ [2] in the serving cell</w:t>
      </w:r>
      <w:r w:rsidRPr="00225551">
        <w:rPr>
          <w:rFonts w:cs="v4.2.0"/>
        </w:rPr>
        <w:t xml:space="preserve"> and eDRX_cycle, then the UE shall meet the requirements defined for DRX cycle length of [2.56] s </w:t>
      </w:r>
      <w:r w:rsidRPr="00225551">
        <w:rPr>
          <w:rFonts w:cs="v4.2.0"/>
          <w:snapToGrid w:val="0"/>
        </w:rPr>
        <w:t xml:space="preserve">starting from at least [1] eDRX cycle before </w:t>
      </w:r>
      <w:r w:rsidRPr="00BB2E86">
        <w:t>‘</w:t>
      </w:r>
      <w:r w:rsidRPr="00225551">
        <w:rPr>
          <w:i/>
          <w:iCs/>
        </w:rPr>
        <w:t>t-Service-r17</w:t>
      </w:r>
      <w:r w:rsidRPr="00BB2E86">
        <w:t>’.</w:t>
      </w:r>
    </w:p>
    <w:p w14:paraId="3899E15A" w14:textId="77777777" w:rsidR="00D243C5" w:rsidRDefault="00D243C5" w:rsidP="00D243C5">
      <w:pPr>
        <w:pStyle w:val="Proposal"/>
        <w:numPr>
          <w:ilvl w:val="0"/>
          <w:numId w:val="26"/>
        </w:numPr>
        <w:rPr>
          <w:color w:val="000000" w:themeColor="text1"/>
          <w:lang w:val="en-GB"/>
        </w:rPr>
      </w:pPr>
      <w:r w:rsidRPr="00225551">
        <w:rPr>
          <w:rFonts w:cs="v4.2.0"/>
        </w:rPr>
        <w:t xml:space="preserve">If the UE is not configured with eDRX_IDLE cycle and configured with DRX cycle </w:t>
      </w:r>
      <w:r w:rsidRPr="00BB2E86">
        <w:t xml:space="preserve">≥ [1.28] s </w:t>
      </w:r>
      <w:r w:rsidRPr="00225551">
        <w:rPr>
          <w:rFonts w:cs="v4.2.0"/>
        </w:rPr>
        <w:t xml:space="preserve">then </w:t>
      </w:r>
      <w:r w:rsidRPr="00BB2E86">
        <w:t xml:space="preserve">the UE shall meet the requirements defined for DRX cycle of [640] ms during at least [2] configured DRX cycles immediately after </w:t>
      </w:r>
      <w:r w:rsidRPr="00225551">
        <w:rPr>
          <w:i/>
          <w:iCs/>
        </w:rPr>
        <w:t xml:space="preserve">‘t-ServiceStart-r17’ </w:t>
      </w:r>
      <w:r w:rsidRPr="00BB2E86">
        <w:t>[2].</w:t>
      </w:r>
    </w:p>
    <w:p w14:paraId="02670E5E" w14:textId="77777777" w:rsidR="00D243C5" w:rsidRDefault="00D243C5" w:rsidP="00D243C5">
      <w:pPr>
        <w:pStyle w:val="Proposal"/>
        <w:numPr>
          <w:ilvl w:val="0"/>
          <w:numId w:val="26"/>
        </w:numPr>
        <w:rPr>
          <w:color w:val="000000" w:themeColor="text1"/>
          <w:lang w:val="en-GB"/>
        </w:rPr>
      </w:pPr>
      <w:r w:rsidRPr="00225551">
        <w:rPr>
          <w:rFonts w:cs="v4.2.0"/>
        </w:rPr>
        <w:t xml:space="preserve">If the UE is configured with eDRX_IDLE cycle then </w:t>
      </w:r>
      <w:r w:rsidRPr="00BB2E86">
        <w:t xml:space="preserve">the UE shall meet the requirements </w:t>
      </w:r>
      <w:r w:rsidRPr="00DB23A6">
        <w:t xml:space="preserve">defined for eDRX_IDLE cycle of 5.12 s during [2] eDRX_IDLE cycles immediately after </w:t>
      </w:r>
      <w:r w:rsidRPr="00225551">
        <w:rPr>
          <w:i/>
          <w:iCs/>
        </w:rPr>
        <w:t>‘t-ServiceStart-r17’</w:t>
      </w:r>
      <w:r w:rsidRPr="00DB23A6">
        <w:t>.</w:t>
      </w:r>
    </w:p>
    <w:p w14:paraId="469EE95D" w14:textId="77777777" w:rsidR="00D243C5" w:rsidRPr="00225551" w:rsidRDefault="00D243C5" w:rsidP="00D243C5">
      <w:pPr>
        <w:pStyle w:val="Proposal"/>
        <w:numPr>
          <w:ilvl w:val="0"/>
          <w:numId w:val="26"/>
        </w:numPr>
        <w:rPr>
          <w:color w:val="000000" w:themeColor="text1"/>
          <w:lang w:val="en-GB"/>
        </w:rPr>
      </w:pPr>
      <w:r w:rsidRPr="00DB23A6">
        <w:t xml:space="preserve">The UE is allowed to drop paging during [2] DRX cycles immediately after </w:t>
      </w:r>
      <w:r w:rsidRPr="00225551">
        <w:rPr>
          <w:i/>
          <w:iCs/>
        </w:rPr>
        <w:t>‘t-ServiceStart-r17’</w:t>
      </w:r>
      <w:r w:rsidRPr="00DB23A6">
        <w:t>.</w:t>
      </w:r>
    </w:p>
    <w:p w14:paraId="1C907C6E" w14:textId="77777777" w:rsidR="00025FD5" w:rsidRDefault="00025FD5" w:rsidP="00D243C5">
      <w:pPr>
        <w:pStyle w:val="Proposal"/>
        <w:rPr>
          <w:color w:val="000000" w:themeColor="text1"/>
          <w:lang w:val="en-GB"/>
        </w:rPr>
      </w:pPr>
    </w:p>
    <w:p w14:paraId="0D55F7FE" w14:textId="77777777" w:rsidR="00C61594" w:rsidRPr="00B52C79" w:rsidRDefault="00C61594" w:rsidP="00C61594">
      <w:pPr>
        <w:pStyle w:val="Proposal"/>
        <w:numPr>
          <w:ilvl w:val="0"/>
          <w:numId w:val="27"/>
        </w:numPr>
        <w:rPr>
          <w:color w:val="000000" w:themeColor="text1"/>
          <w:lang w:val="en-GB"/>
        </w:rPr>
      </w:pPr>
      <w:r w:rsidRPr="00B52C79">
        <w:rPr>
          <w:szCs w:val="24"/>
        </w:rPr>
        <w:t>New UE capabilities (similar to Rel-17 NTN) for IoT NTN for following:</w:t>
      </w:r>
    </w:p>
    <w:p w14:paraId="36177EC0" w14:textId="77777777" w:rsidR="00C61594" w:rsidRPr="004C3164" w:rsidRDefault="00C61594" w:rsidP="00C61594">
      <w:pPr>
        <w:pStyle w:val="Proposal"/>
        <w:numPr>
          <w:ilvl w:val="0"/>
          <w:numId w:val="15"/>
        </w:numPr>
      </w:pPr>
      <w:r w:rsidRPr="004C3164">
        <w:lastRenderedPageBreak/>
        <w:t>Enhanced RRM requirements for measurements in IDLE and INACTIVE modes</w:t>
      </w:r>
    </w:p>
    <w:p w14:paraId="3E665D6C" w14:textId="77777777" w:rsidR="00C61594" w:rsidRDefault="00C61594" w:rsidP="00C61594">
      <w:pPr>
        <w:pStyle w:val="Proposal"/>
        <w:numPr>
          <w:ilvl w:val="0"/>
          <w:numId w:val="15"/>
        </w:numPr>
      </w:pPr>
      <w:r w:rsidRPr="004C3164">
        <w:t>Relaxed cell reselection on GEO</w:t>
      </w:r>
    </w:p>
    <w:p w14:paraId="781AD19F" w14:textId="77777777" w:rsidR="00C61594" w:rsidRDefault="00C61594" w:rsidP="00C61594">
      <w:pPr>
        <w:pStyle w:val="Proposal"/>
        <w:numPr>
          <w:ilvl w:val="0"/>
          <w:numId w:val="15"/>
        </w:numPr>
      </w:pPr>
      <w:r w:rsidRPr="004C3164">
        <w:t>Parallel measurements on multiple LEO satellites</w:t>
      </w:r>
    </w:p>
    <w:p w14:paraId="5E247D94" w14:textId="77777777" w:rsidR="00D243C5" w:rsidRPr="00D96491" w:rsidRDefault="00D243C5" w:rsidP="00D243C5">
      <w:pPr>
        <w:pStyle w:val="Proposal"/>
        <w:rPr>
          <w:color w:val="000000" w:themeColor="text1"/>
          <w:lang w:val="en-GB"/>
        </w:rPr>
      </w:pPr>
    </w:p>
    <w:p w14:paraId="49A8EAEA" w14:textId="77777777" w:rsidR="00C61594" w:rsidRPr="00C61594" w:rsidRDefault="00C61594" w:rsidP="00C61594">
      <w:pPr>
        <w:pStyle w:val="Proposal"/>
        <w:numPr>
          <w:ilvl w:val="0"/>
          <w:numId w:val="27"/>
        </w:numPr>
        <w:ind w:left="1701" w:hanging="1701"/>
        <w:rPr>
          <w:color w:val="000000" w:themeColor="text1"/>
          <w:lang w:val="en-GB"/>
        </w:rPr>
      </w:pPr>
      <w:r w:rsidRPr="00502099">
        <w:rPr>
          <w:color w:val="000000" w:themeColor="text1"/>
          <w:szCs w:val="24"/>
        </w:rPr>
        <w:t xml:space="preserve">Discontinuous coverage requirements are defined based on at least </w:t>
      </w:r>
      <w:r w:rsidRPr="00502099">
        <w:rPr>
          <w:color w:val="000000" w:themeColor="text1"/>
        </w:rPr>
        <w:t>‘</w:t>
      </w:r>
      <w:r w:rsidRPr="00502099">
        <w:rPr>
          <w:i/>
          <w:iCs/>
          <w:color w:val="000000" w:themeColor="text1"/>
        </w:rPr>
        <w:t>t-Service-r17</w:t>
      </w:r>
      <w:r w:rsidRPr="00502099">
        <w:rPr>
          <w:color w:val="000000" w:themeColor="text1"/>
        </w:rPr>
        <w:t>’ indicating satellite coverage (cell stop time) and ‘</w:t>
      </w:r>
      <w:r w:rsidRPr="00502099">
        <w:rPr>
          <w:i/>
          <w:iCs/>
          <w:color w:val="000000" w:themeColor="text1"/>
        </w:rPr>
        <w:t xml:space="preserve">t-Service-start-r17 </w:t>
      </w:r>
      <w:r w:rsidRPr="00502099">
        <w:rPr>
          <w:color w:val="000000" w:themeColor="text1"/>
        </w:rPr>
        <w:t xml:space="preserve">’. </w:t>
      </w:r>
    </w:p>
    <w:p w14:paraId="7FCC5C91" w14:textId="77777777" w:rsidR="00CA5CC5" w:rsidRPr="00997027" w:rsidRDefault="00CA5CC5" w:rsidP="00CA5CC5">
      <w:pPr>
        <w:pStyle w:val="Caption"/>
        <w:rPr>
          <w:bCs/>
        </w:rPr>
      </w:pPr>
      <w:r>
        <w:t xml:space="preserve">Observation </w:t>
      </w:r>
      <w:r>
        <w:fldChar w:fldCharType="begin"/>
      </w:r>
      <w:r>
        <w:instrText xml:space="preserve"> SEQ Observation \* ARABIC </w:instrText>
      </w:r>
      <w:r>
        <w:fldChar w:fldCharType="separate"/>
      </w:r>
      <w:r>
        <w:rPr>
          <w:noProof/>
        </w:rPr>
        <w:t>1</w:t>
      </w:r>
      <w:r>
        <w:fldChar w:fldCharType="end"/>
      </w:r>
      <w:r>
        <w:tab/>
        <w:t xml:space="preserve">IoT UEs in LTE already support relaxed serving and neighbour cell measurements. </w:t>
      </w:r>
    </w:p>
    <w:p w14:paraId="5E083064" w14:textId="77777777" w:rsidR="00CA5CC5" w:rsidRPr="00A44F33" w:rsidRDefault="00CA5CC5" w:rsidP="00CA5CC5">
      <w:pPr>
        <w:pStyle w:val="Proposal"/>
        <w:numPr>
          <w:ilvl w:val="0"/>
          <w:numId w:val="27"/>
        </w:numPr>
        <w:rPr>
          <w:color w:val="000000" w:themeColor="text1"/>
          <w:lang w:val="en-GB"/>
        </w:rPr>
      </w:pPr>
      <w:r w:rsidRPr="00A44F33">
        <w:rPr>
          <w:szCs w:val="24"/>
        </w:rPr>
        <w:t xml:space="preserve">No need to scale existing TN requirements with </w:t>
      </w:r>
      <w:r w:rsidRPr="00A44F33">
        <w:rPr>
          <w:rFonts w:eastAsia="PMingLiU"/>
          <w:i/>
          <w:iCs/>
          <w:szCs w:val="24"/>
          <w:lang w:eastAsia="zh-TW"/>
        </w:rPr>
        <w:t>K</w:t>
      </w:r>
      <w:r w:rsidRPr="00A44F33">
        <w:rPr>
          <w:rFonts w:eastAsia="PMingLiU"/>
          <w:i/>
          <w:iCs/>
          <w:szCs w:val="24"/>
          <w:vertAlign w:val="subscript"/>
          <w:lang w:eastAsia="zh-TW"/>
        </w:rPr>
        <w:t>Satellite.</w:t>
      </w:r>
    </w:p>
    <w:p w14:paraId="4D87A4D2" w14:textId="77777777" w:rsidR="00EC1FCA" w:rsidRPr="00502099" w:rsidRDefault="00EC1FCA" w:rsidP="00EC1FCA">
      <w:pPr>
        <w:pStyle w:val="Proposal"/>
        <w:numPr>
          <w:ilvl w:val="0"/>
          <w:numId w:val="27"/>
        </w:numPr>
        <w:rPr>
          <w:color w:val="000000" w:themeColor="text1"/>
          <w:lang w:val="en-GB"/>
        </w:rPr>
      </w:pPr>
      <w:r w:rsidRPr="00502099">
        <w:rPr>
          <w:rFonts w:eastAsia="PMingLiU"/>
          <w:iCs/>
          <w:color w:val="000000" w:themeColor="text1"/>
          <w:lang w:eastAsia="zh-TW"/>
        </w:rPr>
        <w:t>In NGSO, the cat-M/NB UE</w:t>
      </w:r>
      <w:r w:rsidRPr="00502099">
        <w:rPr>
          <w:rFonts w:cs="v4.2.0"/>
          <w:color w:val="000000" w:themeColor="text1"/>
          <w:szCs w:val="20"/>
        </w:rPr>
        <w:t xml:space="preserve"> configured with </w:t>
      </w:r>
      <w:r w:rsidRPr="00502099">
        <w:rPr>
          <w:color w:val="000000" w:themeColor="text1"/>
          <w:szCs w:val="20"/>
        </w:rPr>
        <w:t>‘</w:t>
      </w:r>
      <w:r w:rsidRPr="00502099">
        <w:rPr>
          <w:i/>
          <w:iCs/>
          <w:color w:val="000000" w:themeColor="text1"/>
          <w:szCs w:val="20"/>
        </w:rPr>
        <w:t>t-Service</w:t>
      </w:r>
      <w:r w:rsidRPr="00502099">
        <w:rPr>
          <w:color w:val="000000" w:themeColor="text1"/>
          <w:szCs w:val="20"/>
        </w:rPr>
        <w:t>’</w:t>
      </w:r>
      <w:r w:rsidRPr="00502099">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502099">
        <w:rPr>
          <w:color w:val="000000" w:themeColor="text1"/>
          <w:szCs w:val="20"/>
        </w:rPr>
        <w:t>the serving cell is not going to stop serving the area, where the UE is located, at least during the last [4] DRX cycles before ‘</w:t>
      </w:r>
      <w:r w:rsidRPr="00502099">
        <w:rPr>
          <w:i/>
          <w:iCs/>
          <w:color w:val="000000" w:themeColor="text1"/>
          <w:szCs w:val="20"/>
        </w:rPr>
        <w:t>t-Service-r17</w:t>
      </w:r>
      <w:r w:rsidRPr="00502099">
        <w:rPr>
          <w:color w:val="000000" w:themeColor="text1"/>
          <w:szCs w:val="20"/>
        </w:rPr>
        <w:t>’ if not configured with eDRX_IDLE cycle.</w:t>
      </w:r>
    </w:p>
    <w:p w14:paraId="67CAEAC6" w14:textId="77777777" w:rsidR="00EC1FCA" w:rsidRPr="00502099" w:rsidRDefault="00EC1FCA" w:rsidP="00EC1FCA">
      <w:pPr>
        <w:pStyle w:val="Proposal"/>
        <w:numPr>
          <w:ilvl w:val="0"/>
          <w:numId w:val="27"/>
        </w:numPr>
        <w:rPr>
          <w:color w:val="000000" w:themeColor="text1"/>
          <w:lang w:val="en-GB"/>
        </w:rPr>
      </w:pPr>
      <w:r w:rsidRPr="00502099">
        <w:rPr>
          <w:rFonts w:eastAsia="PMingLiU"/>
          <w:iCs/>
          <w:color w:val="000000" w:themeColor="text1"/>
          <w:lang w:eastAsia="zh-TW"/>
        </w:rPr>
        <w:t>In NGSO, the cat-M/NB UE</w:t>
      </w:r>
      <w:r w:rsidRPr="00502099">
        <w:rPr>
          <w:rFonts w:cs="v4.2.0"/>
          <w:color w:val="000000" w:themeColor="text1"/>
          <w:szCs w:val="20"/>
        </w:rPr>
        <w:t xml:space="preserve"> configured with </w:t>
      </w:r>
      <w:r w:rsidRPr="00502099">
        <w:rPr>
          <w:color w:val="000000" w:themeColor="text1"/>
          <w:szCs w:val="20"/>
        </w:rPr>
        <w:t>‘</w:t>
      </w:r>
      <w:r w:rsidRPr="00502099">
        <w:rPr>
          <w:i/>
          <w:iCs/>
          <w:color w:val="000000" w:themeColor="text1"/>
          <w:szCs w:val="20"/>
        </w:rPr>
        <w:t>t-Service</w:t>
      </w:r>
      <w:r w:rsidRPr="00502099">
        <w:rPr>
          <w:color w:val="000000" w:themeColor="text1"/>
          <w:szCs w:val="20"/>
        </w:rPr>
        <w:t>’</w:t>
      </w:r>
      <w:r w:rsidRPr="00502099">
        <w:rPr>
          <w:rFonts w:eastAsia="PMingLiU"/>
          <w:iCs/>
          <w:color w:val="000000" w:themeColor="text1"/>
          <w:lang w:eastAsia="zh-TW"/>
        </w:rPr>
        <w:t xml:space="preserve"> in IDLE mode is allowed to meet the relaxed serving cell measurement requirements provided that the UE has met the existing relaxation conditions and </w:t>
      </w:r>
      <w:r w:rsidRPr="00502099">
        <w:rPr>
          <w:color w:val="000000" w:themeColor="text1"/>
          <w:szCs w:val="20"/>
        </w:rPr>
        <w:t>the serving cell is not going to stop serving the area, where the UE is located, at least during the last [1] DRX cycles before ‘</w:t>
      </w:r>
      <w:r w:rsidRPr="00502099">
        <w:rPr>
          <w:i/>
          <w:iCs/>
          <w:color w:val="000000" w:themeColor="text1"/>
          <w:szCs w:val="20"/>
        </w:rPr>
        <w:t>t-Service-r17</w:t>
      </w:r>
      <w:r w:rsidRPr="00502099">
        <w:rPr>
          <w:color w:val="000000" w:themeColor="text1"/>
          <w:szCs w:val="20"/>
        </w:rPr>
        <w:t>’ if configured with eDRX_IDLE cycle.</w:t>
      </w:r>
    </w:p>
    <w:p w14:paraId="1630418E" w14:textId="77777777" w:rsidR="00EC1FCA" w:rsidRPr="00502099" w:rsidRDefault="00EC1FCA" w:rsidP="00EC1FCA">
      <w:pPr>
        <w:pStyle w:val="Proposal"/>
        <w:numPr>
          <w:ilvl w:val="0"/>
          <w:numId w:val="27"/>
        </w:numPr>
        <w:rPr>
          <w:color w:val="000000" w:themeColor="text1"/>
          <w:lang w:val="en-GB"/>
        </w:rPr>
      </w:pPr>
      <w:r w:rsidRPr="00502099">
        <w:rPr>
          <w:rFonts w:eastAsia="PMingLiU"/>
          <w:iCs/>
          <w:color w:val="000000" w:themeColor="text1"/>
          <w:lang w:eastAsia="zh-TW"/>
        </w:rPr>
        <w:t xml:space="preserve">In NGSO, the serving cell measurement relaxation factor is reused from corresponding TN requirements for eMTC and NB-IOT in IDLE mode when cell is served by a GEO satellite. </w:t>
      </w:r>
    </w:p>
    <w:p w14:paraId="544F906B" w14:textId="77777777" w:rsidR="00EC1FCA" w:rsidRPr="00502099" w:rsidRDefault="00EC1FCA" w:rsidP="00EC1FCA">
      <w:pPr>
        <w:pStyle w:val="Proposal"/>
        <w:numPr>
          <w:ilvl w:val="0"/>
          <w:numId w:val="27"/>
        </w:numPr>
        <w:rPr>
          <w:color w:val="000000" w:themeColor="text1"/>
          <w:lang w:val="en-GB"/>
        </w:rPr>
      </w:pPr>
      <w:r w:rsidRPr="00502099">
        <w:rPr>
          <w:rFonts w:eastAsia="PMingLiU"/>
          <w:iCs/>
          <w:color w:val="000000" w:themeColor="text1"/>
          <w:lang w:eastAsia="zh-TW"/>
        </w:rPr>
        <w:t>In NGSO, the serving cell measurement relaxation factor is reduced by factor N from corresponding TN requirements for eMTC and NB-IOT in IDLE mode when cell is served by a LEO satellite compared to corresponding GEO satellite, where N=[2].</w:t>
      </w:r>
    </w:p>
    <w:p w14:paraId="70D8D36F" w14:textId="77777777" w:rsidR="00EC1FCA" w:rsidRPr="00502099" w:rsidRDefault="00EC1FCA" w:rsidP="00EC1FCA">
      <w:pPr>
        <w:pStyle w:val="Proposal"/>
        <w:numPr>
          <w:ilvl w:val="0"/>
          <w:numId w:val="27"/>
        </w:numPr>
        <w:rPr>
          <w:color w:val="000000" w:themeColor="text1"/>
          <w:lang w:val="en-GB"/>
        </w:rPr>
      </w:pPr>
      <w:r w:rsidRPr="00502099">
        <w:rPr>
          <w:rFonts w:eastAsia="PMingLiU"/>
          <w:iCs/>
          <w:color w:val="000000" w:themeColor="text1"/>
          <w:lang w:eastAsia="zh-TW"/>
        </w:rPr>
        <w:t xml:space="preserve">The eMTC and NB-IoT UE is allowed to meet the relaxed neighbour cell requirements provided that it has found more than [1] satellite including the serving satellite. </w:t>
      </w:r>
    </w:p>
    <w:p w14:paraId="6216656B" w14:textId="77777777" w:rsidR="00EC1FCA" w:rsidRPr="00502099" w:rsidRDefault="00EC1FCA" w:rsidP="00EC1FCA">
      <w:pPr>
        <w:pStyle w:val="Proposal"/>
        <w:numPr>
          <w:ilvl w:val="0"/>
          <w:numId w:val="27"/>
        </w:numPr>
        <w:rPr>
          <w:color w:val="000000" w:themeColor="text1"/>
          <w:lang w:val="en-GB"/>
        </w:rPr>
      </w:pPr>
      <w:r w:rsidRPr="00502099">
        <w:rPr>
          <w:color w:val="000000" w:themeColor="text1"/>
        </w:rPr>
        <w:t xml:space="preserve">For Enhanced coverage, the current intra- and inter-frequency measurement requirements (Tdetect, Tmeasure, Tevaluate) from TN can be reused for IoT NTN for eMTC and NB-IoT. </w:t>
      </w:r>
    </w:p>
    <w:p w14:paraId="103DAB64" w14:textId="77777777" w:rsidR="00EC1FCA" w:rsidRPr="00502099" w:rsidRDefault="00EC1FCA" w:rsidP="00EC1FCA">
      <w:pPr>
        <w:pStyle w:val="Proposal"/>
        <w:numPr>
          <w:ilvl w:val="0"/>
          <w:numId w:val="27"/>
        </w:numPr>
        <w:rPr>
          <w:rFonts w:eastAsia="PMingLiU"/>
          <w:iCs/>
          <w:color w:val="000000" w:themeColor="text1"/>
          <w:lang w:eastAsia="zh-TW"/>
        </w:rPr>
      </w:pPr>
      <w:r w:rsidRPr="00502099">
        <w:rPr>
          <w:color w:val="000000" w:themeColor="text1"/>
        </w:rPr>
        <w:t>For eMTC in LEO, the channel quality reporting requirements (defined for 1.4 MHz) from TN in IDLE mode are reused.</w:t>
      </w:r>
    </w:p>
    <w:p w14:paraId="28E4D5EC" w14:textId="77777777" w:rsidR="00EC1FCA" w:rsidRPr="00502099" w:rsidRDefault="00EC1FCA" w:rsidP="00EC1FCA">
      <w:pPr>
        <w:pStyle w:val="Proposal"/>
        <w:numPr>
          <w:ilvl w:val="0"/>
          <w:numId w:val="27"/>
        </w:numPr>
        <w:rPr>
          <w:rFonts w:eastAsia="PMingLiU"/>
          <w:iCs/>
          <w:color w:val="000000" w:themeColor="text1"/>
          <w:lang w:eastAsia="zh-TW"/>
        </w:rPr>
      </w:pPr>
      <w:r w:rsidRPr="00502099">
        <w:rPr>
          <w:color w:val="000000" w:themeColor="text1"/>
        </w:rPr>
        <w:t>For eMTC and NB-IOT, the WUS reception requirements from TN requirements are reused.</w:t>
      </w:r>
    </w:p>
    <w:p w14:paraId="5CECD7B4"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t>RAN4 shall not reuse the legacy RSRP-based TA validation for PUR in IoT NTN.</w:t>
      </w:r>
    </w:p>
    <w:p w14:paraId="6EA3AF68"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t xml:space="preserve">The UE update the uplink timing for transmitting on PUR using the configured TA command </w:t>
      </w:r>
      <w:r w:rsidRPr="00502099">
        <w:rPr>
          <w:rFonts w:eastAsia="Times New Roman" w:cs="Arial"/>
          <w:color w:val="000000" w:themeColor="text1"/>
        </w:rPr>
        <w:t xml:space="preserve">according to TS 36.211 v17.2.0 i.e. transmission of uplink radio frame number </w:t>
      </w:r>
      <w:r w:rsidRPr="00502099">
        <w:rPr>
          <w:color w:val="000000" w:themeColor="text1"/>
          <w:position w:val="-6"/>
        </w:rPr>
        <w:object w:dxaOrig="139" w:dyaOrig="240" w14:anchorId="37310543">
          <v:shape id="_x0000_i1029" type="#_x0000_t75" style="width:6.95pt;height:14.2pt" o:ole="">
            <v:imagedata r:id="rId19" o:title=""/>
          </v:shape>
          <o:OLEObject Type="Embed" ProgID="Equation.3" ShapeID="_x0000_i1029" DrawAspect="Content" ObjectID="_1726081460" r:id="rId22"/>
        </w:object>
      </w:r>
      <w:r w:rsidRPr="00502099">
        <w:rPr>
          <w:rFonts w:eastAsia="Times New Roman" w:cs="Arial"/>
          <w:color w:val="000000" w:themeColor="text1"/>
        </w:rPr>
        <w:t xml:space="preserve"> from the UE starts </w:t>
      </w:r>
      <m:oMath>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T</m:t>
            </m:r>
          </m:e>
          <m:sub>
            <m:r>
              <m:rPr>
                <m:nor/>
              </m:rPr>
              <w:rPr>
                <w:rFonts w:eastAsia="Times New Roman" w:cs="Arial"/>
                <w:color w:val="000000" w:themeColor="text1"/>
              </w:rPr>
              <m:t>TA</m:t>
            </m:r>
          </m:sub>
        </m:sSub>
        <m:r>
          <m:rPr>
            <m:sty m:val="bi"/>
          </m:rPr>
          <w:rPr>
            <w:rFonts w:ascii="Cambria Math" w:eastAsia="Times New Roman" w:hAnsi="Cambria Math" w:cs="Arial"/>
            <w:color w:val="000000" w:themeColor="text1"/>
          </w:rPr>
          <m:t>=</m:t>
        </m:r>
        <m:d>
          <m:dPr>
            <m:ctrlPr>
              <w:rPr>
                <w:rFonts w:ascii="Cambria Math" w:eastAsia="Times New Roman" w:hAnsi="Cambria Math" w:cs="Arial"/>
                <w:i/>
                <w:color w:val="000000" w:themeColor="text1"/>
              </w:rPr>
            </m:ctrlPr>
          </m:dPr>
          <m:e>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m:t>
                </m:r>
              </m:sub>
            </m:sSub>
            <m:r>
              <m:rPr>
                <m:sty m:val="bi"/>
              </m:rPr>
              <w:rPr>
                <w:rFonts w:ascii="Cambria Math" w:eastAsia="Times New Roman" w:hAnsi="Cambria Math" w:cs="Arial"/>
                <w:color w:val="000000" w:themeColor="text1"/>
              </w:rPr>
              <m:t>+</m:t>
            </m:r>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TA,offset</m:t>
                </m:r>
              </m:sub>
            </m:sSub>
            <m:r>
              <m:rPr>
                <m:sty m:val="bi"/>
              </m:rPr>
              <w:rPr>
                <w:rFonts w:ascii="Cambria Math" w:eastAsia="Times New Roman" w:hAnsi="Cambria Math" w:cs="Arial"/>
                <w:color w:val="000000" w:themeColor="text1"/>
              </w:rPr>
              <m:t>+</m:t>
            </m:r>
            <m:sSubSup>
              <m:sSubSupPr>
                <m:ctrlPr>
                  <w:rPr>
                    <w:rFonts w:ascii="Cambria Math" w:eastAsia="Times New Roman" w:hAnsi="Cambria Math" w:cs="Arial"/>
                    <w:i/>
                    <w:color w:val="000000" w:themeColor="text1"/>
                  </w:rPr>
                </m:ctrlPr>
              </m:sSubSup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TA,adj</m:t>
                </m:r>
              </m:sub>
              <m:sup>
                <m:r>
                  <m:rPr>
                    <m:nor/>
                  </m:rPr>
                  <w:rPr>
                    <w:rFonts w:eastAsia="Times New Roman" w:cs="Arial"/>
                    <w:color w:val="000000" w:themeColor="text1"/>
                  </w:rPr>
                  <m:t>common</m:t>
                </m:r>
              </m:sup>
            </m:sSubSup>
            <m:r>
              <m:rPr>
                <m:sty m:val="bi"/>
              </m:rPr>
              <w:rPr>
                <w:rFonts w:ascii="Cambria Math" w:eastAsia="Times New Roman" w:hAnsi="Cambria Math" w:cs="Arial"/>
                <w:color w:val="000000" w:themeColor="text1"/>
              </w:rPr>
              <m:t>+</m:t>
            </m:r>
            <m:sSubSup>
              <m:sSubSupPr>
                <m:ctrlPr>
                  <w:rPr>
                    <w:rFonts w:ascii="Cambria Math" w:eastAsia="Times New Roman" w:hAnsi="Cambria Math" w:cs="Arial"/>
                    <w:i/>
                    <w:color w:val="000000" w:themeColor="text1"/>
                  </w:rPr>
                </m:ctrlPr>
              </m:sSubSupPr>
              <m:e>
                <m:r>
                  <m:rPr>
                    <m:sty m:val="bi"/>
                  </m:rPr>
                  <w:rPr>
                    <w:rFonts w:ascii="Cambria Math" w:eastAsia="Times New Roman" w:hAnsi="Cambria Math" w:cs="Arial"/>
                    <w:color w:val="000000" w:themeColor="text1"/>
                  </w:rPr>
                  <m:t>N</m:t>
                </m:r>
              </m:e>
              <m:sub>
                <m:r>
                  <m:rPr>
                    <m:nor/>
                  </m:rPr>
                  <w:rPr>
                    <w:rFonts w:eastAsia="Times New Roman" w:cs="Arial"/>
                    <w:color w:val="000000" w:themeColor="text1"/>
                  </w:rPr>
                  <m:t>TA,adj</m:t>
                </m:r>
              </m:sub>
              <m:sup>
                <m:r>
                  <m:rPr>
                    <m:nor/>
                  </m:rPr>
                  <w:rPr>
                    <w:rFonts w:eastAsia="Times New Roman" w:cs="Arial"/>
                    <w:color w:val="000000" w:themeColor="text1"/>
                  </w:rPr>
                  <m:t>UE</m:t>
                </m:r>
              </m:sup>
            </m:sSubSup>
          </m:e>
        </m:d>
        <m:sSub>
          <m:sSubPr>
            <m:ctrlPr>
              <w:rPr>
                <w:rFonts w:ascii="Cambria Math" w:eastAsia="Times New Roman" w:hAnsi="Cambria Math" w:cs="Arial"/>
                <w:i/>
                <w:color w:val="000000" w:themeColor="text1"/>
              </w:rPr>
            </m:ctrlPr>
          </m:sSubPr>
          <m:e>
            <m:r>
              <m:rPr>
                <m:sty m:val="bi"/>
              </m:rPr>
              <w:rPr>
                <w:rFonts w:ascii="Cambria Math" w:eastAsia="Times New Roman" w:hAnsi="Cambria Math" w:cs="Arial"/>
                <w:color w:val="000000" w:themeColor="text1"/>
              </w:rPr>
              <m:t>T</m:t>
            </m:r>
          </m:e>
          <m:sub>
            <m:r>
              <m:rPr>
                <m:nor/>
              </m:rPr>
              <w:rPr>
                <w:rFonts w:eastAsia="Times New Roman" w:cs="Arial"/>
                <w:color w:val="000000" w:themeColor="text1"/>
              </w:rPr>
              <m:t>s</m:t>
            </m:r>
          </m:sub>
        </m:sSub>
      </m:oMath>
    </w:p>
    <w:p w14:paraId="7944EA7B" w14:textId="77777777" w:rsidR="00EA25D3" w:rsidRPr="00EA25D3" w:rsidRDefault="00EA25D3" w:rsidP="00EA25D3">
      <w:pPr>
        <w:pStyle w:val="Proposal"/>
        <w:numPr>
          <w:ilvl w:val="0"/>
          <w:numId w:val="27"/>
        </w:numPr>
        <w:rPr>
          <w:color w:val="000000" w:themeColor="text1"/>
          <w:lang w:val="en-GB"/>
        </w:rPr>
      </w:pPr>
      <w:r w:rsidRPr="00502099">
        <w:rPr>
          <w:color w:val="000000" w:themeColor="text1"/>
        </w:rPr>
        <w:t xml:space="preserve">The UE assumes TA is valid provided that the following conditions are met, otherwise the TA is considered invalid: </w:t>
      </w:r>
    </w:p>
    <w:p w14:paraId="5A002813" w14:textId="77777777" w:rsidR="00EA25D3" w:rsidRPr="00502099" w:rsidRDefault="00EA25D3" w:rsidP="00EA25D3">
      <w:pPr>
        <w:pStyle w:val="ListParagraph"/>
        <w:numPr>
          <w:ilvl w:val="8"/>
          <w:numId w:val="27"/>
        </w:numPr>
        <w:overflowPunct w:val="0"/>
        <w:autoSpaceDE w:val="0"/>
        <w:autoSpaceDN w:val="0"/>
        <w:spacing w:after="180" w:line="276" w:lineRule="auto"/>
        <w:rPr>
          <w:b/>
          <w:bCs/>
          <w:color w:val="000000" w:themeColor="text1"/>
          <w:lang w:val="en-US"/>
        </w:rPr>
      </w:pPr>
      <w:r w:rsidRPr="00502099">
        <w:rPr>
          <w:b/>
          <w:bCs/>
          <w:color w:val="000000" w:themeColor="text1"/>
          <w:lang w:val="en-US"/>
        </w:rPr>
        <w:t>Satellite assistance information (SAI) is valid i.e. T317 has not expired and</w:t>
      </w:r>
    </w:p>
    <w:p w14:paraId="530E4874" w14:textId="77777777" w:rsidR="00EA25D3" w:rsidRPr="0050727B" w:rsidRDefault="00EA25D3" w:rsidP="00EA25D3">
      <w:pPr>
        <w:pStyle w:val="ListParagraph"/>
        <w:numPr>
          <w:ilvl w:val="8"/>
          <w:numId w:val="27"/>
        </w:numPr>
        <w:overflowPunct w:val="0"/>
        <w:autoSpaceDE w:val="0"/>
        <w:autoSpaceDN w:val="0"/>
        <w:spacing w:after="180" w:line="276" w:lineRule="auto"/>
        <w:rPr>
          <w:b/>
          <w:bCs/>
          <w:lang w:val="en-US"/>
        </w:rPr>
      </w:pPr>
      <w:r w:rsidRPr="00502099">
        <w:rPr>
          <w:b/>
          <w:bCs/>
          <w:color w:val="000000" w:themeColor="text1"/>
          <w:lang w:val="en-US"/>
        </w:rPr>
        <w:t>Current time of the UE is at least DT seconds earlier than t-Service, where DT is the configured PUR periodicity</w:t>
      </w:r>
      <w:r w:rsidRPr="0050727B">
        <w:rPr>
          <w:b/>
          <w:bCs/>
          <w:lang w:val="en-US"/>
        </w:rPr>
        <w:t>.</w:t>
      </w:r>
    </w:p>
    <w:p w14:paraId="13C6A900" w14:textId="77777777" w:rsidR="00EA25D3" w:rsidRPr="00502099" w:rsidRDefault="00EA25D3" w:rsidP="00EA25D3">
      <w:pPr>
        <w:pStyle w:val="Proposal"/>
        <w:ind w:left="1304"/>
        <w:rPr>
          <w:color w:val="000000" w:themeColor="text1"/>
          <w:lang w:val="en-GB"/>
        </w:rPr>
      </w:pPr>
    </w:p>
    <w:p w14:paraId="16EBD419"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t>Existing TN RRC connection release with redirection requirements are reused for NTN IoT.</w:t>
      </w:r>
    </w:p>
    <w:p w14:paraId="703480AC"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lastRenderedPageBreak/>
        <w:t>Existing TN random access requirements are reused for NTN IoT.RAN4 shall not reuse the legacy RSRP-based TA validation for PUR in IoT NTN.</w:t>
      </w:r>
    </w:p>
    <w:p w14:paraId="29392C2A"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t>Existing TN RRC re-establishment requirements are reused for NTN IoT.</w:t>
      </w:r>
    </w:p>
    <w:p w14:paraId="1FDAEB39" w14:textId="77777777" w:rsidR="00EA25D3" w:rsidRPr="00D26D5D" w:rsidRDefault="00EA25D3" w:rsidP="00EA25D3">
      <w:pPr>
        <w:pStyle w:val="Proposal"/>
        <w:numPr>
          <w:ilvl w:val="0"/>
          <w:numId w:val="27"/>
        </w:numPr>
        <w:rPr>
          <w:rFonts w:eastAsia="Times New Roman" w:cs="Arial"/>
          <w:iCs/>
          <w:lang w:eastAsia="zh-TW"/>
        </w:rPr>
      </w:pPr>
      <w:r w:rsidRPr="00900509">
        <w:t xml:space="preserve">RRC re-establishment shall be started before or at the least at the time instance of expiry of serving cell coverage </w:t>
      </w:r>
      <w:r w:rsidRPr="00D26D5D">
        <w:rPr>
          <w:b w:val="0"/>
          <w:bCs w:val="0"/>
        </w:rPr>
        <w:t>(</w:t>
      </w:r>
      <w:r w:rsidRPr="00D26D5D">
        <w:rPr>
          <w:b w:val="0"/>
          <w:bCs w:val="0"/>
          <w:i/>
          <w:iCs/>
        </w:rPr>
        <w:t>‘t-Service’</w:t>
      </w:r>
      <w:r w:rsidRPr="00900509">
        <w:t>).</w:t>
      </w:r>
    </w:p>
    <w:p w14:paraId="5E5FB4A2" w14:textId="77777777" w:rsidR="00EA25D3" w:rsidRDefault="00EA25D3" w:rsidP="00EA25D3">
      <w:pPr>
        <w:pStyle w:val="Proposal"/>
        <w:numPr>
          <w:ilvl w:val="0"/>
          <w:numId w:val="27"/>
        </w:numPr>
      </w:pPr>
      <w:r>
        <w:t xml:space="preserve">The legacy </w:t>
      </w:r>
      <w:r w:rsidRPr="00A14EB4">
        <w:t xml:space="preserve">RRC </w:t>
      </w:r>
      <w:r>
        <w:t xml:space="preserve">redirection </w:t>
      </w:r>
      <w:r w:rsidRPr="00486981">
        <w:t xml:space="preserve">to non-anchor carrier </w:t>
      </w:r>
      <w:r>
        <w:t xml:space="preserve">delay requirements for NB-IoT can be reused for </w:t>
      </w:r>
      <w:r w:rsidRPr="00A14EB4">
        <w:t xml:space="preserve">RRC </w:t>
      </w:r>
      <w:r>
        <w:t xml:space="preserve">redirection </w:t>
      </w:r>
      <w:r w:rsidRPr="00486981">
        <w:t xml:space="preserve">to non-anchor carrier </w:t>
      </w:r>
      <w:r>
        <w:t xml:space="preserve">delay requirements for NB-IoT with satellite access. </w:t>
      </w:r>
    </w:p>
    <w:p w14:paraId="18A19DDF" w14:textId="77777777" w:rsidR="00EA25D3" w:rsidRPr="00502099" w:rsidRDefault="00EA25D3" w:rsidP="00EA25D3">
      <w:pPr>
        <w:pStyle w:val="Proposal"/>
        <w:numPr>
          <w:ilvl w:val="0"/>
          <w:numId w:val="27"/>
        </w:numPr>
        <w:rPr>
          <w:color w:val="000000" w:themeColor="text1"/>
        </w:rPr>
      </w:pPr>
      <w:r>
        <w:t>The</w:t>
      </w:r>
      <w:r w:rsidRPr="00742975">
        <w:t xml:space="preserve"> </w:t>
      </w:r>
      <w:r w:rsidRPr="00A14EB4">
        <w:t>RRC</w:t>
      </w:r>
      <w:r>
        <w:t xml:space="preserve"> </w:t>
      </w:r>
      <w:r w:rsidRPr="00486981">
        <w:t xml:space="preserve">redirection to non-anchor carrier </w:t>
      </w:r>
      <w:r>
        <w:t xml:space="preserve">delay requirements for NB-IoT with satellite are applicable provided that the </w:t>
      </w:r>
      <w:r w:rsidRPr="00742975">
        <w:t>anchor and the target non-anchor carrier</w:t>
      </w:r>
      <w:r>
        <w:t>s</w:t>
      </w:r>
      <w:r w:rsidRPr="00742975">
        <w:t xml:space="preserve"> </w:t>
      </w:r>
      <w:r w:rsidRPr="00502099">
        <w:rPr>
          <w:color w:val="000000" w:themeColor="text1"/>
        </w:rPr>
        <w:t>are served by the same satellite access node and frequencies of the anchor and the target non-anchor carriers are within 20 MHz.</w:t>
      </w:r>
    </w:p>
    <w:p w14:paraId="569CE15F"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t xml:space="preserve">The legacy RRC connection release with redirection delay requirements for UE category M1 in CE Mode A can be reused for RRC connection release with redirection delay requirements for UE category M1 in CE Mode A with satellite access. </w:t>
      </w:r>
    </w:p>
    <w:p w14:paraId="45D0284D"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t xml:space="preserve">The same RRC connection release with redirection delay requirements can be applied regardless of whether the serving and the target cells are served by the same or by different satellite access nodes  </w:t>
      </w:r>
    </w:p>
    <w:p w14:paraId="4927E4E5" w14:textId="77777777" w:rsidR="00EA25D3" w:rsidRPr="00502099" w:rsidRDefault="00EA25D3" w:rsidP="00EA25D3">
      <w:pPr>
        <w:pStyle w:val="Proposal"/>
        <w:numPr>
          <w:ilvl w:val="0"/>
          <w:numId w:val="27"/>
        </w:numPr>
        <w:rPr>
          <w:color w:val="000000" w:themeColor="text1"/>
          <w:lang w:val="en-GB"/>
        </w:rPr>
      </w:pPr>
      <w:r w:rsidRPr="00502099">
        <w:rPr>
          <w:color w:val="000000" w:themeColor="text1"/>
        </w:rPr>
        <w:t>RAN4 to define the CHO requirements base eMTC in Rel-18 IoT NTN.</w:t>
      </w:r>
    </w:p>
    <w:p w14:paraId="1D39F169" w14:textId="77777777" w:rsidR="00126017" w:rsidRPr="00502099" w:rsidRDefault="00126017" w:rsidP="00126017">
      <w:pPr>
        <w:pStyle w:val="Proposal"/>
        <w:numPr>
          <w:ilvl w:val="0"/>
          <w:numId w:val="27"/>
        </w:numPr>
        <w:rPr>
          <w:color w:val="000000" w:themeColor="text1"/>
          <w:lang w:val="en-GB"/>
        </w:rPr>
      </w:pPr>
      <w:r w:rsidRPr="00502099">
        <w:rPr>
          <w:rFonts w:eastAsiaTheme="minorEastAsia"/>
          <w:color w:val="000000" w:themeColor="text1"/>
        </w:rPr>
        <w:t xml:space="preserve">The reference point for </w:t>
      </w:r>
      <w:r w:rsidRPr="00502099">
        <w:rPr>
          <w:rFonts w:eastAsia="PMingLiU"/>
          <w:iCs/>
          <w:color w:val="000000" w:themeColor="text1"/>
          <w:lang w:eastAsia="zh-TW"/>
        </w:rPr>
        <w:t>T</w:t>
      </w:r>
      <w:r w:rsidRPr="00502099">
        <w:rPr>
          <w:rFonts w:eastAsia="PMingLiU"/>
          <w:iCs/>
          <w:color w:val="000000" w:themeColor="text1"/>
          <w:vertAlign w:val="subscript"/>
          <w:lang w:eastAsia="zh-TW"/>
        </w:rPr>
        <w:t>e_NTN</w:t>
      </w:r>
      <w:r w:rsidRPr="00502099">
        <w:rPr>
          <w:rFonts w:eastAsiaTheme="minorEastAsia"/>
          <w:color w:val="000000" w:themeColor="text1"/>
        </w:rPr>
        <w:t xml:space="preserve"> should be the downlink timing of the reference cell minus (</w:t>
      </w:r>
      <w:r w:rsidRPr="00502099">
        <w:rPr>
          <w:rFonts w:eastAsia="Yu Mincho"/>
          <w:i/>
          <w:color w:val="000000" w:themeColor="text1"/>
        </w:rPr>
        <w:t>N</w:t>
      </w:r>
      <w:r w:rsidRPr="00502099">
        <w:rPr>
          <w:rFonts w:eastAsia="Yu Mincho"/>
          <w:color w:val="000000" w:themeColor="text1"/>
          <w:vertAlign w:val="subscript"/>
        </w:rPr>
        <w:t>TA</w:t>
      </w:r>
      <w:r w:rsidRPr="00502099">
        <w:rPr>
          <w:rFonts w:eastAsia="Yu Mincho"/>
          <w:i/>
          <w:color w:val="000000" w:themeColor="text1"/>
        </w:rPr>
        <w:t xml:space="preserve"> + N</w:t>
      </w:r>
      <w:r w:rsidRPr="00502099">
        <w:rPr>
          <w:rFonts w:eastAsia="Yu Mincho"/>
          <w:color w:val="000000" w:themeColor="text1"/>
          <w:vertAlign w:val="subscript"/>
        </w:rPr>
        <w:t>TA-offset</w:t>
      </w:r>
      <w:r w:rsidRPr="00502099">
        <w:rPr>
          <w:rFonts w:eastAsia="Yu Mincho"/>
          <w:i/>
          <w:color w:val="000000" w:themeColor="text1"/>
        </w:rPr>
        <w:t xml:space="preserve"> + N</w:t>
      </w:r>
      <w:r w:rsidRPr="00502099">
        <w:rPr>
          <w:rFonts w:eastAsia="Yu Mincho"/>
          <w:color w:val="000000" w:themeColor="text1"/>
          <w:vertAlign w:val="subscript"/>
        </w:rPr>
        <w:t>TA,common</w:t>
      </w:r>
      <w:r w:rsidRPr="00502099">
        <w:rPr>
          <w:rFonts w:eastAsia="Yu Mincho"/>
          <w:i/>
          <w:color w:val="000000" w:themeColor="text1"/>
        </w:rPr>
        <w:t xml:space="preserve"> + N</w:t>
      </w:r>
      <w:r w:rsidRPr="00502099">
        <w:rPr>
          <w:rFonts w:eastAsia="Yu Mincho"/>
          <w:color w:val="000000" w:themeColor="text1"/>
          <w:vertAlign w:val="subscript"/>
        </w:rPr>
        <w:t>TA,UE-specific</w:t>
      </w:r>
      <w:r w:rsidRPr="00502099">
        <w:rPr>
          <w:rFonts w:eastAsia="Yu Mincho"/>
          <w:color w:val="000000" w:themeColor="text1"/>
        </w:rPr>
        <w:t>)</w:t>
      </w:r>
      <w:r w:rsidRPr="00502099">
        <w:rPr>
          <w:rFonts w:eastAsia="Yu Mincho"/>
          <w:i/>
          <w:color w:val="000000" w:themeColor="text1"/>
          <w:lang w:eastAsia="ko-KR"/>
        </w:rPr>
        <w:t>×</w:t>
      </w:r>
      <w:r w:rsidRPr="00502099">
        <w:rPr>
          <w:rFonts w:eastAsia="Yu Mincho"/>
          <w:color w:val="000000" w:themeColor="text1"/>
        </w:rPr>
        <w:t>T</w:t>
      </w:r>
      <w:r w:rsidRPr="00502099">
        <w:rPr>
          <w:rFonts w:eastAsia="Yu Mincho"/>
          <w:color w:val="000000" w:themeColor="text1"/>
          <w:vertAlign w:val="subscript"/>
        </w:rPr>
        <w:t>s.</w:t>
      </w:r>
      <w:r w:rsidRPr="00502099">
        <w:rPr>
          <w:b w:val="0"/>
          <w:bCs w:val="0"/>
          <w:color w:val="000000" w:themeColor="text1"/>
        </w:rPr>
        <w:t xml:space="preserve"> </w:t>
      </w:r>
    </w:p>
    <w:p w14:paraId="479BF4D7" w14:textId="77777777" w:rsidR="00126017" w:rsidRPr="00D84807" w:rsidRDefault="00126017" w:rsidP="00126017">
      <w:pPr>
        <w:pStyle w:val="Proposal"/>
        <w:numPr>
          <w:ilvl w:val="0"/>
          <w:numId w:val="27"/>
        </w:numPr>
        <w:rPr>
          <w:color w:val="000000" w:themeColor="text1"/>
          <w:lang w:val="en-GB"/>
        </w:rPr>
      </w:pPr>
      <w:r w:rsidRPr="00D84807">
        <w:rPr>
          <w:rFonts w:eastAsiaTheme="minorEastAsia"/>
        </w:rPr>
        <w:t xml:space="preserve">The agreement from Rel-17 NR NTN on relaxed Te due to GNSS estimation accuracy is reused. </w:t>
      </w:r>
      <w:r w:rsidRPr="00D84807">
        <w:rPr>
          <w:b w:val="0"/>
          <w:bCs w:val="0"/>
        </w:rPr>
        <w:t xml:space="preserve"> </w:t>
      </w:r>
    </w:p>
    <w:p w14:paraId="583DF81C" w14:textId="77777777" w:rsidR="00126017" w:rsidRPr="00502099" w:rsidRDefault="00126017" w:rsidP="00126017">
      <w:pPr>
        <w:pStyle w:val="Proposal"/>
        <w:numPr>
          <w:ilvl w:val="0"/>
          <w:numId w:val="27"/>
        </w:numPr>
        <w:rPr>
          <w:color w:val="000000" w:themeColor="text1"/>
          <w:lang w:val="en-GB"/>
        </w:rPr>
      </w:pPr>
      <w:r w:rsidRPr="00502099">
        <w:rPr>
          <w:color w:val="000000" w:themeColor="text1"/>
        </w:rPr>
        <w:t>If the UE is configured with ‘</w:t>
      </w:r>
      <w:r w:rsidRPr="00502099">
        <w:rPr>
          <w:i/>
          <w:color w:val="000000" w:themeColor="text1"/>
        </w:rPr>
        <w:t>t-Service-r17</w:t>
      </w:r>
      <w:r w:rsidRPr="00502099">
        <w:rPr>
          <w:color w:val="000000" w:themeColor="text1"/>
        </w:rPr>
        <w:t xml:space="preserve">’ [2] in the serving cell and DRX_cycle, then </w:t>
      </w:r>
      <w:r w:rsidRPr="00502099">
        <w:rPr>
          <w:snapToGrid w:val="0"/>
          <w:color w:val="000000" w:themeColor="text1"/>
        </w:rPr>
        <w:t xml:space="preserve">at least during </w:t>
      </w:r>
      <w:r w:rsidRPr="00502099">
        <w:rPr>
          <w:color w:val="000000" w:themeColor="text1"/>
        </w:rPr>
        <w:t xml:space="preserve">[5] DRX cycles </w:t>
      </w:r>
      <w:r w:rsidRPr="00502099">
        <w:rPr>
          <w:snapToGrid w:val="0"/>
          <w:color w:val="000000" w:themeColor="text1"/>
        </w:rPr>
        <w:t xml:space="preserve">before </w:t>
      </w:r>
      <w:r w:rsidRPr="00502099">
        <w:rPr>
          <w:i/>
          <w:color w:val="000000" w:themeColor="text1"/>
        </w:rPr>
        <w:t>t-Service</w:t>
      </w:r>
      <w:r w:rsidRPr="00502099">
        <w:rPr>
          <w:i/>
          <w:snapToGrid w:val="0"/>
          <w:color w:val="000000" w:themeColor="text1"/>
        </w:rPr>
        <w:t>-r17</w:t>
      </w:r>
      <w:r w:rsidRPr="00502099">
        <w:rPr>
          <w:snapToGrid w:val="0"/>
          <w:color w:val="000000" w:themeColor="text1"/>
        </w:rPr>
        <w:t xml:space="preserve">, </w:t>
      </w:r>
      <w:r w:rsidRPr="00502099">
        <w:rPr>
          <w:color w:val="000000" w:themeColor="text1"/>
        </w:rPr>
        <w:t>the UE shall meet the non-DRX requirements.</w:t>
      </w:r>
    </w:p>
    <w:p w14:paraId="5C642B0E" w14:textId="77777777" w:rsidR="00126017" w:rsidRPr="00502099" w:rsidRDefault="00126017" w:rsidP="00126017">
      <w:pPr>
        <w:pStyle w:val="Proposal"/>
        <w:numPr>
          <w:ilvl w:val="0"/>
          <w:numId w:val="27"/>
        </w:numPr>
        <w:rPr>
          <w:color w:val="000000" w:themeColor="text1"/>
          <w:lang w:val="en-GB"/>
        </w:rPr>
      </w:pPr>
      <w:r w:rsidRPr="00502099">
        <w:rPr>
          <w:color w:val="000000" w:themeColor="text1"/>
        </w:rPr>
        <w:t>If the UE is configured with ‘</w:t>
      </w:r>
      <w:r w:rsidRPr="00502099">
        <w:rPr>
          <w:i/>
          <w:color w:val="000000" w:themeColor="text1"/>
        </w:rPr>
        <w:t>t-Service-r17</w:t>
      </w:r>
      <w:r w:rsidRPr="00502099">
        <w:rPr>
          <w:color w:val="000000" w:themeColor="text1"/>
        </w:rPr>
        <w:t xml:space="preserve">’ [2] in the serving cell and eDRX_cycle, then </w:t>
      </w:r>
      <w:r w:rsidRPr="00502099">
        <w:rPr>
          <w:snapToGrid w:val="0"/>
          <w:color w:val="000000" w:themeColor="text1"/>
        </w:rPr>
        <w:t xml:space="preserve">at least during </w:t>
      </w:r>
      <w:r w:rsidRPr="00502099">
        <w:rPr>
          <w:color w:val="000000" w:themeColor="text1"/>
        </w:rPr>
        <w:t xml:space="preserve">[1] eDRX cycle </w:t>
      </w:r>
      <w:r w:rsidRPr="00502099">
        <w:rPr>
          <w:snapToGrid w:val="0"/>
          <w:color w:val="000000" w:themeColor="text1"/>
        </w:rPr>
        <w:t xml:space="preserve">before </w:t>
      </w:r>
      <w:r w:rsidRPr="00502099">
        <w:rPr>
          <w:i/>
          <w:color w:val="000000" w:themeColor="text1"/>
        </w:rPr>
        <w:t>t-Service-r17</w:t>
      </w:r>
      <w:r w:rsidRPr="00502099">
        <w:rPr>
          <w:snapToGrid w:val="0"/>
          <w:color w:val="000000" w:themeColor="text1"/>
        </w:rPr>
        <w:t xml:space="preserve">, </w:t>
      </w:r>
      <w:r w:rsidRPr="00502099">
        <w:rPr>
          <w:color w:val="000000" w:themeColor="text1"/>
        </w:rPr>
        <w:t>the UE shall meet the non-DRX requirements.</w:t>
      </w:r>
    </w:p>
    <w:p w14:paraId="61858D6C" w14:textId="77777777" w:rsidR="00126017" w:rsidRPr="00502099" w:rsidRDefault="00126017" w:rsidP="00126017">
      <w:pPr>
        <w:pStyle w:val="Proposal"/>
        <w:numPr>
          <w:ilvl w:val="0"/>
          <w:numId w:val="27"/>
        </w:numPr>
        <w:rPr>
          <w:color w:val="000000" w:themeColor="text1"/>
          <w:lang w:val="en-GB"/>
        </w:rPr>
      </w:pPr>
      <w:r w:rsidRPr="00502099">
        <w:rPr>
          <w:rFonts w:eastAsia="SimSun"/>
          <w:color w:val="000000" w:themeColor="text1"/>
          <w:szCs w:val="24"/>
        </w:rPr>
        <w:t>For M1 in GEO, the existing M1 TN intra frequency measurement requirements apply,   as in 8.13.2.1 for CE mode A and 8.13.3.1 for CE mode B</w:t>
      </w:r>
    </w:p>
    <w:p w14:paraId="5B8F534E" w14:textId="77777777" w:rsidR="00126017" w:rsidRPr="00502099" w:rsidRDefault="00126017" w:rsidP="00126017">
      <w:pPr>
        <w:pStyle w:val="Proposal"/>
        <w:numPr>
          <w:ilvl w:val="0"/>
          <w:numId w:val="27"/>
        </w:numPr>
        <w:rPr>
          <w:color w:val="000000" w:themeColor="text1"/>
          <w:lang w:val="en-GB"/>
        </w:rPr>
      </w:pPr>
      <w:r w:rsidRPr="00502099">
        <w:rPr>
          <w:rFonts w:eastAsia="SimSun"/>
          <w:color w:val="000000" w:themeColor="text1"/>
          <w:szCs w:val="24"/>
        </w:rPr>
        <w:t>For M1 in GEO, the existing M1 TN inter frequency requirements apply, as in 8.13.2.6 for CE mode A and 8.13.3.5 for CE mode B.</w:t>
      </w:r>
    </w:p>
    <w:p w14:paraId="247BC6D5" w14:textId="77777777" w:rsidR="00126017" w:rsidRPr="00502099" w:rsidRDefault="00126017" w:rsidP="00126017">
      <w:pPr>
        <w:pStyle w:val="Proposal"/>
        <w:numPr>
          <w:ilvl w:val="0"/>
          <w:numId w:val="27"/>
        </w:numPr>
        <w:rPr>
          <w:color w:val="000000" w:themeColor="text1"/>
          <w:lang w:val="en-GB"/>
        </w:rPr>
      </w:pPr>
      <w:r w:rsidRPr="00502099">
        <w:rPr>
          <w:rFonts w:eastAsia="SimSun"/>
          <w:color w:val="000000" w:themeColor="text1"/>
          <w:szCs w:val="24"/>
        </w:rPr>
        <w:t>For M1 in NGSO, no need to scale the delay requirements with the number NGSO satellites.</w:t>
      </w:r>
    </w:p>
    <w:p w14:paraId="0BF4CFE1" w14:textId="77777777" w:rsidR="00126017" w:rsidRPr="004114E4" w:rsidRDefault="00126017" w:rsidP="00126017">
      <w:pPr>
        <w:pStyle w:val="Proposal"/>
        <w:numPr>
          <w:ilvl w:val="0"/>
          <w:numId w:val="27"/>
        </w:numPr>
        <w:rPr>
          <w:color w:val="000000" w:themeColor="text1"/>
          <w:lang w:val="en-GB"/>
        </w:rPr>
      </w:pPr>
      <w:r w:rsidRPr="004C3164">
        <w:t xml:space="preserve">For </w:t>
      </w:r>
      <w:r>
        <w:t>eMTC</w:t>
      </w:r>
      <w:r w:rsidRPr="004C3164">
        <w:t xml:space="preserve"> in </w:t>
      </w:r>
      <w:r>
        <w:t>LEO</w:t>
      </w:r>
      <w:r w:rsidRPr="004C3164">
        <w:t xml:space="preserve">, the </w:t>
      </w:r>
      <w:r>
        <w:t xml:space="preserve">channel quality reporting requirements (defined for 1.4 MHz) from </w:t>
      </w:r>
      <w:r w:rsidRPr="004C3164">
        <w:t>TN</w:t>
      </w:r>
      <w:r>
        <w:t xml:space="preserve"> in CONNECTED mode are reused.</w:t>
      </w:r>
    </w:p>
    <w:p w14:paraId="7831ADF6" w14:textId="77777777" w:rsidR="00C61594" w:rsidRPr="00502099" w:rsidRDefault="00C61594" w:rsidP="00D91FA5">
      <w:pPr>
        <w:pStyle w:val="Proposal"/>
        <w:ind w:left="1701"/>
        <w:rPr>
          <w:color w:val="000000" w:themeColor="text1"/>
          <w:lang w:val="en-GB"/>
        </w:rPr>
      </w:pPr>
    </w:p>
    <w:p w14:paraId="145DE27C" w14:textId="77777777" w:rsidR="00395C8E" w:rsidRDefault="00395C8E" w:rsidP="00067F3D">
      <w:pPr>
        <w:pStyle w:val="BodyText"/>
        <w:rPr>
          <w:rFonts w:cs="Arial"/>
        </w:rPr>
      </w:pPr>
    </w:p>
    <w:p w14:paraId="71D79D99" w14:textId="77777777" w:rsidR="00F507D1" w:rsidRPr="00CE0424" w:rsidRDefault="00F507D1" w:rsidP="00CE0424">
      <w:pPr>
        <w:pStyle w:val="Heading1"/>
      </w:pPr>
      <w:bookmarkStart w:id="4" w:name="_In-sequence_SDU_delivery"/>
      <w:bookmarkEnd w:id="4"/>
      <w:r w:rsidRPr="00CE0424">
        <w:t>References</w:t>
      </w:r>
    </w:p>
    <w:p w14:paraId="77C5E852" w14:textId="76D289CA" w:rsidR="005F3025" w:rsidRDefault="005E702C" w:rsidP="00311702">
      <w:pPr>
        <w:pStyle w:val="Reference"/>
      </w:pPr>
      <w:bookmarkStart w:id="5" w:name="_Ref174151459"/>
      <w:bookmarkStart w:id="6" w:name="_Ref189809556"/>
      <w:r w:rsidRPr="005E702C">
        <w:t>R4-2214350</w:t>
      </w:r>
      <w:r>
        <w:t xml:space="preserve">, </w:t>
      </w:r>
      <w:r w:rsidR="00CC52A8" w:rsidRPr="00CC52A8">
        <w:t>"</w:t>
      </w:r>
      <w:r w:rsidR="00B34E9B" w:rsidRPr="00B34E9B">
        <w:t xml:space="preserve"> WF on LTE IoT NTN RRM requirements </w:t>
      </w:r>
      <w:r w:rsidR="00CC52A8" w:rsidRPr="00CC52A8">
        <w:t xml:space="preserve">", </w:t>
      </w:r>
      <w:r w:rsidR="00686E96" w:rsidRPr="00686E96">
        <w:t>Moderator (MediaTek inc.)</w:t>
      </w:r>
    </w:p>
    <w:p w14:paraId="731B23AA" w14:textId="4715DC43" w:rsidR="00E925EF" w:rsidRDefault="00063912" w:rsidP="00311702">
      <w:pPr>
        <w:pStyle w:val="Reference"/>
      </w:pPr>
      <w:r>
        <w:t>TS 36.133 V</w:t>
      </w:r>
      <w:r w:rsidR="005E2FE0">
        <w:t>16.7.0</w:t>
      </w:r>
      <w:bookmarkEnd w:id="5"/>
      <w:bookmarkEnd w:id="6"/>
    </w:p>
    <w:p w14:paraId="5B77EF92" w14:textId="097F69C9" w:rsidR="004B01E6" w:rsidRDefault="004B01E6" w:rsidP="00311702">
      <w:pPr>
        <w:pStyle w:val="Reference"/>
      </w:pPr>
      <w:r w:rsidRPr="004B01E6">
        <w:t>R4-2216768</w:t>
      </w:r>
      <w:r>
        <w:t>, “</w:t>
      </w:r>
      <w:r w:rsidR="009C045E" w:rsidRPr="009C045E">
        <w:t>IDLE mode requirements for IoT NTN (cat-M)</w:t>
      </w:r>
      <w:r>
        <w:t xml:space="preserve">”, </w:t>
      </w:r>
      <w:r w:rsidRPr="004B01E6">
        <w:t>Ericsson</w:t>
      </w:r>
    </w:p>
    <w:sectPr w:rsidR="004B01E6"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6E566" w14:textId="77777777" w:rsidR="00CF2DDE" w:rsidRDefault="00CF2DDE">
      <w:r>
        <w:separator/>
      </w:r>
    </w:p>
  </w:endnote>
  <w:endnote w:type="continuationSeparator" w:id="0">
    <w:p w14:paraId="61DB5F97" w14:textId="77777777" w:rsidR="00CF2DDE" w:rsidRDefault="00CF2DDE">
      <w:r>
        <w:continuationSeparator/>
      </w:r>
    </w:p>
  </w:endnote>
  <w:endnote w:type="continuationNotice" w:id="1">
    <w:p w14:paraId="66BB2502" w14:textId="77777777" w:rsidR="00CF2DDE" w:rsidRDefault="00CF2D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F8F7B" w14:textId="77777777" w:rsidR="00CF2DDE" w:rsidRDefault="00CF2DDE">
      <w:r>
        <w:separator/>
      </w:r>
    </w:p>
  </w:footnote>
  <w:footnote w:type="continuationSeparator" w:id="0">
    <w:p w14:paraId="4D4E95CC" w14:textId="77777777" w:rsidR="00CF2DDE" w:rsidRDefault="00CF2DDE">
      <w:r>
        <w:continuationSeparator/>
      </w:r>
    </w:p>
  </w:footnote>
  <w:footnote w:type="continuationNotice" w:id="1">
    <w:p w14:paraId="4F61A2DE" w14:textId="77777777" w:rsidR="00CF2DDE" w:rsidRDefault="00CF2D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2005181D"/>
    <w:multiLevelType w:val="hybridMultilevel"/>
    <w:tmpl w:val="A3AC7F8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960" w:hanging="480"/>
      </w:pPr>
      <w:rPr>
        <w:rFonts w:ascii="Wingdings" w:hAnsi="Wingdings" w:hint="default"/>
      </w:rPr>
    </w:lvl>
    <w:lvl w:ilvl="2" w:tplc="33BE7CB0">
      <w:start w:val="1"/>
      <w:numFmt w:val="bullet"/>
      <w:lvlText w:val="-"/>
      <w:lvlJc w:val="left"/>
      <w:pPr>
        <w:ind w:left="1440" w:hanging="480"/>
      </w:pPr>
      <w:rPr>
        <w:rFonts w:ascii="Arial" w:eastAsia="Times New Roman" w:hAnsi="Arial" w:cs="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D26A22"/>
    <w:multiLevelType w:val="hybridMultilevel"/>
    <w:tmpl w:val="2190EF48"/>
    <w:lvl w:ilvl="0" w:tplc="55367B56">
      <w:start w:val="2"/>
      <w:numFmt w:val="bullet"/>
      <w:lvlText w:val=""/>
      <w:lvlJc w:val="left"/>
      <w:pPr>
        <w:ind w:left="2061" w:hanging="360"/>
      </w:pPr>
      <w:rPr>
        <w:rFonts w:ascii="Symbol" w:eastAsiaTheme="minorHAnsi" w:hAnsi="Symbol" w:cstheme="minorBidi"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10"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6E65752"/>
    <w:multiLevelType w:val="hybridMultilevel"/>
    <w:tmpl w:val="7FAC4766"/>
    <w:lvl w:ilvl="0" w:tplc="D2B040C6">
      <w:start w:val="1"/>
      <w:numFmt w:val="decimal"/>
      <w:lvlText w:val="Proposal %1"/>
      <w:lvlJc w:val="left"/>
      <w:pPr>
        <w:tabs>
          <w:tab w:val="num" w:pos="5841"/>
        </w:tabs>
        <w:ind w:left="5841" w:hanging="130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5841"/>
        </w:tabs>
        <w:ind w:left="5841"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EE20C5"/>
    <w:multiLevelType w:val="hybridMultilevel"/>
    <w:tmpl w:val="C8EED476"/>
    <w:lvl w:ilvl="0" w:tplc="13A29AA0">
      <w:start w:val="9"/>
      <w:numFmt w:val="decimal"/>
      <w:lvlText w:val="Proposal %1"/>
      <w:lvlJc w:val="left"/>
      <w:pPr>
        <w:tabs>
          <w:tab w:val="num" w:pos="1304"/>
        </w:tabs>
        <w:ind w:left="1304" w:hanging="1304"/>
      </w:pPr>
      <w:rPr>
        <w:rFonts w:hint="default"/>
      </w:rPr>
    </w:lvl>
    <w:lvl w:ilvl="1" w:tplc="20000019" w:tentative="1">
      <w:start w:val="1"/>
      <w:numFmt w:val="lowerLetter"/>
      <w:lvlText w:val="%2."/>
      <w:lvlJc w:val="left"/>
      <w:pPr>
        <w:ind w:left="-3097" w:hanging="360"/>
      </w:pPr>
    </w:lvl>
    <w:lvl w:ilvl="2" w:tplc="2000001B" w:tentative="1">
      <w:start w:val="1"/>
      <w:numFmt w:val="lowerRoman"/>
      <w:lvlText w:val="%3."/>
      <w:lvlJc w:val="right"/>
      <w:pPr>
        <w:ind w:left="-2377" w:hanging="180"/>
      </w:pPr>
    </w:lvl>
    <w:lvl w:ilvl="3" w:tplc="2000000F">
      <w:start w:val="1"/>
      <w:numFmt w:val="decimal"/>
      <w:lvlText w:val="%4."/>
      <w:lvlJc w:val="left"/>
      <w:pPr>
        <w:ind w:left="-1657" w:hanging="360"/>
      </w:pPr>
    </w:lvl>
    <w:lvl w:ilvl="4" w:tplc="20000019">
      <w:start w:val="1"/>
      <w:numFmt w:val="lowerLetter"/>
      <w:lvlText w:val="%5."/>
      <w:lvlJc w:val="left"/>
      <w:pPr>
        <w:ind w:left="-937" w:hanging="360"/>
      </w:pPr>
    </w:lvl>
    <w:lvl w:ilvl="5" w:tplc="2000001B">
      <w:start w:val="1"/>
      <w:numFmt w:val="lowerRoman"/>
      <w:lvlText w:val="%6."/>
      <w:lvlJc w:val="right"/>
      <w:pPr>
        <w:ind w:left="-217" w:hanging="180"/>
      </w:pPr>
    </w:lvl>
    <w:lvl w:ilvl="6" w:tplc="2000000F">
      <w:start w:val="1"/>
      <w:numFmt w:val="decimal"/>
      <w:lvlText w:val="%7."/>
      <w:lvlJc w:val="left"/>
      <w:pPr>
        <w:ind w:left="503" w:hanging="360"/>
      </w:pPr>
    </w:lvl>
    <w:lvl w:ilvl="7" w:tplc="20000019">
      <w:start w:val="1"/>
      <w:numFmt w:val="lowerLetter"/>
      <w:lvlText w:val="%8."/>
      <w:lvlJc w:val="left"/>
      <w:pPr>
        <w:ind w:left="1223" w:hanging="360"/>
      </w:pPr>
    </w:lvl>
    <w:lvl w:ilvl="8" w:tplc="2000001B">
      <w:start w:val="1"/>
      <w:numFmt w:val="lowerRoman"/>
      <w:lvlText w:val="%9."/>
      <w:lvlJc w:val="right"/>
      <w:pPr>
        <w:ind w:left="1943"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56071962"/>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tentative="1">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5"/>
  </w:num>
  <w:num w:numId="2">
    <w:abstractNumId w:val="13"/>
  </w:num>
  <w:num w:numId="3">
    <w:abstractNumId w:val="0"/>
  </w:num>
  <w:num w:numId="4">
    <w:abstractNumId w:val="17"/>
  </w:num>
  <w:num w:numId="5">
    <w:abstractNumId w:val="18"/>
  </w:num>
  <w:num w:numId="6">
    <w:abstractNumId w:val="22"/>
  </w:num>
  <w:num w:numId="7">
    <w:abstractNumId w:val="7"/>
  </w:num>
  <w:num w:numId="8">
    <w:abstractNumId w:val="8"/>
  </w:num>
  <w:num w:numId="9">
    <w:abstractNumId w:val="3"/>
  </w:num>
  <w:num w:numId="10">
    <w:abstractNumId w:val="25"/>
  </w:num>
  <w:num w:numId="11">
    <w:abstractNumId w:val="11"/>
  </w:num>
  <w:num w:numId="12">
    <w:abstractNumId w:val="24"/>
  </w:num>
  <w:num w:numId="13">
    <w:abstractNumId w:val="16"/>
  </w:num>
  <w:num w:numId="14">
    <w:abstractNumId w:val="23"/>
  </w:num>
  <w:num w:numId="15">
    <w:abstractNumId w:val="9"/>
  </w:num>
  <w:num w:numId="16">
    <w:abstractNumId w:val="4"/>
  </w:num>
  <w:num w:numId="17">
    <w:abstractNumId w:val="10"/>
  </w:num>
  <w:num w:numId="18">
    <w:abstractNumId w:val="1"/>
  </w:num>
  <w:num w:numId="19">
    <w:abstractNumId w:val="6"/>
  </w:num>
  <w:num w:numId="20">
    <w:abstractNumId w:val="21"/>
  </w:num>
  <w:num w:numId="21">
    <w:abstractNumId w:val="5"/>
  </w:num>
  <w:num w:numId="22">
    <w:abstractNumId w:val="2"/>
  </w:num>
  <w:num w:numId="23">
    <w:abstractNumId w:val="19"/>
  </w:num>
  <w:num w:numId="24">
    <w:abstractNumId w:val="16"/>
  </w:num>
  <w:num w:numId="25">
    <w:abstractNumId w:val="12"/>
  </w:num>
  <w:num w:numId="26">
    <w:abstractNumId w:val="20"/>
  </w:num>
  <w:num w:numId="27">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13"/>
    <w:rsid w:val="000006E1"/>
    <w:rsid w:val="0000094A"/>
    <w:rsid w:val="00000A08"/>
    <w:rsid w:val="000023FA"/>
    <w:rsid w:val="00002A37"/>
    <w:rsid w:val="000039E3"/>
    <w:rsid w:val="00005265"/>
    <w:rsid w:val="0000564C"/>
    <w:rsid w:val="00006446"/>
    <w:rsid w:val="000066AD"/>
    <w:rsid w:val="00006896"/>
    <w:rsid w:val="00007CDC"/>
    <w:rsid w:val="00010458"/>
    <w:rsid w:val="00011B28"/>
    <w:rsid w:val="0001286B"/>
    <w:rsid w:val="00014D5E"/>
    <w:rsid w:val="00015D15"/>
    <w:rsid w:val="000207FA"/>
    <w:rsid w:val="00020FF5"/>
    <w:rsid w:val="0002564D"/>
    <w:rsid w:val="00025ECA"/>
    <w:rsid w:val="00025FD5"/>
    <w:rsid w:val="00026782"/>
    <w:rsid w:val="00026FC2"/>
    <w:rsid w:val="00030136"/>
    <w:rsid w:val="000325B8"/>
    <w:rsid w:val="00034C15"/>
    <w:rsid w:val="00036BA1"/>
    <w:rsid w:val="00040622"/>
    <w:rsid w:val="000422E2"/>
    <w:rsid w:val="00042F22"/>
    <w:rsid w:val="000444EF"/>
    <w:rsid w:val="000448EA"/>
    <w:rsid w:val="00044F16"/>
    <w:rsid w:val="00050E0D"/>
    <w:rsid w:val="000512CC"/>
    <w:rsid w:val="00052A07"/>
    <w:rsid w:val="000534E3"/>
    <w:rsid w:val="00053DC1"/>
    <w:rsid w:val="00054EFA"/>
    <w:rsid w:val="0005606A"/>
    <w:rsid w:val="000568E1"/>
    <w:rsid w:val="00057117"/>
    <w:rsid w:val="0006058C"/>
    <w:rsid w:val="00060B5C"/>
    <w:rsid w:val="00060E0F"/>
    <w:rsid w:val="00060E81"/>
    <w:rsid w:val="000616E7"/>
    <w:rsid w:val="0006273B"/>
    <w:rsid w:val="00063912"/>
    <w:rsid w:val="0006487E"/>
    <w:rsid w:val="000656EC"/>
    <w:rsid w:val="00065E1A"/>
    <w:rsid w:val="00065EF1"/>
    <w:rsid w:val="00065F2E"/>
    <w:rsid w:val="00067F3D"/>
    <w:rsid w:val="0007288B"/>
    <w:rsid w:val="0007418B"/>
    <w:rsid w:val="00074752"/>
    <w:rsid w:val="00074994"/>
    <w:rsid w:val="00075697"/>
    <w:rsid w:val="00077E5F"/>
    <w:rsid w:val="0008036A"/>
    <w:rsid w:val="000804A5"/>
    <w:rsid w:val="00081AE6"/>
    <w:rsid w:val="00081B5C"/>
    <w:rsid w:val="00082090"/>
    <w:rsid w:val="000855EB"/>
    <w:rsid w:val="0008566E"/>
    <w:rsid w:val="00085B52"/>
    <w:rsid w:val="000866F2"/>
    <w:rsid w:val="0009009F"/>
    <w:rsid w:val="00090D10"/>
    <w:rsid w:val="00091557"/>
    <w:rsid w:val="000924C1"/>
    <w:rsid w:val="000924F0"/>
    <w:rsid w:val="000933A2"/>
    <w:rsid w:val="00093474"/>
    <w:rsid w:val="0009397A"/>
    <w:rsid w:val="00093F6B"/>
    <w:rsid w:val="0009510F"/>
    <w:rsid w:val="00095406"/>
    <w:rsid w:val="000958D8"/>
    <w:rsid w:val="000961D8"/>
    <w:rsid w:val="000A1B7B"/>
    <w:rsid w:val="000A2603"/>
    <w:rsid w:val="000A56F2"/>
    <w:rsid w:val="000A76E7"/>
    <w:rsid w:val="000B08EF"/>
    <w:rsid w:val="000B1357"/>
    <w:rsid w:val="000B2719"/>
    <w:rsid w:val="000B27FA"/>
    <w:rsid w:val="000B3224"/>
    <w:rsid w:val="000B3A8F"/>
    <w:rsid w:val="000B4AB9"/>
    <w:rsid w:val="000B58C3"/>
    <w:rsid w:val="000B61E9"/>
    <w:rsid w:val="000B72A4"/>
    <w:rsid w:val="000C165A"/>
    <w:rsid w:val="000C1BE4"/>
    <w:rsid w:val="000C2486"/>
    <w:rsid w:val="000C289E"/>
    <w:rsid w:val="000C2E19"/>
    <w:rsid w:val="000C5847"/>
    <w:rsid w:val="000C5C08"/>
    <w:rsid w:val="000C74A0"/>
    <w:rsid w:val="000D0D07"/>
    <w:rsid w:val="000D1AB3"/>
    <w:rsid w:val="000D4797"/>
    <w:rsid w:val="000D55CD"/>
    <w:rsid w:val="000D7FD5"/>
    <w:rsid w:val="000E0527"/>
    <w:rsid w:val="000E1E92"/>
    <w:rsid w:val="000E339E"/>
    <w:rsid w:val="000E5A3A"/>
    <w:rsid w:val="000E5FAB"/>
    <w:rsid w:val="000E7793"/>
    <w:rsid w:val="000E7E6B"/>
    <w:rsid w:val="000F06D6"/>
    <w:rsid w:val="000F0EB1"/>
    <w:rsid w:val="000F1106"/>
    <w:rsid w:val="000F2632"/>
    <w:rsid w:val="000F3152"/>
    <w:rsid w:val="000F3BE9"/>
    <w:rsid w:val="000F3F6C"/>
    <w:rsid w:val="000F46DD"/>
    <w:rsid w:val="000F6389"/>
    <w:rsid w:val="000F6DF3"/>
    <w:rsid w:val="001005FF"/>
    <w:rsid w:val="00101CAD"/>
    <w:rsid w:val="001025E2"/>
    <w:rsid w:val="001062FB"/>
    <w:rsid w:val="001063E6"/>
    <w:rsid w:val="001075B6"/>
    <w:rsid w:val="001109EE"/>
    <w:rsid w:val="001121DD"/>
    <w:rsid w:val="00113CF4"/>
    <w:rsid w:val="001153EA"/>
    <w:rsid w:val="00115643"/>
    <w:rsid w:val="00115CF3"/>
    <w:rsid w:val="00116765"/>
    <w:rsid w:val="001219F5"/>
    <w:rsid w:val="00121A20"/>
    <w:rsid w:val="0012377F"/>
    <w:rsid w:val="00124314"/>
    <w:rsid w:val="0012509B"/>
    <w:rsid w:val="00125BE3"/>
    <w:rsid w:val="00125DD0"/>
    <w:rsid w:val="00126017"/>
    <w:rsid w:val="0012671C"/>
    <w:rsid w:val="00126B4A"/>
    <w:rsid w:val="0013154E"/>
    <w:rsid w:val="001316A1"/>
    <w:rsid w:val="00132FD0"/>
    <w:rsid w:val="001335E4"/>
    <w:rsid w:val="001344C0"/>
    <w:rsid w:val="001346FA"/>
    <w:rsid w:val="00134D37"/>
    <w:rsid w:val="00135252"/>
    <w:rsid w:val="0013765B"/>
    <w:rsid w:val="00137AB5"/>
    <w:rsid w:val="00137BEE"/>
    <w:rsid w:val="00137F0B"/>
    <w:rsid w:val="00140DA7"/>
    <w:rsid w:val="001413C7"/>
    <w:rsid w:val="001418E4"/>
    <w:rsid w:val="00141D8B"/>
    <w:rsid w:val="00144F70"/>
    <w:rsid w:val="00146D9F"/>
    <w:rsid w:val="00151441"/>
    <w:rsid w:val="00151E23"/>
    <w:rsid w:val="0015213C"/>
    <w:rsid w:val="00152413"/>
    <w:rsid w:val="001526E0"/>
    <w:rsid w:val="001551B5"/>
    <w:rsid w:val="001567D3"/>
    <w:rsid w:val="001613CC"/>
    <w:rsid w:val="00161879"/>
    <w:rsid w:val="00161885"/>
    <w:rsid w:val="00161A77"/>
    <w:rsid w:val="00161DED"/>
    <w:rsid w:val="0016206D"/>
    <w:rsid w:val="00162261"/>
    <w:rsid w:val="001646A3"/>
    <w:rsid w:val="0016520F"/>
    <w:rsid w:val="001653C9"/>
    <w:rsid w:val="001659C1"/>
    <w:rsid w:val="00166129"/>
    <w:rsid w:val="00167420"/>
    <w:rsid w:val="00171E2A"/>
    <w:rsid w:val="001734E5"/>
    <w:rsid w:val="00173A8E"/>
    <w:rsid w:val="00174166"/>
    <w:rsid w:val="0017502C"/>
    <w:rsid w:val="001758F7"/>
    <w:rsid w:val="00176459"/>
    <w:rsid w:val="00176D7A"/>
    <w:rsid w:val="00180A49"/>
    <w:rsid w:val="0018143F"/>
    <w:rsid w:val="00181837"/>
    <w:rsid w:val="00181FF8"/>
    <w:rsid w:val="0018276D"/>
    <w:rsid w:val="00183D11"/>
    <w:rsid w:val="0018548B"/>
    <w:rsid w:val="00190AC1"/>
    <w:rsid w:val="00193213"/>
    <w:rsid w:val="0019341A"/>
    <w:rsid w:val="001942F2"/>
    <w:rsid w:val="00194D4A"/>
    <w:rsid w:val="00197DF9"/>
    <w:rsid w:val="001A1987"/>
    <w:rsid w:val="001A2564"/>
    <w:rsid w:val="001A3D42"/>
    <w:rsid w:val="001A6173"/>
    <w:rsid w:val="001A6CBA"/>
    <w:rsid w:val="001A7559"/>
    <w:rsid w:val="001A7CD0"/>
    <w:rsid w:val="001B0157"/>
    <w:rsid w:val="001B08FF"/>
    <w:rsid w:val="001B0D97"/>
    <w:rsid w:val="001B389A"/>
    <w:rsid w:val="001B5A5D"/>
    <w:rsid w:val="001C0DCC"/>
    <w:rsid w:val="001C150C"/>
    <w:rsid w:val="001C1CE5"/>
    <w:rsid w:val="001C2B7B"/>
    <w:rsid w:val="001C3D2A"/>
    <w:rsid w:val="001C3ECD"/>
    <w:rsid w:val="001C40BE"/>
    <w:rsid w:val="001D10CD"/>
    <w:rsid w:val="001D29A7"/>
    <w:rsid w:val="001D38FE"/>
    <w:rsid w:val="001D51BA"/>
    <w:rsid w:val="001D53E7"/>
    <w:rsid w:val="001D555D"/>
    <w:rsid w:val="001D6342"/>
    <w:rsid w:val="001D6371"/>
    <w:rsid w:val="001D6D53"/>
    <w:rsid w:val="001E0F24"/>
    <w:rsid w:val="001E1C84"/>
    <w:rsid w:val="001E2D40"/>
    <w:rsid w:val="001E58E2"/>
    <w:rsid w:val="001E7AED"/>
    <w:rsid w:val="001F00D5"/>
    <w:rsid w:val="001F1A79"/>
    <w:rsid w:val="001F21EB"/>
    <w:rsid w:val="001F31F5"/>
    <w:rsid w:val="001F3916"/>
    <w:rsid w:val="001F54C5"/>
    <w:rsid w:val="001F59E6"/>
    <w:rsid w:val="001F6385"/>
    <w:rsid w:val="001F662C"/>
    <w:rsid w:val="001F7074"/>
    <w:rsid w:val="00200490"/>
    <w:rsid w:val="00201F3A"/>
    <w:rsid w:val="00203F96"/>
    <w:rsid w:val="00205E5E"/>
    <w:rsid w:val="002069B2"/>
    <w:rsid w:val="00207FA3"/>
    <w:rsid w:val="00210E7C"/>
    <w:rsid w:val="00211332"/>
    <w:rsid w:val="002113A2"/>
    <w:rsid w:val="002114F5"/>
    <w:rsid w:val="002126BC"/>
    <w:rsid w:val="00214DA8"/>
    <w:rsid w:val="00215423"/>
    <w:rsid w:val="00215479"/>
    <w:rsid w:val="002158FA"/>
    <w:rsid w:val="00217C75"/>
    <w:rsid w:val="00220600"/>
    <w:rsid w:val="002224DB"/>
    <w:rsid w:val="00222D03"/>
    <w:rsid w:val="00222FF6"/>
    <w:rsid w:val="00223FCB"/>
    <w:rsid w:val="002241EC"/>
    <w:rsid w:val="00225102"/>
    <w:rsid w:val="002252C3"/>
    <w:rsid w:val="00225551"/>
    <w:rsid w:val="00225C54"/>
    <w:rsid w:val="00227139"/>
    <w:rsid w:val="00227C87"/>
    <w:rsid w:val="00230765"/>
    <w:rsid w:val="00230D18"/>
    <w:rsid w:val="002319E4"/>
    <w:rsid w:val="00231C47"/>
    <w:rsid w:val="00235632"/>
    <w:rsid w:val="00235872"/>
    <w:rsid w:val="00236116"/>
    <w:rsid w:val="002414DB"/>
    <w:rsid w:val="00241559"/>
    <w:rsid w:val="002435B3"/>
    <w:rsid w:val="002458EB"/>
    <w:rsid w:val="00246971"/>
    <w:rsid w:val="00247965"/>
    <w:rsid w:val="002500C8"/>
    <w:rsid w:val="00250AC6"/>
    <w:rsid w:val="002538BD"/>
    <w:rsid w:val="00255824"/>
    <w:rsid w:val="00255E55"/>
    <w:rsid w:val="00257543"/>
    <w:rsid w:val="002607A4"/>
    <w:rsid w:val="002617E7"/>
    <w:rsid w:val="00262FE4"/>
    <w:rsid w:val="00263E0C"/>
    <w:rsid w:val="00264228"/>
    <w:rsid w:val="00264334"/>
    <w:rsid w:val="0026473E"/>
    <w:rsid w:val="00265933"/>
    <w:rsid w:val="00266214"/>
    <w:rsid w:val="00267412"/>
    <w:rsid w:val="00267C83"/>
    <w:rsid w:val="00267EDB"/>
    <w:rsid w:val="0027144F"/>
    <w:rsid w:val="00271813"/>
    <w:rsid w:val="00271F3A"/>
    <w:rsid w:val="00272179"/>
    <w:rsid w:val="00273278"/>
    <w:rsid w:val="002737F4"/>
    <w:rsid w:val="00274812"/>
    <w:rsid w:val="00275BA6"/>
    <w:rsid w:val="002768B4"/>
    <w:rsid w:val="00277824"/>
    <w:rsid w:val="00277C15"/>
    <w:rsid w:val="00280184"/>
    <w:rsid w:val="002805F5"/>
    <w:rsid w:val="00280751"/>
    <w:rsid w:val="0028158A"/>
    <w:rsid w:val="00282012"/>
    <w:rsid w:val="0028280A"/>
    <w:rsid w:val="0028308E"/>
    <w:rsid w:val="002843B9"/>
    <w:rsid w:val="002850AC"/>
    <w:rsid w:val="002860A7"/>
    <w:rsid w:val="00286ACD"/>
    <w:rsid w:val="00286FBC"/>
    <w:rsid w:val="00287838"/>
    <w:rsid w:val="00287853"/>
    <w:rsid w:val="002907B5"/>
    <w:rsid w:val="0029166E"/>
    <w:rsid w:val="00292657"/>
    <w:rsid w:val="002929BA"/>
    <w:rsid w:val="00292EB7"/>
    <w:rsid w:val="00294B41"/>
    <w:rsid w:val="00295C01"/>
    <w:rsid w:val="00296227"/>
    <w:rsid w:val="00296F44"/>
    <w:rsid w:val="0029777D"/>
    <w:rsid w:val="002A0227"/>
    <w:rsid w:val="002A04E9"/>
    <w:rsid w:val="002A055E"/>
    <w:rsid w:val="002A0668"/>
    <w:rsid w:val="002A0AE9"/>
    <w:rsid w:val="002A1D4E"/>
    <w:rsid w:val="002A2869"/>
    <w:rsid w:val="002A4560"/>
    <w:rsid w:val="002A4C46"/>
    <w:rsid w:val="002A578E"/>
    <w:rsid w:val="002A715F"/>
    <w:rsid w:val="002A73E0"/>
    <w:rsid w:val="002A7A6D"/>
    <w:rsid w:val="002B02A5"/>
    <w:rsid w:val="002B0906"/>
    <w:rsid w:val="002B15C0"/>
    <w:rsid w:val="002B21C5"/>
    <w:rsid w:val="002B24D6"/>
    <w:rsid w:val="002B3D6C"/>
    <w:rsid w:val="002B4B6A"/>
    <w:rsid w:val="002B5B6C"/>
    <w:rsid w:val="002C25E3"/>
    <w:rsid w:val="002C4046"/>
    <w:rsid w:val="002C41E6"/>
    <w:rsid w:val="002C6DD5"/>
    <w:rsid w:val="002C7AFD"/>
    <w:rsid w:val="002D071A"/>
    <w:rsid w:val="002D22E0"/>
    <w:rsid w:val="002D34B2"/>
    <w:rsid w:val="002D4413"/>
    <w:rsid w:val="002D47A2"/>
    <w:rsid w:val="002D48B0"/>
    <w:rsid w:val="002D5B37"/>
    <w:rsid w:val="002D7637"/>
    <w:rsid w:val="002E17F2"/>
    <w:rsid w:val="002E196B"/>
    <w:rsid w:val="002E7CAE"/>
    <w:rsid w:val="002E7D82"/>
    <w:rsid w:val="002E7DE8"/>
    <w:rsid w:val="002E7F43"/>
    <w:rsid w:val="002F0ADF"/>
    <w:rsid w:val="002F13E4"/>
    <w:rsid w:val="002F2046"/>
    <w:rsid w:val="002F2771"/>
    <w:rsid w:val="002F37A9"/>
    <w:rsid w:val="002F466C"/>
    <w:rsid w:val="002F64C0"/>
    <w:rsid w:val="00301CE6"/>
    <w:rsid w:val="0030256B"/>
    <w:rsid w:val="00304482"/>
    <w:rsid w:val="0030501F"/>
    <w:rsid w:val="00305A94"/>
    <w:rsid w:val="00305E06"/>
    <w:rsid w:val="00307BA1"/>
    <w:rsid w:val="00307FFC"/>
    <w:rsid w:val="00311702"/>
    <w:rsid w:val="00311E82"/>
    <w:rsid w:val="0031378F"/>
    <w:rsid w:val="00313FD6"/>
    <w:rsid w:val="003143BD"/>
    <w:rsid w:val="00315363"/>
    <w:rsid w:val="00317E59"/>
    <w:rsid w:val="003203ED"/>
    <w:rsid w:val="00322C9F"/>
    <w:rsid w:val="00322E8C"/>
    <w:rsid w:val="00323458"/>
    <w:rsid w:val="00324D23"/>
    <w:rsid w:val="00331751"/>
    <w:rsid w:val="003328F8"/>
    <w:rsid w:val="003342D6"/>
    <w:rsid w:val="00334460"/>
    <w:rsid w:val="00334579"/>
    <w:rsid w:val="00335858"/>
    <w:rsid w:val="00335903"/>
    <w:rsid w:val="00336BDA"/>
    <w:rsid w:val="00337D9F"/>
    <w:rsid w:val="0034196C"/>
    <w:rsid w:val="00342BD7"/>
    <w:rsid w:val="00345EDF"/>
    <w:rsid w:val="00346DB5"/>
    <w:rsid w:val="0034711C"/>
    <w:rsid w:val="003477B1"/>
    <w:rsid w:val="003508E7"/>
    <w:rsid w:val="00350E57"/>
    <w:rsid w:val="003511C3"/>
    <w:rsid w:val="003516F7"/>
    <w:rsid w:val="00357380"/>
    <w:rsid w:val="003602D9"/>
    <w:rsid w:val="003604CE"/>
    <w:rsid w:val="0036357C"/>
    <w:rsid w:val="00367C14"/>
    <w:rsid w:val="00370E47"/>
    <w:rsid w:val="00371A93"/>
    <w:rsid w:val="00372BD1"/>
    <w:rsid w:val="0037423F"/>
    <w:rsid w:val="003742AC"/>
    <w:rsid w:val="0037572E"/>
    <w:rsid w:val="00375B17"/>
    <w:rsid w:val="00375E9D"/>
    <w:rsid w:val="00376AFC"/>
    <w:rsid w:val="00376FD2"/>
    <w:rsid w:val="003776DE"/>
    <w:rsid w:val="00377CE1"/>
    <w:rsid w:val="0038391C"/>
    <w:rsid w:val="003847FD"/>
    <w:rsid w:val="00385BF0"/>
    <w:rsid w:val="003863BD"/>
    <w:rsid w:val="00391BB2"/>
    <w:rsid w:val="00391EC1"/>
    <w:rsid w:val="0039302A"/>
    <w:rsid w:val="003939FF"/>
    <w:rsid w:val="00393E56"/>
    <w:rsid w:val="00394D10"/>
    <w:rsid w:val="00395C8E"/>
    <w:rsid w:val="00395D2F"/>
    <w:rsid w:val="00396C2F"/>
    <w:rsid w:val="0039786B"/>
    <w:rsid w:val="003A2223"/>
    <w:rsid w:val="003A2A0F"/>
    <w:rsid w:val="003A3C23"/>
    <w:rsid w:val="003A45A1"/>
    <w:rsid w:val="003A5B0A"/>
    <w:rsid w:val="003A6BAC"/>
    <w:rsid w:val="003A70A4"/>
    <w:rsid w:val="003A7EF3"/>
    <w:rsid w:val="003B0309"/>
    <w:rsid w:val="003B159C"/>
    <w:rsid w:val="003B181F"/>
    <w:rsid w:val="003B2DAE"/>
    <w:rsid w:val="003B369F"/>
    <w:rsid w:val="003B36A3"/>
    <w:rsid w:val="003B41AA"/>
    <w:rsid w:val="003B5E4E"/>
    <w:rsid w:val="003B620F"/>
    <w:rsid w:val="003B64BB"/>
    <w:rsid w:val="003B76C2"/>
    <w:rsid w:val="003B77E8"/>
    <w:rsid w:val="003B7FE5"/>
    <w:rsid w:val="003C032F"/>
    <w:rsid w:val="003C11C8"/>
    <w:rsid w:val="003C1309"/>
    <w:rsid w:val="003C2702"/>
    <w:rsid w:val="003C31FE"/>
    <w:rsid w:val="003C3FCC"/>
    <w:rsid w:val="003C690D"/>
    <w:rsid w:val="003C7806"/>
    <w:rsid w:val="003D02C4"/>
    <w:rsid w:val="003D109F"/>
    <w:rsid w:val="003D2478"/>
    <w:rsid w:val="003D3C45"/>
    <w:rsid w:val="003D4C5C"/>
    <w:rsid w:val="003D5B1F"/>
    <w:rsid w:val="003E15FA"/>
    <w:rsid w:val="003E24A5"/>
    <w:rsid w:val="003E55E4"/>
    <w:rsid w:val="003E5963"/>
    <w:rsid w:val="003E5DE1"/>
    <w:rsid w:val="003E6211"/>
    <w:rsid w:val="003E6C07"/>
    <w:rsid w:val="003E74E3"/>
    <w:rsid w:val="003F05C7"/>
    <w:rsid w:val="003F15DF"/>
    <w:rsid w:val="003F2CD4"/>
    <w:rsid w:val="003F3B4E"/>
    <w:rsid w:val="003F44FC"/>
    <w:rsid w:val="003F6BBE"/>
    <w:rsid w:val="003F7023"/>
    <w:rsid w:val="004000E8"/>
    <w:rsid w:val="00402657"/>
    <w:rsid w:val="0040298B"/>
    <w:rsid w:val="00402E2B"/>
    <w:rsid w:val="00403192"/>
    <w:rsid w:val="0040512B"/>
    <w:rsid w:val="00405CA5"/>
    <w:rsid w:val="004068E0"/>
    <w:rsid w:val="004072BA"/>
    <w:rsid w:val="00407CD3"/>
    <w:rsid w:val="00410134"/>
    <w:rsid w:val="00410B72"/>
    <w:rsid w:val="00410F18"/>
    <w:rsid w:val="004114E4"/>
    <w:rsid w:val="00411A93"/>
    <w:rsid w:val="0041263E"/>
    <w:rsid w:val="00413382"/>
    <w:rsid w:val="00413AAC"/>
    <w:rsid w:val="00413E92"/>
    <w:rsid w:val="0042093C"/>
    <w:rsid w:val="00421105"/>
    <w:rsid w:val="004213A5"/>
    <w:rsid w:val="00421903"/>
    <w:rsid w:val="004223F4"/>
    <w:rsid w:val="0042266E"/>
    <w:rsid w:val="00422AA4"/>
    <w:rsid w:val="004234DC"/>
    <w:rsid w:val="00424010"/>
    <w:rsid w:val="004242F4"/>
    <w:rsid w:val="0042542D"/>
    <w:rsid w:val="004260B3"/>
    <w:rsid w:val="00426EE7"/>
    <w:rsid w:val="00427248"/>
    <w:rsid w:val="00427B1C"/>
    <w:rsid w:val="004320F3"/>
    <w:rsid w:val="00432FF9"/>
    <w:rsid w:val="00433483"/>
    <w:rsid w:val="0043647B"/>
    <w:rsid w:val="00436973"/>
    <w:rsid w:val="0043705E"/>
    <w:rsid w:val="00437447"/>
    <w:rsid w:val="00440C79"/>
    <w:rsid w:val="00440E54"/>
    <w:rsid w:val="00441A92"/>
    <w:rsid w:val="00442252"/>
    <w:rsid w:val="004431DC"/>
    <w:rsid w:val="00444F56"/>
    <w:rsid w:val="00446488"/>
    <w:rsid w:val="00447E87"/>
    <w:rsid w:val="00450DD0"/>
    <w:rsid w:val="004517AA"/>
    <w:rsid w:val="0045184E"/>
    <w:rsid w:val="004520DD"/>
    <w:rsid w:val="00452CAC"/>
    <w:rsid w:val="00454B38"/>
    <w:rsid w:val="004557EA"/>
    <w:rsid w:val="00457565"/>
    <w:rsid w:val="00457B1F"/>
    <w:rsid w:val="00457B71"/>
    <w:rsid w:val="00461366"/>
    <w:rsid w:val="00461E2C"/>
    <w:rsid w:val="0046374F"/>
    <w:rsid w:val="00464689"/>
    <w:rsid w:val="004669E2"/>
    <w:rsid w:val="00470417"/>
    <w:rsid w:val="00470C31"/>
    <w:rsid w:val="00471173"/>
    <w:rsid w:val="004715B5"/>
    <w:rsid w:val="00471DE0"/>
    <w:rsid w:val="004734D0"/>
    <w:rsid w:val="00474568"/>
    <w:rsid w:val="004750BD"/>
    <w:rsid w:val="0047524A"/>
    <w:rsid w:val="0047556B"/>
    <w:rsid w:val="00475E42"/>
    <w:rsid w:val="00477768"/>
    <w:rsid w:val="004806BE"/>
    <w:rsid w:val="00486708"/>
    <w:rsid w:val="00486981"/>
    <w:rsid w:val="00487F09"/>
    <w:rsid w:val="00490C8C"/>
    <w:rsid w:val="00492BC5"/>
    <w:rsid w:val="00492C79"/>
    <w:rsid w:val="004932AA"/>
    <w:rsid w:val="00493C0D"/>
    <w:rsid w:val="004941BE"/>
    <w:rsid w:val="004964F1"/>
    <w:rsid w:val="004A16BC"/>
    <w:rsid w:val="004A2B94"/>
    <w:rsid w:val="004A2E52"/>
    <w:rsid w:val="004A30C7"/>
    <w:rsid w:val="004A4DA1"/>
    <w:rsid w:val="004A4E8A"/>
    <w:rsid w:val="004B01E6"/>
    <w:rsid w:val="004B0236"/>
    <w:rsid w:val="004B29CC"/>
    <w:rsid w:val="004B37D0"/>
    <w:rsid w:val="004B6F6A"/>
    <w:rsid w:val="004B7AA6"/>
    <w:rsid w:val="004B7C0C"/>
    <w:rsid w:val="004C05E2"/>
    <w:rsid w:val="004C0FC3"/>
    <w:rsid w:val="004C170A"/>
    <w:rsid w:val="004C2CD4"/>
    <w:rsid w:val="004C2E46"/>
    <w:rsid w:val="004C34C5"/>
    <w:rsid w:val="004C3898"/>
    <w:rsid w:val="004C41B2"/>
    <w:rsid w:val="004C7AF8"/>
    <w:rsid w:val="004D1082"/>
    <w:rsid w:val="004D14B1"/>
    <w:rsid w:val="004D1BC2"/>
    <w:rsid w:val="004D2534"/>
    <w:rsid w:val="004D36B1"/>
    <w:rsid w:val="004D36CD"/>
    <w:rsid w:val="004D4012"/>
    <w:rsid w:val="004D4984"/>
    <w:rsid w:val="004D7EBD"/>
    <w:rsid w:val="004E2680"/>
    <w:rsid w:val="004E28F9"/>
    <w:rsid w:val="004E3658"/>
    <w:rsid w:val="004E3E45"/>
    <w:rsid w:val="004E462E"/>
    <w:rsid w:val="004E4795"/>
    <w:rsid w:val="004E4ADC"/>
    <w:rsid w:val="004E52AA"/>
    <w:rsid w:val="004E56DC"/>
    <w:rsid w:val="004E7431"/>
    <w:rsid w:val="004E76F4"/>
    <w:rsid w:val="004F02B2"/>
    <w:rsid w:val="004F030D"/>
    <w:rsid w:val="004F0B4E"/>
    <w:rsid w:val="004F0B6C"/>
    <w:rsid w:val="004F2078"/>
    <w:rsid w:val="004F34AE"/>
    <w:rsid w:val="004F38EC"/>
    <w:rsid w:val="004F4CDC"/>
    <w:rsid w:val="004F4DA3"/>
    <w:rsid w:val="004F5AFC"/>
    <w:rsid w:val="004F6DB8"/>
    <w:rsid w:val="00501481"/>
    <w:rsid w:val="0050198B"/>
    <w:rsid w:val="00502099"/>
    <w:rsid w:val="005025EF"/>
    <w:rsid w:val="00506557"/>
    <w:rsid w:val="0050677A"/>
    <w:rsid w:val="00507125"/>
    <w:rsid w:val="0050727B"/>
    <w:rsid w:val="00507F55"/>
    <w:rsid w:val="005108D8"/>
    <w:rsid w:val="00510DF0"/>
    <w:rsid w:val="005116F9"/>
    <w:rsid w:val="005153A7"/>
    <w:rsid w:val="00515415"/>
    <w:rsid w:val="00517BAA"/>
    <w:rsid w:val="005219CF"/>
    <w:rsid w:val="00522BB6"/>
    <w:rsid w:val="00526A2E"/>
    <w:rsid w:val="005312FF"/>
    <w:rsid w:val="005313BB"/>
    <w:rsid w:val="005328AE"/>
    <w:rsid w:val="00532DBF"/>
    <w:rsid w:val="00534B59"/>
    <w:rsid w:val="00536759"/>
    <w:rsid w:val="005369E3"/>
    <w:rsid w:val="00537454"/>
    <w:rsid w:val="00537C62"/>
    <w:rsid w:val="00540440"/>
    <w:rsid w:val="0054418D"/>
    <w:rsid w:val="00544799"/>
    <w:rsid w:val="00546970"/>
    <w:rsid w:val="00546AA3"/>
    <w:rsid w:val="00546F3E"/>
    <w:rsid w:val="00550E41"/>
    <w:rsid w:val="005544B0"/>
    <w:rsid w:val="00554C93"/>
    <w:rsid w:val="00554E19"/>
    <w:rsid w:val="0056092C"/>
    <w:rsid w:val="00560A75"/>
    <w:rsid w:val="00560F2E"/>
    <w:rsid w:val="0056121F"/>
    <w:rsid w:val="00561B5E"/>
    <w:rsid w:val="00562D27"/>
    <w:rsid w:val="00564E76"/>
    <w:rsid w:val="00565285"/>
    <w:rsid w:val="005672FB"/>
    <w:rsid w:val="0057053C"/>
    <w:rsid w:val="00571CFA"/>
    <w:rsid w:val="00572505"/>
    <w:rsid w:val="00572A07"/>
    <w:rsid w:val="00575B91"/>
    <w:rsid w:val="00575C35"/>
    <w:rsid w:val="00575DF2"/>
    <w:rsid w:val="0057696E"/>
    <w:rsid w:val="005802FB"/>
    <w:rsid w:val="005822DC"/>
    <w:rsid w:val="00582496"/>
    <w:rsid w:val="00582809"/>
    <w:rsid w:val="00582905"/>
    <w:rsid w:val="00584220"/>
    <w:rsid w:val="00584AC9"/>
    <w:rsid w:val="0058798C"/>
    <w:rsid w:val="005900FA"/>
    <w:rsid w:val="005909E9"/>
    <w:rsid w:val="00591235"/>
    <w:rsid w:val="005913E3"/>
    <w:rsid w:val="005929B1"/>
    <w:rsid w:val="005935A4"/>
    <w:rsid w:val="005935E6"/>
    <w:rsid w:val="0059425F"/>
    <w:rsid w:val="00594622"/>
    <w:rsid w:val="005948C2"/>
    <w:rsid w:val="00595DCA"/>
    <w:rsid w:val="0059779B"/>
    <w:rsid w:val="005A043F"/>
    <w:rsid w:val="005A0764"/>
    <w:rsid w:val="005A209A"/>
    <w:rsid w:val="005A2462"/>
    <w:rsid w:val="005A2BAD"/>
    <w:rsid w:val="005A3DB0"/>
    <w:rsid w:val="005A409C"/>
    <w:rsid w:val="005A4547"/>
    <w:rsid w:val="005A4661"/>
    <w:rsid w:val="005A662D"/>
    <w:rsid w:val="005B1250"/>
    <w:rsid w:val="005B1409"/>
    <w:rsid w:val="005B1DA9"/>
    <w:rsid w:val="005B3212"/>
    <w:rsid w:val="005B35D7"/>
    <w:rsid w:val="005B392A"/>
    <w:rsid w:val="005B3AA3"/>
    <w:rsid w:val="005B40B0"/>
    <w:rsid w:val="005B6F83"/>
    <w:rsid w:val="005B7443"/>
    <w:rsid w:val="005C0901"/>
    <w:rsid w:val="005C1355"/>
    <w:rsid w:val="005C2679"/>
    <w:rsid w:val="005C342D"/>
    <w:rsid w:val="005C3703"/>
    <w:rsid w:val="005C5621"/>
    <w:rsid w:val="005C74FB"/>
    <w:rsid w:val="005D0191"/>
    <w:rsid w:val="005D0B24"/>
    <w:rsid w:val="005D1602"/>
    <w:rsid w:val="005D22A9"/>
    <w:rsid w:val="005D2980"/>
    <w:rsid w:val="005D419D"/>
    <w:rsid w:val="005D4F08"/>
    <w:rsid w:val="005D7D5A"/>
    <w:rsid w:val="005E0C95"/>
    <w:rsid w:val="005E2FE0"/>
    <w:rsid w:val="005E322C"/>
    <w:rsid w:val="005E385F"/>
    <w:rsid w:val="005E5B81"/>
    <w:rsid w:val="005E6D89"/>
    <w:rsid w:val="005E702C"/>
    <w:rsid w:val="005E720F"/>
    <w:rsid w:val="005F264A"/>
    <w:rsid w:val="005F2CB1"/>
    <w:rsid w:val="005F2EAA"/>
    <w:rsid w:val="005F3025"/>
    <w:rsid w:val="005F618C"/>
    <w:rsid w:val="005F70BD"/>
    <w:rsid w:val="005F7B6E"/>
    <w:rsid w:val="0060050C"/>
    <w:rsid w:val="00602042"/>
    <w:rsid w:val="0060205A"/>
    <w:rsid w:val="0060283C"/>
    <w:rsid w:val="00602FA2"/>
    <w:rsid w:val="00603BBA"/>
    <w:rsid w:val="00603E2E"/>
    <w:rsid w:val="00604F14"/>
    <w:rsid w:val="00605357"/>
    <w:rsid w:val="0060667A"/>
    <w:rsid w:val="00607566"/>
    <w:rsid w:val="006105B8"/>
    <w:rsid w:val="00611A3A"/>
    <w:rsid w:val="00611B83"/>
    <w:rsid w:val="00612C49"/>
    <w:rsid w:val="00613257"/>
    <w:rsid w:val="00615FD8"/>
    <w:rsid w:val="00616584"/>
    <w:rsid w:val="00620A71"/>
    <w:rsid w:val="00620D80"/>
    <w:rsid w:val="006212DE"/>
    <w:rsid w:val="0062275A"/>
    <w:rsid w:val="006234A6"/>
    <w:rsid w:val="00623A76"/>
    <w:rsid w:val="00625E90"/>
    <w:rsid w:val="00630001"/>
    <w:rsid w:val="00630D03"/>
    <w:rsid w:val="006311B3"/>
    <w:rsid w:val="0063284C"/>
    <w:rsid w:val="006333DB"/>
    <w:rsid w:val="006348D5"/>
    <w:rsid w:val="00634BDA"/>
    <w:rsid w:val="006361EE"/>
    <w:rsid w:val="00636398"/>
    <w:rsid w:val="00636666"/>
    <w:rsid w:val="00636844"/>
    <w:rsid w:val="006368D3"/>
    <w:rsid w:val="00636B5E"/>
    <w:rsid w:val="00636D94"/>
    <w:rsid w:val="006377EC"/>
    <w:rsid w:val="00640C35"/>
    <w:rsid w:val="00641034"/>
    <w:rsid w:val="0064151F"/>
    <w:rsid w:val="00641533"/>
    <w:rsid w:val="006418BD"/>
    <w:rsid w:val="0064208D"/>
    <w:rsid w:val="00643475"/>
    <w:rsid w:val="006437E2"/>
    <w:rsid w:val="0064396A"/>
    <w:rsid w:val="0064624E"/>
    <w:rsid w:val="0064721C"/>
    <w:rsid w:val="00647EB9"/>
    <w:rsid w:val="00650AB9"/>
    <w:rsid w:val="006527DB"/>
    <w:rsid w:val="00652833"/>
    <w:rsid w:val="00652AD2"/>
    <w:rsid w:val="0065443A"/>
    <w:rsid w:val="00654A35"/>
    <w:rsid w:val="00655733"/>
    <w:rsid w:val="00655ACD"/>
    <w:rsid w:val="00656A92"/>
    <w:rsid w:val="00656DDE"/>
    <w:rsid w:val="00657B2D"/>
    <w:rsid w:val="0066011D"/>
    <w:rsid w:val="006607C0"/>
    <w:rsid w:val="006613A6"/>
    <w:rsid w:val="006627A2"/>
    <w:rsid w:val="006630FD"/>
    <w:rsid w:val="00663151"/>
    <w:rsid w:val="006634E6"/>
    <w:rsid w:val="00663BFC"/>
    <w:rsid w:val="006640DA"/>
    <w:rsid w:val="00664928"/>
    <w:rsid w:val="0066550D"/>
    <w:rsid w:val="006655EE"/>
    <w:rsid w:val="00665A96"/>
    <w:rsid w:val="00667EE7"/>
    <w:rsid w:val="006704B1"/>
    <w:rsid w:val="0067050B"/>
    <w:rsid w:val="00670922"/>
    <w:rsid w:val="00670B84"/>
    <w:rsid w:val="00670BE1"/>
    <w:rsid w:val="00670EDC"/>
    <w:rsid w:val="0067218F"/>
    <w:rsid w:val="006741F2"/>
    <w:rsid w:val="00674863"/>
    <w:rsid w:val="00674CC3"/>
    <w:rsid w:val="00675A1E"/>
    <w:rsid w:val="00675C72"/>
    <w:rsid w:val="006771F9"/>
    <w:rsid w:val="006776D7"/>
    <w:rsid w:val="00681003"/>
    <w:rsid w:val="00681578"/>
    <w:rsid w:val="006817C9"/>
    <w:rsid w:val="00681BA2"/>
    <w:rsid w:val="00681EB8"/>
    <w:rsid w:val="00682EA7"/>
    <w:rsid w:val="00683ECE"/>
    <w:rsid w:val="00686E96"/>
    <w:rsid w:val="0068773E"/>
    <w:rsid w:val="006915C6"/>
    <w:rsid w:val="00692586"/>
    <w:rsid w:val="00692E5E"/>
    <w:rsid w:val="00694645"/>
    <w:rsid w:val="00695FC2"/>
    <w:rsid w:val="00696949"/>
    <w:rsid w:val="00697052"/>
    <w:rsid w:val="006972C2"/>
    <w:rsid w:val="006A00A7"/>
    <w:rsid w:val="006A46FB"/>
    <w:rsid w:val="006A49A4"/>
    <w:rsid w:val="006A5E28"/>
    <w:rsid w:val="006A684D"/>
    <w:rsid w:val="006A697B"/>
    <w:rsid w:val="006A6CD2"/>
    <w:rsid w:val="006A7AFF"/>
    <w:rsid w:val="006B1816"/>
    <w:rsid w:val="006B1B36"/>
    <w:rsid w:val="006B2099"/>
    <w:rsid w:val="006B50CF"/>
    <w:rsid w:val="006B55E4"/>
    <w:rsid w:val="006B5F34"/>
    <w:rsid w:val="006B7DC1"/>
    <w:rsid w:val="006C03B8"/>
    <w:rsid w:val="006C2D10"/>
    <w:rsid w:val="006C3564"/>
    <w:rsid w:val="006C59EF"/>
    <w:rsid w:val="006C5E6E"/>
    <w:rsid w:val="006C5EC9"/>
    <w:rsid w:val="006C6059"/>
    <w:rsid w:val="006C6D1E"/>
    <w:rsid w:val="006C7522"/>
    <w:rsid w:val="006C7744"/>
    <w:rsid w:val="006D093C"/>
    <w:rsid w:val="006D0EFF"/>
    <w:rsid w:val="006D3EAC"/>
    <w:rsid w:val="006D485C"/>
    <w:rsid w:val="006D6E8A"/>
    <w:rsid w:val="006D6F08"/>
    <w:rsid w:val="006D734E"/>
    <w:rsid w:val="006D7F37"/>
    <w:rsid w:val="006E062C"/>
    <w:rsid w:val="006E147C"/>
    <w:rsid w:val="006E1C82"/>
    <w:rsid w:val="006E28B7"/>
    <w:rsid w:val="006E2A9B"/>
    <w:rsid w:val="006E3310"/>
    <w:rsid w:val="006E374F"/>
    <w:rsid w:val="006E4E39"/>
    <w:rsid w:val="006E565E"/>
    <w:rsid w:val="006E65C5"/>
    <w:rsid w:val="006E673D"/>
    <w:rsid w:val="006E76CA"/>
    <w:rsid w:val="006E7D3B"/>
    <w:rsid w:val="006F068E"/>
    <w:rsid w:val="006F1B70"/>
    <w:rsid w:val="006F341D"/>
    <w:rsid w:val="006F3CDE"/>
    <w:rsid w:val="006F402F"/>
    <w:rsid w:val="006F4CEF"/>
    <w:rsid w:val="006F5745"/>
    <w:rsid w:val="006F581A"/>
    <w:rsid w:val="006F58D4"/>
    <w:rsid w:val="006F6582"/>
    <w:rsid w:val="006F7588"/>
    <w:rsid w:val="006F7AF4"/>
    <w:rsid w:val="0070346E"/>
    <w:rsid w:val="00703F19"/>
    <w:rsid w:val="00704EDB"/>
    <w:rsid w:val="00706101"/>
    <w:rsid w:val="00707072"/>
    <w:rsid w:val="00707D61"/>
    <w:rsid w:val="00710A97"/>
    <w:rsid w:val="00712287"/>
    <w:rsid w:val="00712772"/>
    <w:rsid w:val="0071376E"/>
    <w:rsid w:val="007148D3"/>
    <w:rsid w:val="00714E9C"/>
    <w:rsid w:val="00715B9A"/>
    <w:rsid w:val="00717DDA"/>
    <w:rsid w:val="007201BE"/>
    <w:rsid w:val="0072064C"/>
    <w:rsid w:val="00721B32"/>
    <w:rsid w:val="00722655"/>
    <w:rsid w:val="00723767"/>
    <w:rsid w:val="007250F7"/>
    <w:rsid w:val="007257D0"/>
    <w:rsid w:val="00726EA6"/>
    <w:rsid w:val="00727208"/>
    <w:rsid w:val="00727680"/>
    <w:rsid w:val="00731F60"/>
    <w:rsid w:val="0073429B"/>
    <w:rsid w:val="007348B1"/>
    <w:rsid w:val="007348E3"/>
    <w:rsid w:val="007362A6"/>
    <w:rsid w:val="00736D7D"/>
    <w:rsid w:val="00736F91"/>
    <w:rsid w:val="00737658"/>
    <w:rsid w:val="00740E58"/>
    <w:rsid w:val="0074250C"/>
    <w:rsid w:val="00742975"/>
    <w:rsid w:val="00742BCB"/>
    <w:rsid w:val="0074369E"/>
    <w:rsid w:val="00743FCE"/>
    <w:rsid w:val="007442C8"/>
    <w:rsid w:val="007445A0"/>
    <w:rsid w:val="0074524B"/>
    <w:rsid w:val="007453AF"/>
    <w:rsid w:val="0074730E"/>
    <w:rsid w:val="007476E3"/>
    <w:rsid w:val="00747D8B"/>
    <w:rsid w:val="00750354"/>
    <w:rsid w:val="00751228"/>
    <w:rsid w:val="0075155E"/>
    <w:rsid w:val="00751BF6"/>
    <w:rsid w:val="00756868"/>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70001"/>
    <w:rsid w:val="00770116"/>
    <w:rsid w:val="00770A7B"/>
    <w:rsid w:val="007729A2"/>
    <w:rsid w:val="00773C28"/>
    <w:rsid w:val="007750CE"/>
    <w:rsid w:val="007755F2"/>
    <w:rsid w:val="0077622A"/>
    <w:rsid w:val="00776971"/>
    <w:rsid w:val="00776CB3"/>
    <w:rsid w:val="00780A80"/>
    <w:rsid w:val="0078177E"/>
    <w:rsid w:val="0078304C"/>
    <w:rsid w:val="00783673"/>
    <w:rsid w:val="00785490"/>
    <w:rsid w:val="00785E8D"/>
    <w:rsid w:val="00786C5C"/>
    <w:rsid w:val="00786FA5"/>
    <w:rsid w:val="0079017B"/>
    <w:rsid w:val="007925EA"/>
    <w:rsid w:val="00793CD8"/>
    <w:rsid w:val="00794552"/>
    <w:rsid w:val="00794BEA"/>
    <w:rsid w:val="00795217"/>
    <w:rsid w:val="0079554B"/>
    <w:rsid w:val="00795C92"/>
    <w:rsid w:val="00796231"/>
    <w:rsid w:val="0079639D"/>
    <w:rsid w:val="00797173"/>
    <w:rsid w:val="007A1CB3"/>
    <w:rsid w:val="007A2941"/>
    <w:rsid w:val="007A306F"/>
    <w:rsid w:val="007A43A6"/>
    <w:rsid w:val="007A44B6"/>
    <w:rsid w:val="007A58A6"/>
    <w:rsid w:val="007A709A"/>
    <w:rsid w:val="007A724B"/>
    <w:rsid w:val="007B22F1"/>
    <w:rsid w:val="007B23C8"/>
    <w:rsid w:val="007B257F"/>
    <w:rsid w:val="007B283E"/>
    <w:rsid w:val="007B3D2D"/>
    <w:rsid w:val="007B50AE"/>
    <w:rsid w:val="007B51DF"/>
    <w:rsid w:val="007B5B40"/>
    <w:rsid w:val="007C05AF"/>
    <w:rsid w:val="007C05DD"/>
    <w:rsid w:val="007C2320"/>
    <w:rsid w:val="007C2415"/>
    <w:rsid w:val="007C3D18"/>
    <w:rsid w:val="007C4AEB"/>
    <w:rsid w:val="007C584C"/>
    <w:rsid w:val="007C60BF"/>
    <w:rsid w:val="007C650E"/>
    <w:rsid w:val="007C6665"/>
    <w:rsid w:val="007C6A07"/>
    <w:rsid w:val="007C75A1"/>
    <w:rsid w:val="007C77A5"/>
    <w:rsid w:val="007D04E5"/>
    <w:rsid w:val="007D23EF"/>
    <w:rsid w:val="007D5901"/>
    <w:rsid w:val="007D7526"/>
    <w:rsid w:val="007E1BBF"/>
    <w:rsid w:val="007E35C7"/>
    <w:rsid w:val="007E4610"/>
    <w:rsid w:val="007E4715"/>
    <w:rsid w:val="007E505B"/>
    <w:rsid w:val="007E7091"/>
    <w:rsid w:val="007F1F42"/>
    <w:rsid w:val="007F34DC"/>
    <w:rsid w:val="007F657D"/>
    <w:rsid w:val="008006BF"/>
    <w:rsid w:val="00800A5C"/>
    <w:rsid w:val="00802764"/>
    <w:rsid w:val="00803FAE"/>
    <w:rsid w:val="008051E8"/>
    <w:rsid w:val="008056A6"/>
    <w:rsid w:val="0080605F"/>
    <w:rsid w:val="00807443"/>
    <w:rsid w:val="0080776C"/>
    <w:rsid w:val="00807786"/>
    <w:rsid w:val="00811FCB"/>
    <w:rsid w:val="008127D2"/>
    <w:rsid w:val="008149CB"/>
    <w:rsid w:val="008158D6"/>
    <w:rsid w:val="00816948"/>
    <w:rsid w:val="00817196"/>
    <w:rsid w:val="00821658"/>
    <w:rsid w:val="00822ADF"/>
    <w:rsid w:val="008235DB"/>
    <w:rsid w:val="008239F8"/>
    <w:rsid w:val="008249B2"/>
    <w:rsid w:val="00824AB4"/>
    <w:rsid w:val="00825C42"/>
    <w:rsid w:val="00825D25"/>
    <w:rsid w:val="00826AAC"/>
    <w:rsid w:val="00827898"/>
    <w:rsid w:val="00827D6F"/>
    <w:rsid w:val="00831E0A"/>
    <w:rsid w:val="00833516"/>
    <w:rsid w:val="00834D61"/>
    <w:rsid w:val="00835F11"/>
    <w:rsid w:val="00836367"/>
    <w:rsid w:val="008372A1"/>
    <w:rsid w:val="008376AC"/>
    <w:rsid w:val="008444E8"/>
    <w:rsid w:val="00844E80"/>
    <w:rsid w:val="00845FA0"/>
    <w:rsid w:val="00846FE7"/>
    <w:rsid w:val="008516EB"/>
    <w:rsid w:val="008537C5"/>
    <w:rsid w:val="0085444E"/>
    <w:rsid w:val="00856911"/>
    <w:rsid w:val="00857E19"/>
    <w:rsid w:val="0086124F"/>
    <w:rsid w:val="008617F9"/>
    <w:rsid w:val="00861F0B"/>
    <w:rsid w:val="008677FD"/>
    <w:rsid w:val="008706D4"/>
    <w:rsid w:val="00870F8A"/>
    <w:rsid w:val="00871240"/>
    <w:rsid w:val="008719A4"/>
    <w:rsid w:val="00871D23"/>
    <w:rsid w:val="00873625"/>
    <w:rsid w:val="00874312"/>
    <w:rsid w:val="0087437C"/>
    <w:rsid w:val="008746A8"/>
    <w:rsid w:val="00875CD7"/>
    <w:rsid w:val="00876889"/>
    <w:rsid w:val="00876B4D"/>
    <w:rsid w:val="00876C29"/>
    <w:rsid w:val="00877A55"/>
    <w:rsid w:val="00877F18"/>
    <w:rsid w:val="008802E8"/>
    <w:rsid w:val="008810AD"/>
    <w:rsid w:val="008820F5"/>
    <w:rsid w:val="0088225C"/>
    <w:rsid w:val="00886F73"/>
    <w:rsid w:val="008908F2"/>
    <w:rsid w:val="00891F71"/>
    <w:rsid w:val="00892323"/>
    <w:rsid w:val="00893E2D"/>
    <w:rsid w:val="00893F76"/>
    <w:rsid w:val="008941E3"/>
    <w:rsid w:val="00894A88"/>
    <w:rsid w:val="00895386"/>
    <w:rsid w:val="00895FE7"/>
    <w:rsid w:val="008A05F7"/>
    <w:rsid w:val="008A19D7"/>
    <w:rsid w:val="008A21FF"/>
    <w:rsid w:val="008A278F"/>
    <w:rsid w:val="008A2CE2"/>
    <w:rsid w:val="008A30AC"/>
    <w:rsid w:val="008A3C45"/>
    <w:rsid w:val="008A4292"/>
    <w:rsid w:val="008A44B8"/>
    <w:rsid w:val="008A4AE6"/>
    <w:rsid w:val="008A51A8"/>
    <w:rsid w:val="008A54C7"/>
    <w:rsid w:val="008A708C"/>
    <w:rsid w:val="008A77D8"/>
    <w:rsid w:val="008B0483"/>
    <w:rsid w:val="008B120C"/>
    <w:rsid w:val="008B1514"/>
    <w:rsid w:val="008B51A0"/>
    <w:rsid w:val="008B592A"/>
    <w:rsid w:val="008B5BA8"/>
    <w:rsid w:val="008B7B5C"/>
    <w:rsid w:val="008C0C99"/>
    <w:rsid w:val="008C137B"/>
    <w:rsid w:val="008C2017"/>
    <w:rsid w:val="008C23C3"/>
    <w:rsid w:val="008C2908"/>
    <w:rsid w:val="008C3931"/>
    <w:rsid w:val="008C4958"/>
    <w:rsid w:val="008C4BAA"/>
    <w:rsid w:val="008C61A1"/>
    <w:rsid w:val="008C6AE8"/>
    <w:rsid w:val="008C6F73"/>
    <w:rsid w:val="008C7573"/>
    <w:rsid w:val="008C7ED9"/>
    <w:rsid w:val="008D00A5"/>
    <w:rsid w:val="008D1949"/>
    <w:rsid w:val="008D1D18"/>
    <w:rsid w:val="008D2985"/>
    <w:rsid w:val="008D34F1"/>
    <w:rsid w:val="008D39D8"/>
    <w:rsid w:val="008D5787"/>
    <w:rsid w:val="008D5F68"/>
    <w:rsid w:val="008D6D1A"/>
    <w:rsid w:val="008D6F58"/>
    <w:rsid w:val="008E065E"/>
    <w:rsid w:val="008E0927"/>
    <w:rsid w:val="008E0CCF"/>
    <w:rsid w:val="008E1909"/>
    <w:rsid w:val="008E35D2"/>
    <w:rsid w:val="008E53F0"/>
    <w:rsid w:val="008E7821"/>
    <w:rsid w:val="008F1C4E"/>
    <w:rsid w:val="008F1C52"/>
    <w:rsid w:val="008F1EAB"/>
    <w:rsid w:val="008F26DA"/>
    <w:rsid w:val="008F33DC"/>
    <w:rsid w:val="008F3DAB"/>
    <w:rsid w:val="008F475E"/>
    <w:rsid w:val="008F477F"/>
    <w:rsid w:val="008F48F3"/>
    <w:rsid w:val="008F50E0"/>
    <w:rsid w:val="008F64A7"/>
    <w:rsid w:val="008F661C"/>
    <w:rsid w:val="008F74BA"/>
    <w:rsid w:val="008F7BE8"/>
    <w:rsid w:val="00900509"/>
    <w:rsid w:val="00902350"/>
    <w:rsid w:val="0090336B"/>
    <w:rsid w:val="009053AA"/>
    <w:rsid w:val="00906939"/>
    <w:rsid w:val="00910B19"/>
    <w:rsid w:val="00910B7D"/>
    <w:rsid w:val="00911DFB"/>
    <w:rsid w:val="009139D9"/>
    <w:rsid w:val="00914AD8"/>
    <w:rsid w:val="00914F62"/>
    <w:rsid w:val="00916079"/>
    <w:rsid w:val="00916223"/>
    <w:rsid w:val="00917CE9"/>
    <w:rsid w:val="0092075B"/>
    <w:rsid w:val="00920BF2"/>
    <w:rsid w:val="00921468"/>
    <w:rsid w:val="009215CC"/>
    <w:rsid w:val="0092198E"/>
    <w:rsid w:val="00922010"/>
    <w:rsid w:val="00927496"/>
    <w:rsid w:val="009302B2"/>
    <w:rsid w:val="009309AB"/>
    <w:rsid w:val="00931BD9"/>
    <w:rsid w:val="00932110"/>
    <w:rsid w:val="00935A89"/>
    <w:rsid w:val="009360F1"/>
    <w:rsid w:val="009368F3"/>
    <w:rsid w:val="00937B73"/>
    <w:rsid w:val="00937CAB"/>
    <w:rsid w:val="00940DE9"/>
    <w:rsid w:val="00940DF3"/>
    <w:rsid w:val="00941636"/>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681E"/>
    <w:rsid w:val="009572D4"/>
    <w:rsid w:val="00957400"/>
    <w:rsid w:val="00957853"/>
    <w:rsid w:val="00960F0E"/>
    <w:rsid w:val="00961921"/>
    <w:rsid w:val="00962054"/>
    <w:rsid w:val="0096430A"/>
    <w:rsid w:val="0096554B"/>
    <w:rsid w:val="0096584A"/>
    <w:rsid w:val="00966051"/>
    <w:rsid w:val="00967F19"/>
    <w:rsid w:val="009701A4"/>
    <w:rsid w:val="0097097F"/>
    <w:rsid w:val="00971E98"/>
    <w:rsid w:val="00971F08"/>
    <w:rsid w:val="00972261"/>
    <w:rsid w:val="0097269B"/>
    <w:rsid w:val="009740F8"/>
    <w:rsid w:val="0097603D"/>
    <w:rsid w:val="00976949"/>
    <w:rsid w:val="00977EE4"/>
    <w:rsid w:val="00980477"/>
    <w:rsid w:val="00983411"/>
    <w:rsid w:val="00984E83"/>
    <w:rsid w:val="00985253"/>
    <w:rsid w:val="009853B3"/>
    <w:rsid w:val="00986798"/>
    <w:rsid w:val="00990630"/>
    <w:rsid w:val="00990BA7"/>
    <w:rsid w:val="00990D06"/>
    <w:rsid w:val="00991761"/>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782E"/>
    <w:rsid w:val="009A7D6D"/>
    <w:rsid w:val="009B06D5"/>
    <w:rsid w:val="009B0B79"/>
    <w:rsid w:val="009B1F30"/>
    <w:rsid w:val="009B356E"/>
    <w:rsid w:val="009B3AC2"/>
    <w:rsid w:val="009B4DF4"/>
    <w:rsid w:val="009B524E"/>
    <w:rsid w:val="009B564E"/>
    <w:rsid w:val="009B670C"/>
    <w:rsid w:val="009B7E87"/>
    <w:rsid w:val="009C0169"/>
    <w:rsid w:val="009C0258"/>
    <w:rsid w:val="009C045E"/>
    <w:rsid w:val="009C0647"/>
    <w:rsid w:val="009C11C9"/>
    <w:rsid w:val="009C403E"/>
    <w:rsid w:val="009C5BB4"/>
    <w:rsid w:val="009D0441"/>
    <w:rsid w:val="009D0F27"/>
    <w:rsid w:val="009D2282"/>
    <w:rsid w:val="009D2F4C"/>
    <w:rsid w:val="009D4FF0"/>
    <w:rsid w:val="009D51F1"/>
    <w:rsid w:val="009D554A"/>
    <w:rsid w:val="009D66C0"/>
    <w:rsid w:val="009D703C"/>
    <w:rsid w:val="009D718F"/>
    <w:rsid w:val="009E068F"/>
    <w:rsid w:val="009E14E0"/>
    <w:rsid w:val="009E2E8D"/>
    <w:rsid w:val="009E35DB"/>
    <w:rsid w:val="009E47A3"/>
    <w:rsid w:val="009E66A6"/>
    <w:rsid w:val="009F08F3"/>
    <w:rsid w:val="009F0F20"/>
    <w:rsid w:val="009F344F"/>
    <w:rsid w:val="009F5357"/>
    <w:rsid w:val="009F6EFF"/>
    <w:rsid w:val="00A00226"/>
    <w:rsid w:val="00A018DE"/>
    <w:rsid w:val="00A031D8"/>
    <w:rsid w:val="00A048A8"/>
    <w:rsid w:val="00A04F49"/>
    <w:rsid w:val="00A05ED5"/>
    <w:rsid w:val="00A0665F"/>
    <w:rsid w:val="00A12AE8"/>
    <w:rsid w:val="00A13E54"/>
    <w:rsid w:val="00A1469C"/>
    <w:rsid w:val="00A14871"/>
    <w:rsid w:val="00A15C2D"/>
    <w:rsid w:val="00A17F63"/>
    <w:rsid w:val="00A204BC"/>
    <w:rsid w:val="00A2193B"/>
    <w:rsid w:val="00A22709"/>
    <w:rsid w:val="00A231D0"/>
    <w:rsid w:val="00A2351A"/>
    <w:rsid w:val="00A25448"/>
    <w:rsid w:val="00A25608"/>
    <w:rsid w:val="00A25F1A"/>
    <w:rsid w:val="00A264A9"/>
    <w:rsid w:val="00A26664"/>
    <w:rsid w:val="00A26DCF"/>
    <w:rsid w:val="00A27785"/>
    <w:rsid w:val="00A30187"/>
    <w:rsid w:val="00A32946"/>
    <w:rsid w:val="00A335E6"/>
    <w:rsid w:val="00A3448A"/>
    <w:rsid w:val="00A347B2"/>
    <w:rsid w:val="00A36297"/>
    <w:rsid w:val="00A36EBF"/>
    <w:rsid w:val="00A37F27"/>
    <w:rsid w:val="00A4073E"/>
    <w:rsid w:val="00A40F8E"/>
    <w:rsid w:val="00A41D1D"/>
    <w:rsid w:val="00A41E2B"/>
    <w:rsid w:val="00A4282D"/>
    <w:rsid w:val="00A447CE"/>
    <w:rsid w:val="00A44F33"/>
    <w:rsid w:val="00A45B74"/>
    <w:rsid w:val="00A52E1D"/>
    <w:rsid w:val="00A52E43"/>
    <w:rsid w:val="00A53FAE"/>
    <w:rsid w:val="00A578BC"/>
    <w:rsid w:val="00A57B9D"/>
    <w:rsid w:val="00A57CFC"/>
    <w:rsid w:val="00A608FB"/>
    <w:rsid w:val="00A61499"/>
    <w:rsid w:val="00A61737"/>
    <w:rsid w:val="00A62A77"/>
    <w:rsid w:val="00A63483"/>
    <w:rsid w:val="00A657D7"/>
    <w:rsid w:val="00A660AC"/>
    <w:rsid w:val="00A67E6C"/>
    <w:rsid w:val="00A708B7"/>
    <w:rsid w:val="00A716CC"/>
    <w:rsid w:val="00A71B99"/>
    <w:rsid w:val="00A738CD"/>
    <w:rsid w:val="00A739D0"/>
    <w:rsid w:val="00A73E30"/>
    <w:rsid w:val="00A761D4"/>
    <w:rsid w:val="00A77EC4"/>
    <w:rsid w:val="00A80391"/>
    <w:rsid w:val="00A81679"/>
    <w:rsid w:val="00A81EE7"/>
    <w:rsid w:val="00A81F94"/>
    <w:rsid w:val="00A834A0"/>
    <w:rsid w:val="00A85BE9"/>
    <w:rsid w:val="00A85DAB"/>
    <w:rsid w:val="00A85E63"/>
    <w:rsid w:val="00A86228"/>
    <w:rsid w:val="00A875EA"/>
    <w:rsid w:val="00A90E0F"/>
    <w:rsid w:val="00A90EB1"/>
    <w:rsid w:val="00A92227"/>
    <w:rsid w:val="00A92879"/>
    <w:rsid w:val="00A92A24"/>
    <w:rsid w:val="00A931EE"/>
    <w:rsid w:val="00A9442A"/>
    <w:rsid w:val="00AA016F"/>
    <w:rsid w:val="00AA0FDA"/>
    <w:rsid w:val="00AA1408"/>
    <w:rsid w:val="00AA19E0"/>
    <w:rsid w:val="00AA1A78"/>
    <w:rsid w:val="00AA1ED6"/>
    <w:rsid w:val="00AA51D6"/>
    <w:rsid w:val="00AB0BC8"/>
    <w:rsid w:val="00AB0BEF"/>
    <w:rsid w:val="00AB11CA"/>
    <w:rsid w:val="00AB14D9"/>
    <w:rsid w:val="00AB344F"/>
    <w:rsid w:val="00AB4AB8"/>
    <w:rsid w:val="00AB655E"/>
    <w:rsid w:val="00AC007F"/>
    <w:rsid w:val="00AC2ECD"/>
    <w:rsid w:val="00AC3119"/>
    <w:rsid w:val="00AC49FB"/>
    <w:rsid w:val="00AC5A10"/>
    <w:rsid w:val="00AC647C"/>
    <w:rsid w:val="00AC69EA"/>
    <w:rsid w:val="00AD0630"/>
    <w:rsid w:val="00AD0AA3"/>
    <w:rsid w:val="00AD1E94"/>
    <w:rsid w:val="00AD2ED0"/>
    <w:rsid w:val="00AD3F94"/>
    <w:rsid w:val="00AD49CC"/>
    <w:rsid w:val="00AD4A5A"/>
    <w:rsid w:val="00AD5E42"/>
    <w:rsid w:val="00AD5F4A"/>
    <w:rsid w:val="00AE1174"/>
    <w:rsid w:val="00AE1399"/>
    <w:rsid w:val="00AE16C8"/>
    <w:rsid w:val="00AE27AC"/>
    <w:rsid w:val="00AE40E0"/>
    <w:rsid w:val="00AE4DBA"/>
    <w:rsid w:val="00AE4F07"/>
    <w:rsid w:val="00AE50BB"/>
    <w:rsid w:val="00AE6C10"/>
    <w:rsid w:val="00AF17A5"/>
    <w:rsid w:val="00AF1C5D"/>
    <w:rsid w:val="00AF3574"/>
    <w:rsid w:val="00AF3E2A"/>
    <w:rsid w:val="00AF42D7"/>
    <w:rsid w:val="00AF606E"/>
    <w:rsid w:val="00AF64D6"/>
    <w:rsid w:val="00AF78B1"/>
    <w:rsid w:val="00B006FE"/>
    <w:rsid w:val="00B007CB"/>
    <w:rsid w:val="00B00B35"/>
    <w:rsid w:val="00B02114"/>
    <w:rsid w:val="00B02183"/>
    <w:rsid w:val="00B02AA9"/>
    <w:rsid w:val="00B02FA3"/>
    <w:rsid w:val="00B0323B"/>
    <w:rsid w:val="00B04754"/>
    <w:rsid w:val="00B05084"/>
    <w:rsid w:val="00B052CE"/>
    <w:rsid w:val="00B07B10"/>
    <w:rsid w:val="00B14A6A"/>
    <w:rsid w:val="00B157F9"/>
    <w:rsid w:val="00B15AB6"/>
    <w:rsid w:val="00B20256"/>
    <w:rsid w:val="00B2085E"/>
    <w:rsid w:val="00B20D09"/>
    <w:rsid w:val="00B249B3"/>
    <w:rsid w:val="00B25BCA"/>
    <w:rsid w:val="00B25E95"/>
    <w:rsid w:val="00B26924"/>
    <w:rsid w:val="00B2757F"/>
    <w:rsid w:val="00B2763F"/>
    <w:rsid w:val="00B27AAC"/>
    <w:rsid w:val="00B30243"/>
    <w:rsid w:val="00B308FF"/>
    <w:rsid w:val="00B30929"/>
    <w:rsid w:val="00B314A1"/>
    <w:rsid w:val="00B32006"/>
    <w:rsid w:val="00B34E9B"/>
    <w:rsid w:val="00B354A5"/>
    <w:rsid w:val="00B372AA"/>
    <w:rsid w:val="00B37DFD"/>
    <w:rsid w:val="00B37F7E"/>
    <w:rsid w:val="00B40445"/>
    <w:rsid w:val="00B409E0"/>
    <w:rsid w:val="00B40FE3"/>
    <w:rsid w:val="00B41888"/>
    <w:rsid w:val="00B4379B"/>
    <w:rsid w:val="00B4382F"/>
    <w:rsid w:val="00B45A52"/>
    <w:rsid w:val="00B46175"/>
    <w:rsid w:val="00B46F14"/>
    <w:rsid w:val="00B4717E"/>
    <w:rsid w:val="00B47E17"/>
    <w:rsid w:val="00B515AF"/>
    <w:rsid w:val="00B51940"/>
    <w:rsid w:val="00B52C79"/>
    <w:rsid w:val="00B53942"/>
    <w:rsid w:val="00B54271"/>
    <w:rsid w:val="00B548B7"/>
    <w:rsid w:val="00B55E20"/>
    <w:rsid w:val="00B62656"/>
    <w:rsid w:val="00B63A91"/>
    <w:rsid w:val="00B664C7"/>
    <w:rsid w:val="00B711DD"/>
    <w:rsid w:val="00B713D8"/>
    <w:rsid w:val="00B71C39"/>
    <w:rsid w:val="00B72EC3"/>
    <w:rsid w:val="00B73724"/>
    <w:rsid w:val="00B739F6"/>
    <w:rsid w:val="00B77A07"/>
    <w:rsid w:val="00B77C37"/>
    <w:rsid w:val="00B803BE"/>
    <w:rsid w:val="00B80A5A"/>
    <w:rsid w:val="00B81A6C"/>
    <w:rsid w:val="00B82A67"/>
    <w:rsid w:val="00B85DE5"/>
    <w:rsid w:val="00B8613C"/>
    <w:rsid w:val="00B86C24"/>
    <w:rsid w:val="00B87296"/>
    <w:rsid w:val="00B90482"/>
    <w:rsid w:val="00B904B7"/>
    <w:rsid w:val="00B90DF0"/>
    <w:rsid w:val="00B90F73"/>
    <w:rsid w:val="00B91FAF"/>
    <w:rsid w:val="00B93AD7"/>
    <w:rsid w:val="00B93B59"/>
    <w:rsid w:val="00B9406A"/>
    <w:rsid w:val="00B97734"/>
    <w:rsid w:val="00B97867"/>
    <w:rsid w:val="00B97CA6"/>
    <w:rsid w:val="00BA0F10"/>
    <w:rsid w:val="00BA12B9"/>
    <w:rsid w:val="00BA2280"/>
    <w:rsid w:val="00BA2A08"/>
    <w:rsid w:val="00BA3092"/>
    <w:rsid w:val="00BA334B"/>
    <w:rsid w:val="00BA56D2"/>
    <w:rsid w:val="00BA70A6"/>
    <w:rsid w:val="00BA76E0"/>
    <w:rsid w:val="00BA77D7"/>
    <w:rsid w:val="00BA7940"/>
    <w:rsid w:val="00BB12F1"/>
    <w:rsid w:val="00BB1738"/>
    <w:rsid w:val="00BB2839"/>
    <w:rsid w:val="00BB2A25"/>
    <w:rsid w:val="00BB2E86"/>
    <w:rsid w:val="00BB34E3"/>
    <w:rsid w:val="00BB3B57"/>
    <w:rsid w:val="00BB51E9"/>
    <w:rsid w:val="00BB58E8"/>
    <w:rsid w:val="00BC0E45"/>
    <w:rsid w:val="00BC0EC9"/>
    <w:rsid w:val="00BC0FDC"/>
    <w:rsid w:val="00BC19DA"/>
    <w:rsid w:val="00BC2467"/>
    <w:rsid w:val="00BC3053"/>
    <w:rsid w:val="00BC36C3"/>
    <w:rsid w:val="00BC3D55"/>
    <w:rsid w:val="00BC4D2E"/>
    <w:rsid w:val="00BC4EBD"/>
    <w:rsid w:val="00BC7D42"/>
    <w:rsid w:val="00BD3C60"/>
    <w:rsid w:val="00BD48AC"/>
    <w:rsid w:val="00BD5A3A"/>
    <w:rsid w:val="00BD5F1A"/>
    <w:rsid w:val="00BD696F"/>
    <w:rsid w:val="00BE1234"/>
    <w:rsid w:val="00BE179C"/>
    <w:rsid w:val="00BE2FA6"/>
    <w:rsid w:val="00BE333F"/>
    <w:rsid w:val="00BE33DE"/>
    <w:rsid w:val="00BE7406"/>
    <w:rsid w:val="00BE7603"/>
    <w:rsid w:val="00BE7C9D"/>
    <w:rsid w:val="00BF1E0B"/>
    <w:rsid w:val="00BF2D41"/>
    <w:rsid w:val="00BF3279"/>
    <w:rsid w:val="00BF34E7"/>
    <w:rsid w:val="00BF4500"/>
    <w:rsid w:val="00BF4A19"/>
    <w:rsid w:val="00BF4A4A"/>
    <w:rsid w:val="00BF74C7"/>
    <w:rsid w:val="00C015F1"/>
    <w:rsid w:val="00C01E6B"/>
    <w:rsid w:val="00C01F33"/>
    <w:rsid w:val="00C02CC6"/>
    <w:rsid w:val="00C040F7"/>
    <w:rsid w:val="00C044AB"/>
    <w:rsid w:val="00C046FF"/>
    <w:rsid w:val="00C05706"/>
    <w:rsid w:val="00C057AF"/>
    <w:rsid w:val="00C07377"/>
    <w:rsid w:val="00C10021"/>
    <w:rsid w:val="00C10478"/>
    <w:rsid w:val="00C12107"/>
    <w:rsid w:val="00C130AD"/>
    <w:rsid w:val="00C13C00"/>
    <w:rsid w:val="00C14CE2"/>
    <w:rsid w:val="00C14D4B"/>
    <w:rsid w:val="00C15368"/>
    <w:rsid w:val="00C154BB"/>
    <w:rsid w:val="00C179DA"/>
    <w:rsid w:val="00C21451"/>
    <w:rsid w:val="00C23010"/>
    <w:rsid w:val="00C230F8"/>
    <w:rsid w:val="00C278C3"/>
    <w:rsid w:val="00C279B5"/>
    <w:rsid w:val="00C27C45"/>
    <w:rsid w:val="00C34A89"/>
    <w:rsid w:val="00C3639D"/>
    <w:rsid w:val="00C3719D"/>
    <w:rsid w:val="00C37CB2"/>
    <w:rsid w:val="00C40862"/>
    <w:rsid w:val="00C40FCB"/>
    <w:rsid w:val="00C418C2"/>
    <w:rsid w:val="00C43195"/>
    <w:rsid w:val="00C4362E"/>
    <w:rsid w:val="00C4598C"/>
    <w:rsid w:val="00C46F9B"/>
    <w:rsid w:val="00C473A5"/>
    <w:rsid w:val="00C50FA5"/>
    <w:rsid w:val="00C54995"/>
    <w:rsid w:val="00C54C94"/>
    <w:rsid w:val="00C54D41"/>
    <w:rsid w:val="00C55013"/>
    <w:rsid w:val="00C55E8E"/>
    <w:rsid w:val="00C5787F"/>
    <w:rsid w:val="00C60783"/>
    <w:rsid w:val="00C60AC7"/>
    <w:rsid w:val="00C60E88"/>
    <w:rsid w:val="00C61594"/>
    <w:rsid w:val="00C61C80"/>
    <w:rsid w:val="00C62A5B"/>
    <w:rsid w:val="00C63B95"/>
    <w:rsid w:val="00C64672"/>
    <w:rsid w:val="00C65841"/>
    <w:rsid w:val="00C66043"/>
    <w:rsid w:val="00C6607E"/>
    <w:rsid w:val="00C674AF"/>
    <w:rsid w:val="00C7061D"/>
    <w:rsid w:val="00C70697"/>
    <w:rsid w:val="00C70801"/>
    <w:rsid w:val="00C72093"/>
    <w:rsid w:val="00C72851"/>
    <w:rsid w:val="00C72EF4"/>
    <w:rsid w:val="00C744FE"/>
    <w:rsid w:val="00C75D2F"/>
    <w:rsid w:val="00C767BE"/>
    <w:rsid w:val="00C76E3C"/>
    <w:rsid w:val="00C80E42"/>
    <w:rsid w:val="00C81568"/>
    <w:rsid w:val="00C8361C"/>
    <w:rsid w:val="00C84967"/>
    <w:rsid w:val="00C84B8B"/>
    <w:rsid w:val="00C85BCA"/>
    <w:rsid w:val="00C87015"/>
    <w:rsid w:val="00C87FD4"/>
    <w:rsid w:val="00C9027A"/>
    <w:rsid w:val="00C90302"/>
    <w:rsid w:val="00C9068E"/>
    <w:rsid w:val="00C92940"/>
    <w:rsid w:val="00C92A67"/>
    <w:rsid w:val="00C93814"/>
    <w:rsid w:val="00C93C4B"/>
    <w:rsid w:val="00C944AB"/>
    <w:rsid w:val="00C95B40"/>
    <w:rsid w:val="00CA1ED8"/>
    <w:rsid w:val="00CA22CD"/>
    <w:rsid w:val="00CA2533"/>
    <w:rsid w:val="00CA37FE"/>
    <w:rsid w:val="00CA3824"/>
    <w:rsid w:val="00CA5CC5"/>
    <w:rsid w:val="00CA6140"/>
    <w:rsid w:val="00CA649F"/>
    <w:rsid w:val="00CA6D24"/>
    <w:rsid w:val="00CA71E0"/>
    <w:rsid w:val="00CB0BD7"/>
    <w:rsid w:val="00CB1F63"/>
    <w:rsid w:val="00CB2C9E"/>
    <w:rsid w:val="00CB3702"/>
    <w:rsid w:val="00CB3A65"/>
    <w:rsid w:val="00CB46AB"/>
    <w:rsid w:val="00CB4AEC"/>
    <w:rsid w:val="00CB565C"/>
    <w:rsid w:val="00CB5DB7"/>
    <w:rsid w:val="00CB6C4B"/>
    <w:rsid w:val="00CB7170"/>
    <w:rsid w:val="00CB7880"/>
    <w:rsid w:val="00CC0265"/>
    <w:rsid w:val="00CC040E"/>
    <w:rsid w:val="00CC111F"/>
    <w:rsid w:val="00CC2011"/>
    <w:rsid w:val="00CC36BA"/>
    <w:rsid w:val="00CC36EF"/>
    <w:rsid w:val="00CC3EA0"/>
    <w:rsid w:val="00CC52A8"/>
    <w:rsid w:val="00CC5809"/>
    <w:rsid w:val="00CC7789"/>
    <w:rsid w:val="00CC77B4"/>
    <w:rsid w:val="00CC7B45"/>
    <w:rsid w:val="00CC7B9E"/>
    <w:rsid w:val="00CC7C49"/>
    <w:rsid w:val="00CD1188"/>
    <w:rsid w:val="00CD1B4E"/>
    <w:rsid w:val="00CD2ED1"/>
    <w:rsid w:val="00CD337B"/>
    <w:rsid w:val="00CE024E"/>
    <w:rsid w:val="00CE0424"/>
    <w:rsid w:val="00CE1075"/>
    <w:rsid w:val="00CE2763"/>
    <w:rsid w:val="00CE4E59"/>
    <w:rsid w:val="00CE6FD1"/>
    <w:rsid w:val="00CE7561"/>
    <w:rsid w:val="00CF1354"/>
    <w:rsid w:val="00CF2046"/>
    <w:rsid w:val="00CF2243"/>
    <w:rsid w:val="00CF2DDE"/>
    <w:rsid w:val="00CF3049"/>
    <w:rsid w:val="00CF316E"/>
    <w:rsid w:val="00CF3A73"/>
    <w:rsid w:val="00CF3B1F"/>
    <w:rsid w:val="00CF3BF6"/>
    <w:rsid w:val="00CF625B"/>
    <w:rsid w:val="00CF687E"/>
    <w:rsid w:val="00CF6FD9"/>
    <w:rsid w:val="00CF72F1"/>
    <w:rsid w:val="00D010E4"/>
    <w:rsid w:val="00D018F7"/>
    <w:rsid w:val="00D0349B"/>
    <w:rsid w:val="00D03D14"/>
    <w:rsid w:val="00D04A6E"/>
    <w:rsid w:val="00D06A61"/>
    <w:rsid w:val="00D078AD"/>
    <w:rsid w:val="00D10249"/>
    <w:rsid w:val="00D115C3"/>
    <w:rsid w:val="00D11897"/>
    <w:rsid w:val="00D11919"/>
    <w:rsid w:val="00D13135"/>
    <w:rsid w:val="00D13E4E"/>
    <w:rsid w:val="00D14554"/>
    <w:rsid w:val="00D157FD"/>
    <w:rsid w:val="00D207A9"/>
    <w:rsid w:val="00D2369E"/>
    <w:rsid w:val="00D239A7"/>
    <w:rsid w:val="00D23F47"/>
    <w:rsid w:val="00D243C5"/>
    <w:rsid w:val="00D24551"/>
    <w:rsid w:val="00D26D5D"/>
    <w:rsid w:val="00D27BAE"/>
    <w:rsid w:val="00D32498"/>
    <w:rsid w:val="00D32DE1"/>
    <w:rsid w:val="00D34019"/>
    <w:rsid w:val="00D34F48"/>
    <w:rsid w:val="00D35253"/>
    <w:rsid w:val="00D36B13"/>
    <w:rsid w:val="00D36E71"/>
    <w:rsid w:val="00D371D1"/>
    <w:rsid w:val="00D37D87"/>
    <w:rsid w:val="00D40B33"/>
    <w:rsid w:val="00D4188C"/>
    <w:rsid w:val="00D41F29"/>
    <w:rsid w:val="00D4318F"/>
    <w:rsid w:val="00D438BF"/>
    <w:rsid w:val="00D440F8"/>
    <w:rsid w:val="00D4479A"/>
    <w:rsid w:val="00D4554E"/>
    <w:rsid w:val="00D47C78"/>
    <w:rsid w:val="00D52265"/>
    <w:rsid w:val="00D53188"/>
    <w:rsid w:val="00D5418A"/>
    <w:rsid w:val="00D546FF"/>
    <w:rsid w:val="00D55AD5"/>
    <w:rsid w:val="00D568D7"/>
    <w:rsid w:val="00D56D01"/>
    <w:rsid w:val="00D576CA"/>
    <w:rsid w:val="00D5789E"/>
    <w:rsid w:val="00D61AF5"/>
    <w:rsid w:val="00D63A6A"/>
    <w:rsid w:val="00D64976"/>
    <w:rsid w:val="00D64A34"/>
    <w:rsid w:val="00D652B5"/>
    <w:rsid w:val="00D66155"/>
    <w:rsid w:val="00D66BA4"/>
    <w:rsid w:val="00D708B0"/>
    <w:rsid w:val="00D71032"/>
    <w:rsid w:val="00D71054"/>
    <w:rsid w:val="00D71C3B"/>
    <w:rsid w:val="00D729B9"/>
    <w:rsid w:val="00D73DE2"/>
    <w:rsid w:val="00D75E18"/>
    <w:rsid w:val="00D773AD"/>
    <w:rsid w:val="00D77B1D"/>
    <w:rsid w:val="00D8021F"/>
    <w:rsid w:val="00D80383"/>
    <w:rsid w:val="00D80A44"/>
    <w:rsid w:val="00D81BAC"/>
    <w:rsid w:val="00D823C6"/>
    <w:rsid w:val="00D8327F"/>
    <w:rsid w:val="00D83491"/>
    <w:rsid w:val="00D83E2C"/>
    <w:rsid w:val="00D83FCF"/>
    <w:rsid w:val="00D84807"/>
    <w:rsid w:val="00D86CA3"/>
    <w:rsid w:val="00D871CE"/>
    <w:rsid w:val="00D910E4"/>
    <w:rsid w:val="00D9196D"/>
    <w:rsid w:val="00D91FA5"/>
    <w:rsid w:val="00D92982"/>
    <w:rsid w:val="00D93582"/>
    <w:rsid w:val="00D93AB3"/>
    <w:rsid w:val="00D950CD"/>
    <w:rsid w:val="00D95773"/>
    <w:rsid w:val="00D96491"/>
    <w:rsid w:val="00D97D7C"/>
    <w:rsid w:val="00DA1318"/>
    <w:rsid w:val="00DA238A"/>
    <w:rsid w:val="00DA305E"/>
    <w:rsid w:val="00DA406C"/>
    <w:rsid w:val="00DA4788"/>
    <w:rsid w:val="00DA4B45"/>
    <w:rsid w:val="00DA5417"/>
    <w:rsid w:val="00DA56E8"/>
    <w:rsid w:val="00DA707A"/>
    <w:rsid w:val="00DA7899"/>
    <w:rsid w:val="00DB0A9F"/>
    <w:rsid w:val="00DB219C"/>
    <w:rsid w:val="00DB23A6"/>
    <w:rsid w:val="00DB377D"/>
    <w:rsid w:val="00DB4AC9"/>
    <w:rsid w:val="00DB6367"/>
    <w:rsid w:val="00DC05D5"/>
    <w:rsid w:val="00DC0EBA"/>
    <w:rsid w:val="00DC2779"/>
    <w:rsid w:val="00DC2D36"/>
    <w:rsid w:val="00DC474C"/>
    <w:rsid w:val="00DC4DB7"/>
    <w:rsid w:val="00DC4DEF"/>
    <w:rsid w:val="00DC53EF"/>
    <w:rsid w:val="00DC5694"/>
    <w:rsid w:val="00DC5F32"/>
    <w:rsid w:val="00DC654A"/>
    <w:rsid w:val="00DC6962"/>
    <w:rsid w:val="00DC6B9D"/>
    <w:rsid w:val="00DD4719"/>
    <w:rsid w:val="00DE4CCE"/>
    <w:rsid w:val="00DE4E2F"/>
    <w:rsid w:val="00DE5608"/>
    <w:rsid w:val="00DE58D0"/>
    <w:rsid w:val="00DE5A97"/>
    <w:rsid w:val="00DE654F"/>
    <w:rsid w:val="00DE674D"/>
    <w:rsid w:val="00DF0B6E"/>
    <w:rsid w:val="00DF15E0"/>
    <w:rsid w:val="00DF1741"/>
    <w:rsid w:val="00DF1E68"/>
    <w:rsid w:val="00DF37A0"/>
    <w:rsid w:val="00DF6353"/>
    <w:rsid w:val="00E0083C"/>
    <w:rsid w:val="00E0279A"/>
    <w:rsid w:val="00E0775D"/>
    <w:rsid w:val="00E110E7"/>
    <w:rsid w:val="00E11333"/>
    <w:rsid w:val="00E11B20"/>
    <w:rsid w:val="00E13012"/>
    <w:rsid w:val="00E13BC3"/>
    <w:rsid w:val="00E15216"/>
    <w:rsid w:val="00E15F3E"/>
    <w:rsid w:val="00E17FA2"/>
    <w:rsid w:val="00E20F32"/>
    <w:rsid w:val="00E22330"/>
    <w:rsid w:val="00E23E6A"/>
    <w:rsid w:val="00E23F88"/>
    <w:rsid w:val="00E25FF6"/>
    <w:rsid w:val="00E2674C"/>
    <w:rsid w:val="00E27380"/>
    <w:rsid w:val="00E30B5A"/>
    <w:rsid w:val="00E3123D"/>
    <w:rsid w:val="00E31461"/>
    <w:rsid w:val="00E31D43"/>
    <w:rsid w:val="00E32608"/>
    <w:rsid w:val="00E34188"/>
    <w:rsid w:val="00E34B6E"/>
    <w:rsid w:val="00E3500E"/>
    <w:rsid w:val="00E35559"/>
    <w:rsid w:val="00E365D6"/>
    <w:rsid w:val="00E3723A"/>
    <w:rsid w:val="00E37860"/>
    <w:rsid w:val="00E41585"/>
    <w:rsid w:val="00E446F1"/>
    <w:rsid w:val="00E45628"/>
    <w:rsid w:val="00E45655"/>
    <w:rsid w:val="00E45B6C"/>
    <w:rsid w:val="00E46886"/>
    <w:rsid w:val="00E47212"/>
    <w:rsid w:val="00E47AEF"/>
    <w:rsid w:val="00E51F85"/>
    <w:rsid w:val="00E53B75"/>
    <w:rsid w:val="00E53C82"/>
    <w:rsid w:val="00E54E3B"/>
    <w:rsid w:val="00E571B2"/>
    <w:rsid w:val="00E57565"/>
    <w:rsid w:val="00E606C3"/>
    <w:rsid w:val="00E63838"/>
    <w:rsid w:val="00E63C00"/>
    <w:rsid w:val="00E64434"/>
    <w:rsid w:val="00E6493F"/>
    <w:rsid w:val="00E65751"/>
    <w:rsid w:val="00E67027"/>
    <w:rsid w:val="00E67C51"/>
    <w:rsid w:val="00E70311"/>
    <w:rsid w:val="00E72E22"/>
    <w:rsid w:val="00E72EFC"/>
    <w:rsid w:val="00E73C15"/>
    <w:rsid w:val="00E758EC"/>
    <w:rsid w:val="00E7731A"/>
    <w:rsid w:val="00E8234C"/>
    <w:rsid w:val="00E83AA9"/>
    <w:rsid w:val="00E841E6"/>
    <w:rsid w:val="00E85928"/>
    <w:rsid w:val="00E86E6E"/>
    <w:rsid w:val="00E87822"/>
    <w:rsid w:val="00E90395"/>
    <w:rsid w:val="00E90E49"/>
    <w:rsid w:val="00E917F9"/>
    <w:rsid w:val="00E925EF"/>
    <w:rsid w:val="00E9291C"/>
    <w:rsid w:val="00E93141"/>
    <w:rsid w:val="00E938CA"/>
    <w:rsid w:val="00E93FFE"/>
    <w:rsid w:val="00E94BC4"/>
    <w:rsid w:val="00E94F8A"/>
    <w:rsid w:val="00E96699"/>
    <w:rsid w:val="00E96D93"/>
    <w:rsid w:val="00EA08AD"/>
    <w:rsid w:val="00EA1134"/>
    <w:rsid w:val="00EA1F0A"/>
    <w:rsid w:val="00EA25D3"/>
    <w:rsid w:val="00EA2C22"/>
    <w:rsid w:val="00EA2D21"/>
    <w:rsid w:val="00EA37D9"/>
    <w:rsid w:val="00EA4DD8"/>
    <w:rsid w:val="00EA57B3"/>
    <w:rsid w:val="00EA7A41"/>
    <w:rsid w:val="00EB036F"/>
    <w:rsid w:val="00EB077B"/>
    <w:rsid w:val="00EB0D7F"/>
    <w:rsid w:val="00EB1617"/>
    <w:rsid w:val="00EB2A23"/>
    <w:rsid w:val="00EB32AC"/>
    <w:rsid w:val="00EB4398"/>
    <w:rsid w:val="00EB4EA2"/>
    <w:rsid w:val="00EB63B3"/>
    <w:rsid w:val="00EB728D"/>
    <w:rsid w:val="00EB7B24"/>
    <w:rsid w:val="00EC03CC"/>
    <w:rsid w:val="00EC0BD3"/>
    <w:rsid w:val="00EC0FC1"/>
    <w:rsid w:val="00EC1B54"/>
    <w:rsid w:val="00EC1FCA"/>
    <w:rsid w:val="00EC24D5"/>
    <w:rsid w:val="00EC26DF"/>
    <w:rsid w:val="00EC27C6"/>
    <w:rsid w:val="00EC3F9E"/>
    <w:rsid w:val="00EC4207"/>
    <w:rsid w:val="00EC5653"/>
    <w:rsid w:val="00EC669B"/>
    <w:rsid w:val="00EC69F3"/>
    <w:rsid w:val="00EC704A"/>
    <w:rsid w:val="00EC71CE"/>
    <w:rsid w:val="00ED1006"/>
    <w:rsid w:val="00ED2293"/>
    <w:rsid w:val="00ED23AA"/>
    <w:rsid w:val="00ED4750"/>
    <w:rsid w:val="00ED4A02"/>
    <w:rsid w:val="00ED5966"/>
    <w:rsid w:val="00ED5AC7"/>
    <w:rsid w:val="00ED607F"/>
    <w:rsid w:val="00ED62D8"/>
    <w:rsid w:val="00ED6B74"/>
    <w:rsid w:val="00ED730F"/>
    <w:rsid w:val="00EE155E"/>
    <w:rsid w:val="00EE3121"/>
    <w:rsid w:val="00EE553B"/>
    <w:rsid w:val="00EE6C36"/>
    <w:rsid w:val="00EF16D4"/>
    <w:rsid w:val="00EF18FE"/>
    <w:rsid w:val="00EF2D1D"/>
    <w:rsid w:val="00EF4D56"/>
    <w:rsid w:val="00EF5111"/>
    <w:rsid w:val="00EF5787"/>
    <w:rsid w:val="00EF60D0"/>
    <w:rsid w:val="00EF6152"/>
    <w:rsid w:val="00F026CA"/>
    <w:rsid w:val="00F04096"/>
    <w:rsid w:val="00F0528D"/>
    <w:rsid w:val="00F062FF"/>
    <w:rsid w:val="00F06C67"/>
    <w:rsid w:val="00F06DFD"/>
    <w:rsid w:val="00F071D1"/>
    <w:rsid w:val="00F07533"/>
    <w:rsid w:val="00F0775B"/>
    <w:rsid w:val="00F10081"/>
    <w:rsid w:val="00F10629"/>
    <w:rsid w:val="00F1148F"/>
    <w:rsid w:val="00F11DAB"/>
    <w:rsid w:val="00F12238"/>
    <w:rsid w:val="00F12530"/>
    <w:rsid w:val="00F14088"/>
    <w:rsid w:val="00F1514A"/>
    <w:rsid w:val="00F152CA"/>
    <w:rsid w:val="00F15FA5"/>
    <w:rsid w:val="00F17299"/>
    <w:rsid w:val="00F173A7"/>
    <w:rsid w:val="00F1771C"/>
    <w:rsid w:val="00F20511"/>
    <w:rsid w:val="00F209B7"/>
    <w:rsid w:val="00F20E76"/>
    <w:rsid w:val="00F2376F"/>
    <w:rsid w:val="00F23EBA"/>
    <w:rsid w:val="00F243D8"/>
    <w:rsid w:val="00F248FA"/>
    <w:rsid w:val="00F25892"/>
    <w:rsid w:val="00F27468"/>
    <w:rsid w:val="00F27A5C"/>
    <w:rsid w:val="00F30828"/>
    <w:rsid w:val="00F313D6"/>
    <w:rsid w:val="00F315F4"/>
    <w:rsid w:val="00F319DB"/>
    <w:rsid w:val="00F32BA0"/>
    <w:rsid w:val="00F337AF"/>
    <w:rsid w:val="00F37579"/>
    <w:rsid w:val="00F40F0C"/>
    <w:rsid w:val="00F41F07"/>
    <w:rsid w:val="00F460F1"/>
    <w:rsid w:val="00F4634B"/>
    <w:rsid w:val="00F46471"/>
    <w:rsid w:val="00F46F66"/>
    <w:rsid w:val="00F4766C"/>
    <w:rsid w:val="00F47CDD"/>
    <w:rsid w:val="00F5060E"/>
    <w:rsid w:val="00F507D1"/>
    <w:rsid w:val="00F51997"/>
    <w:rsid w:val="00F519CE"/>
    <w:rsid w:val="00F51ADA"/>
    <w:rsid w:val="00F5275A"/>
    <w:rsid w:val="00F53A97"/>
    <w:rsid w:val="00F546CA"/>
    <w:rsid w:val="00F54E35"/>
    <w:rsid w:val="00F60203"/>
    <w:rsid w:val="00F607C5"/>
    <w:rsid w:val="00F60DEA"/>
    <w:rsid w:val="00F61EBF"/>
    <w:rsid w:val="00F6257B"/>
    <w:rsid w:val="00F629E0"/>
    <w:rsid w:val="00F62FCC"/>
    <w:rsid w:val="00F6302A"/>
    <w:rsid w:val="00F63950"/>
    <w:rsid w:val="00F63D26"/>
    <w:rsid w:val="00F64C2B"/>
    <w:rsid w:val="00F651BE"/>
    <w:rsid w:val="00F67C07"/>
    <w:rsid w:val="00F67F53"/>
    <w:rsid w:val="00F703BE"/>
    <w:rsid w:val="00F704D0"/>
    <w:rsid w:val="00F710A0"/>
    <w:rsid w:val="00F71DCE"/>
    <w:rsid w:val="00F71F69"/>
    <w:rsid w:val="00F72432"/>
    <w:rsid w:val="00F727FC"/>
    <w:rsid w:val="00F72B72"/>
    <w:rsid w:val="00F72E80"/>
    <w:rsid w:val="00F742A6"/>
    <w:rsid w:val="00F74BB9"/>
    <w:rsid w:val="00F75582"/>
    <w:rsid w:val="00F75DCD"/>
    <w:rsid w:val="00F76918"/>
    <w:rsid w:val="00F76EFA"/>
    <w:rsid w:val="00F804BE"/>
    <w:rsid w:val="00F817CE"/>
    <w:rsid w:val="00F81883"/>
    <w:rsid w:val="00F82F9C"/>
    <w:rsid w:val="00F83AB2"/>
    <w:rsid w:val="00F8438E"/>
    <w:rsid w:val="00F84413"/>
    <w:rsid w:val="00F8456C"/>
    <w:rsid w:val="00F8599F"/>
    <w:rsid w:val="00F859D8"/>
    <w:rsid w:val="00F868F5"/>
    <w:rsid w:val="00F86C99"/>
    <w:rsid w:val="00F9056A"/>
    <w:rsid w:val="00F90F8D"/>
    <w:rsid w:val="00F9127E"/>
    <w:rsid w:val="00F92782"/>
    <w:rsid w:val="00F93AA9"/>
    <w:rsid w:val="00F93C72"/>
    <w:rsid w:val="00F96114"/>
    <w:rsid w:val="00F96985"/>
    <w:rsid w:val="00F97838"/>
    <w:rsid w:val="00F97E03"/>
    <w:rsid w:val="00FA0C39"/>
    <w:rsid w:val="00FA2BB3"/>
    <w:rsid w:val="00FA3724"/>
    <w:rsid w:val="00FA462D"/>
    <w:rsid w:val="00FA50E8"/>
    <w:rsid w:val="00FA6E29"/>
    <w:rsid w:val="00FA73E0"/>
    <w:rsid w:val="00FB2312"/>
    <w:rsid w:val="00FB4C80"/>
    <w:rsid w:val="00FB6A6A"/>
    <w:rsid w:val="00FB7670"/>
    <w:rsid w:val="00FB78F9"/>
    <w:rsid w:val="00FC030B"/>
    <w:rsid w:val="00FC1084"/>
    <w:rsid w:val="00FC330E"/>
    <w:rsid w:val="00FC3EF3"/>
    <w:rsid w:val="00FC637A"/>
    <w:rsid w:val="00FC7429"/>
    <w:rsid w:val="00FD07F6"/>
    <w:rsid w:val="00FD1EC8"/>
    <w:rsid w:val="00FD1FD3"/>
    <w:rsid w:val="00FD47ED"/>
    <w:rsid w:val="00FD74DB"/>
    <w:rsid w:val="00FD7660"/>
    <w:rsid w:val="00FE0655"/>
    <w:rsid w:val="00FE1273"/>
    <w:rsid w:val="00FE2365"/>
    <w:rsid w:val="00FE35C8"/>
    <w:rsid w:val="00FE37D7"/>
    <w:rsid w:val="00FE4441"/>
    <w:rsid w:val="00FE4C7B"/>
    <w:rsid w:val="00FE70EE"/>
    <w:rsid w:val="00FE7336"/>
    <w:rsid w:val="00FE787C"/>
    <w:rsid w:val="00FF010F"/>
    <w:rsid w:val="00FF1D42"/>
    <w:rsid w:val="00FF45A5"/>
    <w:rsid w:val="00FF4724"/>
    <w:rsid w:val="00FF5768"/>
    <w:rsid w:val="00FF5C91"/>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javascript:;"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5826</Words>
  <Characters>33210</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38959</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cp:lastModifiedBy>
  <cp:revision>2</cp:revision>
  <cp:lastPrinted>2008-01-31T16:09:00Z</cp:lastPrinted>
  <dcterms:created xsi:type="dcterms:W3CDTF">2022-09-30T20:18:00Z</dcterms:created>
  <dcterms:modified xsi:type="dcterms:W3CDTF">2022-09-30T20:18:00Z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