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213875</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highlight w:val="none"/>
          <w:lang w:val="en-US" w:eastAsia="zh-CN"/>
        </w:rPr>
        <w:t>15 - 26 August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pre-configured MG patterns</w:t>
      </w:r>
      <w:bookmarkEnd w:id="0"/>
    </w:p>
    <w:p>
      <w:pPr>
        <w:pStyle w:val="15"/>
        <w:tabs>
          <w:tab w:val="left" w:pos="1800"/>
          <w:tab w:val="left" w:pos="3825"/>
          <w:tab w:val="clear" w:pos="4536"/>
          <w:tab w:val="clear" w:pos="9072"/>
        </w:tabs>
        <w:spacing w:after="60"/>
        <w:jc w:val="both"/>
        <w:rPr>
          <w:rFonts w:hint="default" w:eastAsia="宋体"/>
          <w:color w:val="auto"/>
          <w:sz w:val="24"/>
          <w:highlight w:val="yellow"/>
          <w:lang w:val="en-US" w:eastAsia="zh-CN"/>
        </w:rPr>
      </w:pPr>
      <w:r>
        <w:rPr>
          <w:color w:val="auto"/>
          <w:sz w:val="24"/>
        </w:rPr>
        <w:t>Agenda Item:</w:t>
      </w:r>
      <w:r>
        <w:rPr>
          <w:color w:val="auto"/>
          <w:sz w:val="24"/>
        </w:rPr>
        <w:tab/>
      </w:r>
      <w:r>
        <w:rPr>
          <w:rFonts w:hint="eastAsia" w:eastAsia="宋体"/>
          <w:color w:val="auto"/>
          <w:sz w:val="24"/>
          <w:highlight w:val="none"/>
          <w:lang w:val="en-US" w:eastAsia="zh-CN"/>
        </w:rPr>
        <w:t>9.9.1.1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some agreements on the </w:t>
      </w:r>
      <w:r>
        <w:rPr>
          <w:rFonts w:hint="default" w:eastAsia="宋体"/>
          <w:color w:val="auto"/>
          <w:sz w:val="21"/>
          <w:szCs w:val="21"/>
          <w:lang w:val="en-US" w:eastAsia="zh-CN"/>
        </w:rPr>
        <w:t>pre-configured MG pattern(s)</w:t>
      </w:r>
      <w:r>
        <w:rPr>
          <w:rFonts w:hint="eastAsia" w:eastAsia="宋体"/>
          <w:color w:val="auto"/>
          <w:sz w:val="21"/>
          <w:szCs w:val="21"/>
          <w:lang w:val="en-US" w:eastAsia="zh-CN"/>
        </w:rPr>
        <w:t xml:space="preserve"> were achieved in [1]. There has been prominent progress achieved during the core part discussion phase. Till the end of 103 meeting, almost all issues have been discussed and identified around pre-configure MG. The following agreements achieved during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8" w:hRule="atLeast"/>
        </w:trPr>
        <w:tc>
          <w:tcPr>
            <w:tcW w:w="9514" w:type="dxa"/>
          </w:tcPr>
          <w:p>
            <w:pPr>
              <w:numPr>
                <w:ilvl w:val="0"/>
                <w:numId w:val="4"/>
              </w:numPr>
              <w:ind w:left="420" w:leftChars="0" w:hanging="420" w:firstLineChars="0"/>
              <w:rPr>
                <w:rFonts w:hint="eastAsia"/>
                <w:b w:val="0"/>
                <w:bCs w:val="0"/>
                <w:u w:val="none"/>
                <w:lang w:val="en-US" w:eastAsia="zh-CN"/>
              </w:rPr>
            </w:pPr>
            <w:r>
              <w:rPr>
                <w:rFonts w:hint="eastAsia"/>
                <w:b w:val="0"/>
                <w:bCs w:val="0"/>
                <w:u w:val="none"/>
                <w:lang w:val="en-US" w:eastAsia="zh-CN"/>
              </w:rPr>
              <w:t>Issue 1: Pre-MG activation/deactivation</w:t>
            </w:r>
          </w:p>
          <w:p>
            <w:pPr>
              <w:numPr>
                <w:ilvl w:val="0"/>
                <w:numId w:val="5"/>
              </w:numPr>
              <w:ind w:left="840" w:leftChars="0" w:hanging="420" w:firstLineChars="0"/>
              <w:rPr>
                <w:rFonts w:hint="eastAsia"/>
                <w:b w:val="0"/>
                <w:bCs w:val="0"/>
                <w:u w:val="none"/>
                <w:lang w:val="en-US" w:eastAsia="zh-CN"/>
              </w:rPr>
            </w:pPr>
            <w:r>
              <w:rPr>
                <w:rFonts w:hint="eastAsia"/>
                <w:b w:val="0"/>
                <w:bCs w:val="0"/>
                <w:u w:val="none"/>
                <w:lang w:val="en-US" w:eastAsia="zh-CN"/>
              </w:rPr>
              <w:t>Issue 1-1: Additional trigger events for pre-MG activation/deactivation</w:t>
            </w:r>
          </w:p>
          <w:p>
            <w:pPr>
              <w:numPr>
                <w:ilvl w:val="0"/>
                <w:numId w:val="6"/>
              </w:numPr>
              <w:ind w:left="420" w:leftChars="0"/>
              <w:rPr>
                <w:rFonts w:hint="default"/>
                <w:b w:val="0"/>
                <w:bCs w:val="0"/>
                <w:u w:val="none"/>
                <w:lang w:val="en-US" w:eastAsia="zh-CN"/>
              </w:rPr>
            </w:pPr>
            <w:r>
              <w:rPr>
                <w:rFonts w:hint="eastAsia"/>
                <w:b w:val="0"/>
                <w:bCs w:val="0"/>
                <w:u w:val="none"/>
                <w:lang w:val="en-US" w:eastAsia="zh-CN"/>
              </w:rPr>
              <w:t>NW controlled mechanism</w:t>
            </w:r>
          </w:p>
          <w:p>
            <w:pPr>
              <w:numPr>
                <w:ilvl w:val="0"/>
                <w:numId w:val="7"/>
              </w:numPr>
              <w:spacing w:after="120" w:afterLines="50"/>
              <w:ind w:left="400" w:leftChars="200"/>
              <w:rPr>
                <w:rFonts w:hint="default" w:eastAsia="PMingLiU"/>
                <w:szCs w:val="24"/>
                <w:lang w:val="en-US" w:eastAsia="zh-CN"/>
              </w:rPr>
            </w:pPr>
            <w:r>
              <w:rPr>
                <w:rFonts w:hint="eastAsia" w:eastAsia="PMingLiU"/>
                <w:szCs w:val="24"/>
                <w:lang w:val="en-US" w:eastAsia="zh-CN"/>
              </w:rPr>
              <w:t>UE</w:t>
            </w:r>
            <w:r>
              <w:rPr>
                <w:rFonts w:hint="default" w:eastAsia="PMingLiU"/>
                <w:szCs w:val="24"/>
                <w:lang w:val="en-US" w:eastAsia="zh-CN"/>
              </w:rPr>
              <w:t>’</w:t>
            </w:r>
            <w:r>
              <w:rPr>
                <w:rFonts w:hint="eastAsia" w:eastAsia="PMingLiU"/>
                <w:szCs w:val="24"/>
                <w:lang w:val="en-US" w:eastAsia="zh-CN"/>
              </w:rPr>
              <w:t>s assumption of pre-MG</w:t>
            </w:r>
            <w:r>
              <w:rPr>
                <w:rFonts w:hint="default" w:eastAsia="PMingLiU"/>
                <w:szCs w:val="24"/>
                <w:lang w:val="en-US" w:eastAsia="zh-CN"/>
              </w:rPr>
              <w:t>’</w:t>
            </w:r>
            <w:r>
              <w:rPr>
                <w:rFonts w:hint="eastAsia" w:eastAsia="PMingLiU"/>
                <w:szCs w:val="24"/>
                <w:lang w:val="en-US" w:eastAsia="zh-CN"/>
              </w:rPr>
              <w:t>s status only depend on the NW signalling.</w:t>
            </w:r>
          </w:p>
          <w:p>
            <w:pPr>
              <w:numPr>
                <w:ilvl w:val="0"/>
                <w:numId w:val="6"/>
              </w:numPr>
              <w:ind w:left="420" w:leftChars="0"/>
              <w:rPr>
                <w:rFonts w:hint="default"/>
                <w:b w:val="0"/>
                <w:bCs w:val="0"/>
                <w:u w:val="none"/>
                <w:lang w:val="en-US" w:eastAsia="zh-CN"/>
              </w:rPr>
            </w:pPr>
            <w:r>
              <w:rPr>
                <w:rFonts w:hint="eastAsia"/>
                <w:b w:val="0"/>
                <w:bCs w:val="0"/>
                <w:u w:val="none"/>
                <w:lang w:val="en-US" w:eastAsia="zh-CN"/>
              </w:rPr>
              <w:t>UE autonomous mechanism</w:t>
            </w:r>
          </w:p>
          <w:p>
            <w:pPr>
              <w:numPr>
                <w:ilvl w:val="0"/>
                <w:numId w:val="7"/>
              </w:numPr>
              <w:spacing w:after="120" w:afterLines="50"/>
              <w:ind w:left="400" w:leftChars="200"/>
              <w:rPr>
                <w:rFonts w:eastAsia="PMingLiU"/>
                <w:szCs w:val="24"/>
                <w:lang w:eastAsia="zh-TW"/>
              </w:rPr>
            </w:pPr>
            <w:r>
              <w:rPr>
                <w:rFonts w:eastAsia="PMingLiU"/>
                <w:szCs w:val="24"/>
                <w:lang w:eastAsia="zh-TW"/>
              </w:rPr>
              <w:t>Remove LocationMeasurementIndication from the trigger events in clause 9.1.7.3.1. [TS38.133 v17.5.0]</w:t>
            </w:r>
          </w:p>
          <w:tbl>
            <w:tblPr>
              <w:tblStyle w:val="18"/>
              <w:tblW w:w="0" w:type="auto"/>
              <w:tblInd w:w="4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7" w:type="dxa"/>
                </w:tcPr>
                <w:p>
                  <w:pPr>
                    <w:rPr>
                      <w:rFonts w:asciiTheme="minorHAnsi" w:hAnsiTheme="minorHAnsi" w:cstheme="minorHAnsi"/>
                      <w:bCs/>
                      <w:iCs/>
                      <w:lang w:val="en-US" w:eastAsia="zh-CN"/>
                    </w:rPr>
                  </w:pPr>
                  <w:r>
                    <w:rPr>
                      <w:rFonts w:asciiTheme="minorHAnsi" w:hAnsiTheme="minorHAnsi" w:cstheme="minorHAnsi"/>
                      <w:bCs/>
                      <w:iCs/>
                      <w:lang w:val="en-US" w:eastAsia="zh-CN"/>
                    </w:rPr>
                    <w:t>“9.1.7.3.</w:t>
                  </w:r>
                </w:p>
                <w:p>
                  <w:pPr>
                    <w:rPr>
                      <w:rFonts w:asciiTheme="minorHAnsi" w:hAnsiTheme="minorHAnsi" w:cstheme="minorHAnsi"/>
                      <w:bCs/>
                      <w:iCs/>
                      <w:lang w:val="en-US" w:eastAsia="zh-CN"/>
                    </w:rPr>
                  </w:pPr>
                  <w:r>
                    <w:rPr>
                      <w:rFonts w:asciiTheme="minorHAnsi" w:hAnsiTheme="minorHAnsi" w:cstheme="minorHAnsi"/>
                      <w:bCs/>
                      <w:iCs/>
                      <w:lang w:val="en-US" w:eastAsia="zh-CN"/>
                    </w:rPr>
                    <w:t>…..</w:t>
                  </w:r>
                </w:p>
                <w:p>
                  <w:pPr>
                    <w:rPr>
                      <w:lang w:eastAsia="zh-CN"/>
                    </w:rPr>
                  </w:pPr>
                  <w:r>
                    <w:rPr>
                      <w:lang w:eastAsia="zh-CN"/>
                    </w:rPr>
                    <w:t>The UE can autonomously change the Pre-MG status from activation to deactivation or vice versa based on any of the following triggering conditions:</w:t>
                  </w:r>
                </w:p>
                <w:p>
                  <w:pPr>
                    <w:pStyle w:val="30"/>
                    <w:ind w:left="0" w:firstLine="0"/>
                    <w:rPr>
                      <w:lang w:val="en-US" w:eastAsia="zh-CN"/>
                    </w:rPr>
                  </w:pPr>
                  <w:r>
                    <w:rPr>
                      <w:lang w:val="en-US" w:eastAsia="zh-CN"/>
                    </w:rPr>
                    <w:t>-</w:t>
                  </w:r>
                  <w:r>
                    <w:rPr>
                      <w:lang w:val="en-US" w:eastAsia="zh-CN"/>
                    </w:rPr>
                    <w:tab/>
                  </w:r>
                  <w:r>
                    <w:rPr>
                      <w:lang w:val="en-US" w:eastAsia="zh-CN"/>
                    </w:rPr>
                    <w:t xml:space="preserve">DCI, timer or RRC based active BWP switching, </w:t>
                  </w:r>
                </w:p>
                <w:p>
                  <w:pPr>
                    <w:pStyle w:val="30"/>
                    <w:ind w:left="0" w:firstLine="0"/>
                    <w:rPr>
                      <w:lang w:val="en-US" w:eastAsia="zh-CN"/>
                    </w:rPr>
                  </w:pPr>
                  <w:r>
                    <w:rPr>
                      <w:lang w:val="en-US" w:eastAsia="zh-CN"/>
                    </w:rPr>
                    <w:t>-</w:t>
                  </w:r>
                  <w:r>
                    <w:rPr>
                      <w:lang w:val="en-US" w:eastAsia="zh-CN"/>
                    </w:rPr>
                    <w:tab/>
                  </w:r>
                  <w:r>
                    <w:rPr>
                      <w:lang w:val="en-US" w:eastAsia="zh-CN"/>
                    </w:rPr>
                    <w:t>Activation/deactivation of SCell(s),</w:t>
                  </w:r>
                </w:p>
                <w:p>
                  <w:pPr>
                    <w:pStyle w:val="30"/>
                    <w:ind w:left="0" w:firstLine="0"/>
                    <w:rPr>
                      <w:lang w:val="en-US" w:eastAsia="zh-CN"/>
                    </w:rPr>
                  </w:pPr>
                  <w:r>
                    <w:rPr>
                      <w:lang w:val="en-US" w:eastAsia="zh-CN"/>
                    </w:rPr>
                    <w:t>-</w:t>
                  </w:r>
                  <w:r>
                    <w:rPr>
                      <w:lang w:val="en-US" w:eastAsia="zh-CN"/>
                    </w:rPr>
                    <w:tab/>
                  </w:r>
                  <w:r>
                    <w:rPr>
                      <w:lang w:val="en-US" w:eastAsia="zh-CN"/>
                    </w:rPr>
                    <w:t>Addition/removal of any measurement object(s)</w:t>
                  </w:r>
                </w:p>
                <w:p>
                  <w:pPr>
                    <w:pStyle w:val="30"/>
                    <w:ind w:left="0" w:firstLine="0"/>
                    <w:rPr>
                      <w:lang w:val="en-US" w:eastAsia="zh-CN"/>
                    </w:rPr>
                  </w:pPr>
                  <w:r>
                    <w:rPr>
                      <w:lang w:val="en-US" w:eastAsia="zh-CN"/>
                    </w:rPr>
                    <w:t>-</w:t>
                  </w:r>
                  <w:r>
                    <w:rPr>
                      <w:lang w:val="en-US" w:eastAsia="zh-CN"/>
                    </w:rPr>
                    <w:tab/>
                  </w:r>
                  <w:r>
                    <w:rPr>
                      <w:lang w:val="en-US" w:eastAsia="zh-CN"/>
                    </w:rPr>
                    <w:t>Addition/release/change of a SCell in carrier aggregation,</w:t>
                  </w:r>
                </w:p>
                <w:p>
                  <w:pPr>
                    <w:pStyle w:val="30"/>
                    <w:ind w:left="0" w:firstLine="0"/>
                    <w:rPr>
                      <w:rFonts w:eastAsia="PMingLiU"/>
                      <w:szCs w:val="24"/>
                      <w:lang w:val="en-US" w:eastAsia="zh-TW"/>
                    </w:rPr>
                  </w:pPr>
                  <w:r>
                    <w:rPr>
                      <w:lang w:val="en-US" w:eastAsia="zh-CN"/>
                    </w:rPr>
                    <w:t>-</w:t>
                  </w:r>
                  <w:r>
                    <w:rPr>
                      <w:lang w:val="en-US" w:eastAsia="zh-CN"/>
                    </w:rPr>
                    <w:tab/>
                  </w:r>
                  <w:r>
                    <w:rPr>
                      <w:strike/>
                      <w:lang w:val="en-US" w:eastAsia="zh-CN"/>
                    </w:rPr>
                    <w:t xml:space="preserve">Initiation of </w:t>
                  </w:r>
                  <w:r>
                    <w:rPr>
                      <w:i/>
                      <w:iCs/>
                      <w:strike/>
                      <w:lang w:val="en-US" w:eastAsia="zh-CN"/>
                    </w:rPr>
                    <w:t>LocationMeasurementIndication</w:t>
                  </w:r>
                  <w:r>
                    <w:rPr>
                      <w:strike/>
                      <w:lang w:val="en-US" w:eastAsia="zh-CN"/>
                    </w:rPr>
                    <w:t xml:space="preserve"> procedure specified in clause 5.5.6 [2].</w:t>
                  </w:r>
                </w:p>
              </w:tc>
            </w:tr>
          </w:tbl>
          <w:p>
            <w:pPr>
              <w:numPr>
                <w:ilvl w:val="0"/>
                <w:numId w:val="4"/>
              </w:numPr>
              <w:ind w:left="420" w:leftChars="0" w:hanging="420" w:firstLineChars="0"/>
              <w:rPr>
                <w:rFonts w:hint="eastAsia"/>
                <w:b w:val="0"/>
                <w:bCs w:val="0"/>
                <w:u w:val="none"/>
                <w:lang w:val="en-US" w:eastAsia="zh-CN"/>
              </w:rPr>
            </w:pPr>
            <w:r>
              <w:rPr>
                <w:rFonts w:hint="eastAsia"/>
                <w:b w:val="0"/>
                <w:bCs w:val="0"/>
                <w:u w:val="none"/>
                <w:lang w:val="en-US" w:eastAsia="zh-CN"/>
              </w:rPr>
              <w:t>Issue 2: Pre-MG activation/deactivation under CA</w:t>
            </w:r>
          </w:p>
          <w:p>
            <w:pPr>
              <w:numPr>
                <w:ilvl w:val="0"/>
                <w:numId w:val="5"/>
              </w:numPr>
              <w:ind w:left="840" w:leftChars="0" w:hanging="420" w:firstLineChars="0"/>
              <w:rPr>
                <w:rFonts w:hint="eastAsia"/>
                <w:b w:val="0"/>
                <w:bCs w:val="0"/>
                <w:u w:val="none"/>
                <w:lang w:val="en-US" w:eastAsia="zh-CN"/>
              </w:rPr>
            </w:pPr>
            <w:r>
              <w:rPr>
                <w:rFonts w:hint="eastAsia"/>
                <w:b w:val="0"/>
                <w:bCs w:val="0"/>
                <w:u w:val="none"/>
                <w:lang w:val="en-US" w:eastAsia="zh-CN"/>
              </w:rPr>
              <w:t>Issue 2-1: Clarifications on simultaneous BWP switches on multiple</w:t>
            </w:r>
          </w:p>
          <w:p>
            <w:pPr>
              <w:numPr>
                <w:ilvl w:val="0"/>
                <w:numId w:val="0"/>
              </w:numPr>
              <w:ind w:leftChars="300"/>
              <w:rPr>
                <w:rFonts w:hint="eastAsia"/>
                <w:b/>
                <w:lang w:val="en-US" w:eastAsia="zh-CN"/>
              </w:rPr>
            </w:pPr>
            <w:r>
              <w:rPr>
                <w:b/>
                <w:lang w:eastAsia="zh-CN"/>
              </w:rPr>
              <w:t>Agreements</w:t>
            </w:r>
            <w:r>
              <w:rPr>
                <w:rFonts w:hint="eastAsia"/>
                <w:b/>
                <w:lang w:val="en-US" w:eastAsia="zh-CN"/>
              </w:rPr>
              <w:t>:</w:t>
            </w:r>
          </w:p>
          <w:p>
            <w:pPr>
              <w:pStyle w:val="9"/>
              <w:tabs>
                <w:tab w:val="left" w:pos="226"/>
                <w:tab w:val="left" w:pos="284"/>
                <w:tab w:val="left" w:pos="5103"/>
              </w:tabs>
              <w:snapToGrid w:val="0"/>
              <w:spacing w:before="156" w:beforeLines="50"/>
              <w:ind w:leftChars="400"/>
              <w:rPr>
                <w:rFonts w:hint="eastAsia" w:ascii="Times New Roman" w:hAnsi="Times New Roman" w:eastAsia="PMingLiU" w:cs="Times New Roman"/>
                <w:szCs w:val="24"/>
                <w:lang w:val="en-US" w:eastAsia="zh-TW" w:bidi="ar-SA"/>
              </w:rPr>
            </w:pPr>
            <w:r>
              <w:rPr>
                <w:rFonts w:hint="eastAsia" w:ascii="Times New Roman" w:hAnsi="Times New Roman" w:eastAsia="PMingLiU" w:cs="Times New Roman"/>
                <w:szCs w:val="24"/>
                <w:lang w:val="en-US" w:eastAsia="zh-TW" w:bidi="ar-SA"/>
              </w:rPr>
              <w:t>From RAN4 perspective, there is no any requirements applied to simultaneous BWP switches on multiple CCs in Rel17 when pre-configured MG is configured to UE.</w:t>
            </w:r>
          </w:p>
          <w:p>
            <w:pPr>
              <w:numPr>
                <w:ilvl w:val="0"/>
                <w:numId w:val="5"/>
              </w:numPr>
              <w:ind w:left="840" w:leftChars="0" w:hanging="420" w:firstLineChars="0"/>
              <w:rPr>
                <w:rFonts w:hint="eastAsia"/>
                <w:b w:val="0"/>
                <w:bCs w:val="0"/>
                <w:u w:val="none"/>
                <w:lang w:val="en-US" w:eastAsia="zh-CN"/>
              </w:rPr>
            </w:pPr>
            <w:r>
              <w:rPr>
                <w:rFonts w:hint="eastAsia"/>
                <w:b w:val="0"/>
                <w:bCs w:val="0"/>
                <w:u w:val="none"/>
                <w:lang w:val="en-US" w:eastAsia="zh-CN"/>
              </w:rPr>
              <w:t>Issue 2-2: Whether need indicate the state of pre-configured MG when switching to initial DL BWP</w:t>
            </w:r>
          </w:p>
          <w:p>
            <w:pPr>
              <w:spacing w:after="120" w:afterLines="50"/>
              <w:ind w:left="400" w:leftChars="200"/>
              <w:rPr>
                <w:lang w:eastAsia="zh-CN"/>
              </w:rPr>
            </w:pPr>
            <w:r>
              <w:rPr>
                <w:b/>
                <w:lang w:eastAsia="zh-CN"/>
              </w:rPr>
              <w:t>Agreements:</w:t>
            </w:r>
          </w:p>
          <w:p>
            <w:pPr>
              <w:numPr>
                <w:ilvl w:val="0"/>
                <w:numId w:val="7"/>
              </w:numPr>
              <w:spacing w:after="120" w:afterLines="50"/>
              <w:ind w:left="400" w:leftChars="200"/>
              <w:rPr>
                <w:rFonts w:eastAsia="PMingLiU"/>
                <w:szCs w:val="24"/>
                <w:lang w:eastAsia="zh-TW"/>
              </w:rPr>
            </w:pPr>
            <w:r>
              <w:rPr>
                <w:rFonts w:eastAsia="PMingLiU"/>
                <w:szCs w:val="24"/>
                <w:lang w:eastAsia="zh-TW"/>
              </w:rPr>
              <w:t>BWP switching between the initial BWP and other types of BWP is possible to trigger the pre-MG (de)activation by:</w:t>
            </w:r>
          </w:p>
          <w:p>
            <w:pPr>
              <w:numPr>
                <w:ilvl w:val="2"/>
                <w:numId w:val="7"/>
              </w:numPr>
              <w:spacing w:after="120" w:afterLines="50"/>
              <w:rPr>
                <w:rFonts w:eastAsia="PMingLiU"/>
                <w:szCs w:val="24"/>
                <w:lang w:eastAsia="zh-TW"/>
              </w:rPr>
            </w:pPr>
            <w:r>
              <w:rPr>
                <w:rFonts w:eastAsia="PMingLiU"/>
                <w:szCs w:val="24"/>
                <w:lang w:eastAsia="zh-TW"/>
              </w:rPr>
              <w:t>Timer based BWP switching</w:t>
            </w:r>
          </w:p>
          <w:p>
            <w:pPr>
              <w:numPr>
                <w:ilvl w:val="2"/>
                <w:numId w:val="7"/>
              </w:numPr>
              <w:spacing w:after="120" w:afterLines="50"/>
              <w:rPr>
                <w:rFonts w:eastAsia="PMingLiU"/>
                <w:szCs w:val="24"/>
                <w:lang w:eastAsia="zh-TW"/>
              </w:rPr>
            </w:pPr>
            <w:r>
              <w:rPr>
                <w:rFonts w:eastAsia="PMingLiU"/>
                <w:szCs w:val="24"/>
                <w:lang w:eastAsia="zh-TW"/>
              </w:rPr>
              <w:t>RRC based BWP switching</w:t>
            </w:r>
          </w:p>
          <w:p>
            <w:pPr>
              <w:numPr>
                <w:ilvl w:val="2"/>
                <w:numId w:val="7"/>
              </w:numPr>
              <w:spacing w:after="120" w:afterLines="50"/>
              <w:rPr>
                <w:rFonts w:eastAsia="PMingLiU"/>
                <w:szCs w:val="24"/>
                <w:lang w:eastAsia="zh-TW"/>
              </w:rPr>
            </w:pPr>
            <w:r>
              <w:rPr>
                <w:rFonts w:eastAsia="PMingLiU"/>
                <w:szCs w:val="24"/>
                <w:lang w:eastAsia="zh-TW"/>
              </w:rPr>
              <w:t>DCI based BWP switching: FFS</w:t>
            </w:r>
          </w:p>
          <w:p>
            <w:pPr>
              <w:numPr>
                <w:ilvl w:val="0"/>
                <w:numId w:val="7"/>
              </w:numPr>
              <w:spacing w:after="120" w:afterLines="50"/>
              <w:ind w:left="400" w:leftChars="200"/>
              <w:rPr>
                <w:rFonts w:hint="eastAsia" w:ascii="Times New Roman" w:hAnsi="Times New Roman" w:eastAsia="PMingLiU" w:cs="Times New Roman"/>
                <w:szCs w:val="24"/>
                <w:lang w:val="en-US" w:eastAsia="zh-CN" w:bidi="ar-SA"/>
              </w:rPr>
            </w:pPr>
            <w:r>
              <w:rPr>
                <w:rFonts w:eastAsia="PMingLiU"/>
                <w:szCs w:val="24"/>
                <w:lang w:eastAsia="zh-TW"/>
              </w:rPr>
              <w:t>The current RAN2 signaling design (deactivatedMeasGapList-r17 in BWP-DownlinkDedicated) for Pre-MG on/off is problematic if the initial BWP(BWP#0) was not configured by B2-2 [TS38.331 v17.5.0. B.2]</w:t>
            </w:r>
          </w:p>
          <w:p>
            <w:pPr>
              <w:numPr>
                <w:ilvl w:val="0"/>
                <w:numId w:val="7"/>
              </w:numPr>
              <w:spacing w:after="120" w:afterLines="50"/>
              <w:ind w:left="400" w:leftChars="200"/>
              <w:rPr>
                <w:rFonts w:hint="eastAsia" w:ascii="Times New Roman" w:hAnsi="Times New Roman" w:eastAsia="PMingLiU" w:cs="Times New Roman"/>
                <w:szCs w:val="24"/>
                <w:lang w:val="en-US" w:eastAsia="zh-CN" w:bidi="ar-SA"/>
              </w:rPr>
            </w:pPr>
            <w:r>
              <w:rPr>
                <w:rFonts w:eastAsia="PMingLiU"/>
                <w:szCs w:val="24"/>
                <w:lang w:eastAsia="zh-TW"/>
              </w:rPr>
              <w:t xml:space="preserve">RAN4 can forward a LS to RAN2 to check this problem and how to resolve it shall be up to RAN2.   </w:t>
            </w:r>
          </w:p>
          <w:p>
            <w:pPr>
              <w:numPr>
                <w:ilvl w:val="0"/>
                <w:numId w:val="4"/>
              </w:numPr>
              <w:ind w:left="420" w:leftChars="0" w:hanging="420" w:firstLineChars="0"/>
              <w:rPr>
                <w:rFonts w:hint="eastAsia"/>
                <w:b w:val="0"/>
                <w:bCs w:val="0"/>
                <w:u w:val="none"/>
                <w:lang w:val="en-US" w:eastAsia="zh-CN"/>
              </w:rPr>
            </w:pPr>
            <w:r>
              <w:rPr>
                <w:rFonts w:hint="eastAsia"/>
                <w:b w:val="0"/>
                <w:bCs w:val="0"/>
                <w:u w:val="none"/>
                <w:lang w:val="en-US" w:eastAsia="zh-CN"/>
              </w:rPr>
              <w:t>Issue 3: RRM requirements: Activation/Deactivation delay</w:t>
            </w:r>
          </w:p>
          <w:p>
            <w:pPr>
              <w:numPr>
                <w:ilvl w:val="0"/>
                <w:numId w:val="5"/>
              </w:numPr>
              <w:ind w:left="840" w:leftChars="0" w:hanging="420" w:firstLineChars="0"/>
              <w:rPr>
                <w:rFonts w:hint="eastAsia"/>
                <w:b w:val="0"/>
                <w:bCs w:val="0"/>
                <w:u w:val="none"/>
                <w:lang w:val="en-US" w:eastAsia="zh-CN"/>
              </w:rPr>
            </w:pPr>
            <w:r>
              <w:rPr>
                <w:rFonts w:hint="eastAsia"/>
                <w:b w:val="0"/>
                <w:bCs w:val="0"/>
                <w:u w:val="none"/>
                <w:lang w:val="en-US" w:eastAsia="zh-CN"/>
              </w:rPr>
              <w:t>Issue 3-1: Pre-MG activation/deactivation delay trigged by Scell activation/deactivation</w:t>
            </w:r>
          </w:p>
          <w:p>
            <w:pPr>
              <w:numPr>
                <w:ilvl w:val="0"/>
                <w:numId w:val="0"/>
              </w:numPr>
              <w:ind w:leftChars="200"/>
              <w:rPr>
                <w:rFonts w:hint="eastAsia"/>
                <w:b/>
                <w:lang w:val="en-US" w:eastAsia="zh-CN"/>
              </w:rPr>
            </w:pPr>
            <w:r>
              <w:rPr>
                <w:b/>
                <w:lang w:eastAsia="zh-CN"/>
              </w:rPr>
              <w:t>Agreements</w:t>
            </w:r>
            <w:r>
              <w:rPr>
                <w:rFonts w:hint="eastAsia"/>
                <w:b/>
                <w:lang w:val="en-US" w:eastAsia="zh-CN"/>
              </w:rPr>
              <w:t>:</w:t>
            </w:r>
          </w:p>
          <w:p>
            <w:pPr>
              <w:numPr>
                <w:ilvl w:val="0"/>
                <w:numId w:val="7"/>
              </w:numPr>
              <w:spacing w:after="120" w:afterLines="50"/>
              <w:ind w:left="400" w:leftChars="200"/>
              <w:rPr>
                <w:rFonts w:hint="eastAsia" w:ascii="Times New Roman" w:hAnsi="Times New Roman" w:eastAsia="PMingLiU" w:cs="Times New Roman"/>
                <w:szCs w:val="24"/>
                <w:lang w:val="en-US" w:eastAsia="zh-CN" w:bidi="ar-SA"/>
              </w:rPr>
            </w:pPr>
            <w:r>
              <w:rPr>
                <w:rFonts w:eastAsia="PMingLiU"/>
                <w:szCs w:val="24"/>
                <w:lang w:eastAsia="zh-TW"/>
              </w:rPr>
              <w:t>Modify the requirement on the Pre-MG activation/deactivation delay trigged by Scell activation/deactivation as: “</w:t>
            </w:r>
            <w:r>
              <w:rPr>
                <w:rFonts w:eastAsia="PMingLiU"/>
                <w:i/>
                <w:iCs/>
                <w:szCs w:val="24"/>
                <w:lang w:eastAsia="zh-TW"/>
              </w:rPr>
              <w:t>UE shall be able to finish pre-configured activation or deactivation within [5] ms after the report of the latest first valid CQI among all Scell(s) being activated</w:t>
            </w:r>
            <w:r>
              <w:rPr>
                <w:rFonts w:eastAsia="PMingLiU"/>
                <w:szCs w:val="24"/>
                <w:lang w:eastAsia="zh-TW"/>
              </w:rPr>
              <w:t>.”</w:t>
            </w:r>
          </w:p>
          <w:p>
            <w:pPr>
              <w:numPr>
                <w:ilvl w:val="0"/>
                <w:numId w:val="5"/>
              </w:numPr>
              <w:ind w:left="840" w:leftChars="0" w:hanging="420" w:firstLineChars="0"/>
              <w:rPr>
                <w:rFonts w:hint="eastAsia"/>
                <w:b w:val="0"/>
                <w:bCs w:val="0"/>
                <w:u w:val="none"/>
                <w:lang w:val="en-US" w:eastAsia="zh-CN"/>
              </w:rPr>
            </w:pPr>
            <w:r>
              <w:rPr>
                <w:rFonts w:hint="eastAsia"/>
                <w:b w:val="0"/>
                <w:bCs w:val="0"/>
                <w:u w:val="none"/>
                <w:lang w:val="en-US" w:eastAsia="zh-CN"/>
              </w:rPr>
              <w:t>Issue 3-2: How to determine pre-MG (de)activation status when multiple trigger events happened simultaneously</w:t>
            </w:r>
          </w:p>
          <w:p>
            <w:pPr>
              <w:numPr>
                <w:ilvl w:val="0"/>
                <w:numId w:val="0"/>
              </w:numPr>
              <w:ind w:leftChars="200"/>
              <w:rPr>
                <w:rFonts w:hint="eastAsia"/>
                <w:b/>
                <w:lang w:val="en-US" w:eastAsia="zh-CN"/>
              </w:rPr>
            </w:pPr>
            <w:r>
              <w:rPr>
                <w:b/>
                <w:lang w:eastAsia="zh-CN"/>
              </w:rPr>
              <w:t>Agreements</w:t>
            </w:r>
            <w:r>
              <w:rPr>
                <w:rFonts w:hint="eastAsia"/>
                <w:b/>
                <w:lang w:val="en-US" w:eastAsia="zh-CN"/>
              </w:rPr>
              <w:t>:</w:t>
            </w:r>
          </w:p>
          <w:p>
            <w:pPr>
              <w:numPr>
                <w:ilvl w:val="0"/>
                <w:numId w:val="7"/>
              </w:numPr>
              <w:spacing w:after="120" w:afterLines="50"/>
              <w:ind w:left="400" w:leftChars="200"/>
              <w:rPr>
                <w:rFonts w:hint="eastAsia" w:ascii="Times New Roman" w:hAnsi="Times New Roman" w:eastAsia="PMingLiU" w:cs="Times New Roman"/>
                <w:szCs w:val="24"/>
                <w:lang w:val="en-US" w:eastAsia="zh-CN" w:bidi="ar-SA"/>
              </w:rPr>
            </w:pPr>
            <w:r>
              <w:rPr>
                <w:rFonts w:eastAsia="PMingLiU"/>
                <w:szCs w:val="24"/>
                <w:lang w:eastAsia="zh-TW"/>
              </w:rPr>
              <w:t xml:space="preserve">The general principle on how to determine Pre-MG (de)activation status when multiple trigger events happened simultaneously can be: </w:t>
            </w:r>
            <w:r>
              <w:rPr>
                <w:rFonts w:hint="eastAsia" w:eastAsia="宋体"/>
                <w:szCs w:val="24"/>
                <w:lang w:val="en-US" w:eastAsia="zh-CN"/>
              </w:rPr>
              <w:t xml:space="preserve"> </w:t>
            </w:r>
            <w:r>
              <w:rPr>
                <w:rFonts w:eastAsia="PMingLiU"/>
                <w:szCs w:val="24"/>
                <w:lang w:eastAsia="zh-TW"/>
              </w:rPr>
              <w:t>“The UE shall determine the status of the Pre-MG pattern based on all</w:t>
            </w:r>
            <w:r>
              <w:rPr>
                <w:rFonts w:hint="eastAsia" w:eastAsia="PMingLiU"/>
                <w:szCs w:val="24"/>
                <w:lang w:eastAsia="zh-TW"/>
              </w:rPr>
              <w:t xml:space="preserve"> trigger events</w:t>
            </w:r>
            <w:r>
              <w:rPr>
                <w:rFonts w:eastAsia="PMingLiU"/>
                <w:szCs w:val="24"/>
                <w:lang w:eastAsia="zh-TW"/>
              </w:rPr>
              <w:t>”</w:t>
            </w:r>
          </w:p>
          <w:p>
            <w:pPr>
              <w:numPr>
                <w:ilvl w:val="0"/>
                <w:numId w:val="8"/>
              </w:numPr>
              <w:spacing w:after="120" w:afterLines="50"/>
              <w:ind w:left="840" w:leftChars="0" w:hanging="420" w:firstLineChars="0"/>
              <w:rPr>
                <w:rFonts w:hint="eastAsia" w:ascii="Times New Roman" w:hAnsi="Times New Roman" w:eastAsia="PMingLiU" w:cs="Times New Roman"/>
                <w:szCs w:val="24"/>
                <w:lang w:val="en-US" w:eastAsia="zh-CN" w:bidi="ar-SA"/>
              </w:rPr>
            </w:pPr>
            <w:r>
              <w:rPr>
                <w:rFonts w:hint="eastAsia"/>
                <w:b w:val="0"/>
                <w:bCs w:val="0"/>
                <w:u w:val="none"/>
                <w:lang w:val="en-US" w:eastAsia="zh-CN"/>
              </w:rPr>
              <w:t>Issue 3-3: Pre-MG activation/deactivation delay after pre-MG being configured initially</w:t>
            </w:r>
          </w:p>
          <w:p>
            <w:pPr>
              <w:numPr>
                <w:ilvl w:val="0"/>
                <w:numId w:val="0"/>
              </w:numPr>
              <w:ind w:leftChars="200"/>
              <w:rPr>
                <w:rFonts w:hint="eastAsia"/>
                <w:b/>
                <w:lang w:val="en-US" w:eastAsia="zh-CN"/>
              </w:rPr>
            </w:pPr>
            <w:r>
              <w:rPr>
                <w:b/>
                <w:lang w:eastAsia="zh-CN"/>
              </w:rPr>
              <w:t>Agreements</w:t>
            </w:r>
            <w:r>
              <w:rPr>
                <w:rFonts w:hint="eastAsia"/>
                <w:b/>
                <w:lang w:val="en-US" w:eastAsia="zh-CN"/>
              </w:rPr>
              <w:t>:</w:t>
            </w:r>
          </w:p>
          <w:p>
            <w:pPr>
              <w:numPr>
                <w:ilvl w:val="0"/>
                <w:numId w:val="9"/>
              </w:numPr>
              <w:tabs>
                <w:tab w:val="clear" w:pos="420"/>
              </w:tabs>
              <w:spacing w:after="120" w:afterLines="50"/>
              <w:ind w:left="840" w:leftChars="0" w:hanging="420" w:firstLineChars="0"/>
              <w:rPr>
                <w:rFonts w:hint="eastAsia" w:ascii="Times New Roman" w:hAnsi="Times New Roman" w:eastAsia="PMingLiU" w:cs="Times New Roman"/>
                <w:szCs w:val="24"/>
                <w:lang w:val="en-US" w:eastAsia="zh-CN" w:bidi="ar-SA"/>
              </w:rPr>
            </w:pPr>
            <w:r>
              <w:rPr>
                <w:rFonts w:eastAsia="PMingLiU"/>
                <w:szCs w:val="24"/>
                <w:lang w:eastAsia="zh-TW"/>
              </w:rPr>
              <w:t>Define delay for activation/deactivation after pre-MG configuration as [5]ms after the RRC processing time</w:t>
            </w:r>
          </w:p>
        </w:tc>
      </w:tr>
    </w:tbl>
    <w:p>
      <w:pPr>
        <w:pStyle w:val="9"/>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W</w:t>
      </w:r>
      <w:r>
        <w:rPr>
          <w:rFonts w:hint="default" w:eastAsia="宋体"/>
          <w:color w:val="auto"/>
          <w:sz w:val="21"/>
          <w:szCs w:val="21"/>
          <w:lang w:val="en-US" w:eastAsia="zh-CN"/>
        </w:rPr>
        <w:t xml:space="preserve">e provide </w:t>
      </w:r>
      <w:r>
        <w:rPr>
          <w:rFonts w:hint="eastAsia" w:eastAsia="宋体"/>
          <w:color w:val="auto"/>
          <w:sz w:val="21"/>
          <w:szCs w:val="21"/>
          <w:lang w:val="en-US" w:eastAsia="zh-CN"/>
        </w:rPr>
        <w:t>some further views on the content still with square brackets.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Respect to Issue 2-2, whether need indicate the state of pre-configured MG when switching to initial DL BWP, which is caused by a hole of RAN2 signalling design only exists for NW controlled mechanism. Since the activation/deactivation status is indicated in </w:t>
      </w:r>
      <w:r>
        <w:rPr>
          <w:rFonts w:hint="eastAsia" w:eastAsia="宋体"/>
          <w:i/>
          <w:iCs/>
          <w:color w:val="auto"/>
          <w:sz w:val="21"/>
          <w:szCs w:val="21"/>
          <w:highlight w:val="none"/>
          <w:lang w:val="en-US" w:eastAsia="zh-CN"/>
        </w:rPr>
        <w:t>deactivatedMeasGapList-r17</w:t>
      </w:r>
      <w:r>
        <w:rPr>
          <w:rFonts w:hint="eastAsia" w:eastAsia="宋体"/>
          <w:color w:val="auto"/>
          <w:sz w:val="21"/>
          <w:szCs w:val="21"/>
          <w:highlight w:val="none"/>
          <w:lang w:val="en-US" w:eastAsia="zh-CN"/>
        </w:rPr>
        <w:t xml:space="preserve"> in </w:t>
      </w:r>
      <w:r>
        <w:rPr>
          <w:rFonts w:hint="eastAsia" w:eastAsia="宋体"/>
          <w:i/>
          <w:iCs/>
          <w:color w:val="auto"/>
          <w:sz w:val="21"/>
          <w:szCs w:val="21"/>
          <w:highlight w:val="none"/>
          <w:lang w:val="en-US" w:eastAsia="zh-CN"/>
        </w:rPr>
        <w:t>BWP-DownlinkDedicated</w:t>
      </w:r>
      <w:r>
        <w:rPr>
          <w:rFonts w:hint="eastAsia" w:eastAsia="宋体"/>
          <w:color w:val="auto"/>
          <w:sz w:val="21"/>
          <w:szCs w:val="21"/>
          <w:highlight w:val="none"/>
          <w:lang w:val="en-US" w:eastAsia="zh-CN"/>
        </w:rPr>
        <w:t xml:space="preserve">. But for initial DL BWP, it is possible that not any </w:t>
      </w:r>
      <w:r>
        <w:rPr>
          <w:rFonts w:hint="eastAsia" w:eastAsia="宋体"/>
          <w:i/>
          <w:iCs/>
          <w:color w:val="auto"/>
          <w:sz w:val="21"/>
          <w:szCs w:val="21"/>
          <w:highlight w:val="none"/>
          <w:lang w:val="en-US" w:eastAsia="zh-CN"/>
        </w:rPr>
        <w:t>BWP-DownlinkDedicated</w:t>
      </w:r>
      <w:r>
        <w:rPr>
          <w:rFonts w:hint="eastAsia" w:eastAsia="宋体"/>
          <w:color w:val="auto"/>
          <w:sz w:val="21"/>
          <w:szCs w:val="21"/>
          <w:highlight w:val="none"/>
          <w:lang w:val="en-US" w:eastAsia="zh-CN"/>
        </w:rPr>
        <w:t xml:space="preserve"> configured for it. So how to identify the status of initial DL BWP if not </w:t>
      </w:r>
      <w:r>
        <w:rPr>
          <w:rFonts w:hint="eastAsia" w:eastAsia="宋体"/>
          <w:i/>
          <w:iCs/>
          <w:color w:val="auto"/>
          <w:sz w:val="21"/>
          <w:szCs w:val="21"/>
          <w:highlight w:val="none"/>
          <w:lang w:val="en-US" w:eastAsia="zh-CN"/>
        </w:rPr>
        <w:t>BWP-DownlinkDedicated</w:t>
      </w:r>
      <w:r>
        <w:rPr>
          <w:rFonts w:hint="eastAsia" w:eastAsia="宋体"/>
          <w:color w:val="auto"/>
          <w:sz w:val="21"/>
          <w:szCs w:val="21"/>
          <w:highlight w:val="none"/>
          <w:lang w:val="en-US" w:eastAsia="zh-CN"/>
        </w:rPr>
        <w:t xml:space="preserve"> configured, which should be identified. RAN 4 has approved the LS to RAN2 to ask for their solution in 103 meeting. We can wait for RAN 2</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s reply. In fact this issue is signalling related, so RAN 2</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s answer can be the final solution. For the case of DCI based BWP switching, since the DCI based BWP switching could not happen from initial BWP to another BWP, so we believe it can be removed from the candidate BWP switching referring to initial BWP.</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For Issue 2-2, i.e. whether need indicate the state of pre-configured MG when switching to initial DL BWP, which is caused by a hole of RAN 2 signalling design and only exists for NW controlled mechanism. RAN 2 can decide the final solution. The case of DCI based BWP switching can be not considered since it does not refer to initial BWP.</w:t>
      </w:r>
    </w:p>
    <w:p>
      <w:pPr>
        <w:pStyle w:val="9"/>
        <w:numPr>
          <w:ilvl w:val="0"/>
          <w:numId w:val="0"/>
        </w:numPr>
        <w:ind w:left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For Issue 3-1, pre-MG activation/deactivation delay triggered by Scell activation/deactivation, this issue was proposed by MTK, since the SCell activation/deactivation delay in fact can be smaller than the requirements since some operation such as AGC, cell search, time sync can be paralleled, so the starting point of transition delay should be flexible enough just after the SCell activation/deactivation actual delay. About the exact delay, the square brackets of 5 can be removed. Since we have approved that the transition delay of activation/deactivation after BWP switching or triggering RRC signaling is 5 ms. For the case of activation/deactivation triggered by by SCell activation/deactivation, the report of latest first valid CQI among all SCell(s) being activated means the finish of SCell activation/deactivation, so additional 5 ms is aligned with our previous agreements.</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Issue 3-1, i.e. pre-MG activation/deactivation delay triggered by Scell activation/deactivation, the requirement is </w:t>
      </w:r>
      <w:r>
        <w:rPr>
          <w:rFonts w:hint="default" w:eastAsia="宋体"/>
          <w:b/>
          <w:bCs/>
          <w:strike w:val="0"/>
          <w:dstrike w:val="0"/>
          <w:color w:val="auto"/>
          <w:sz w:val="21"/>
          <w:szCs w:val="21"/>
          <w:highlight w:val="none"/>
          <w:lang w:val="en-US" w:eastAsia="zh-CN"/>
        </w:rPr>
        <w:t xml:space="preserve">“UE shall be able to finish pre-configured activation or deactivation within </w:t>
      </w:r>
      <w:r>
        <w:rPr>
          <w:rFonts w:hint="default" w:eastAsia="宋体"/>
          <w:b/>
          <w:bCs/>
          <w:strike/>
          <w:dstrike w:val="0"/>
          <w:color w:val="auto"/>
          <w:sz w:val="21"/>
          <w:szCs w:val="21"/>
          <w:highlight w:val="yellow"/>
          <w:lang w:val="en-US" w:eastAsia="zh-CN"/>
        </w:rPr>
        <w:t>[</w:t>
      </w:r>
      <w:r>
        <w:rPr>
          <w:rFonts w:hint="default" w:eastAsia="宋体"/>
          <w:b/>
          <w:bCs/>
          <w:strike w:val="0"/>
          <w:dstrike w:val="0"/>
          <w:color w:val="auto"/>
          <w:sz w:val="21"/>
          <w:szCs w:val="21"/>
          <w:highlight w:val="none"/>
          <w:lang w:val="en-US" w:eastAsia="zh-CN"/>
        </w:rPr>
        <w:t>5</w:t>
      </w:r>
      <w:r>
        <w:rPr>
          <w:rFonts w:hint="default" w:eastAsia="宋体"/>
          <w:b/>
          <w:bCs/>
          <w:strike/>
          <w:dstrike w:val="0"/>
          <w:color w:val="auto"/>
          <w:sz w:val="21"/>
          <w:szCs w:val="21"/>
          <w:highlight w:val="yellow"/>
          <w:lang w:val="en-US" w:eastAsia="zh-CN"/>
        </w:rPr>
        <w:t>]</w:t>
      </w:r>
      <w:r>
        <w:rPr>
          <w:rFonts w:hint="default" w:eastAsia="宋体"/>
          <w:b/>
          <w:bCs/>
          <w:strike w:val="0"/>
          <w:dstrike w:val="0"/>
          <w:color w:val="auto"/>
          <w:sz w:val="21"/>
          <w:szCs w:val="21"/>
          <w:highlight w:val="none"/>
          <w:lang w:val="en-US" w:eastAsia="zh-CN"/>
        </w:rPr>
        <w:t xml:space="preserve"> ms after the report of the latest first valid CQI among all Scell(s) being activated.”</w:t>
      </w:r>
    </w:p>
    <w:p>
      <w:pPr>
        <w:pStyle w:val="9"/>
        <w:numPr>
          <w:ilvl w:val="0"/>
          <w:numId w:val="0"/>
        </w:numPr>
        <w:ind w:left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Referring to Issue 3-3, pre-MG activation/deactivation delay after pre-MG being configured initially, we believe which is a hole not covered by our previous agreements. So filling the hole is necessary. About the exact value of delay, 5 ms is aligned with our previous approved transition delay. So the square brackets can be removed.</w:t>
      </w:r>
    </w:p>
    <w:p>
      <w:pPr>
        <w:pStyle w:val="9"/>
        <w:numPr>
          <w:ilvl w:val="0"/>
          <w:numId w:val="0"/>
        </w:numPr>
        <w:ind w:leftChars="0"/>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Issue 3-3, i.e. pre-MG activation/deactivation delay after pre-MG being configured initially, define delay for activation/deactivation after pre-MG configuration as </w:t>
      </w:r>
      <w:r>
        <w:rPr>
          <w:rFonts w:hint="eastAsia" w:eastAsia="宋体"/>
          <w:b/>
          <w:bCs/>
          <w:strike/>
          <w:dstrike w:val="0"/>
          <w:color w:val="auto"/>
          <w:sz w:val="21"/>
          <w:szCs w:val="21"/>
          <w:highlight w:val="yellow"/>
          <w:lang w:val="en-US" w:eastAsia="zh-CN"/>
        </w:rPr>
        <w:t>[</w:t>
      </w:r>
      <w:r>
        <w:rPr>
          <w:rFonts w:hint="eastAsia" w:eastAsia="宋体"/>
          <w:b/>
          <w:bCs/>
          <w:strike w:val="0"/>
          <w:dstrike w:val="0"/>
          <w:color w:val="auto"/>
          <w:sz w:val="21"/>
          <w:szCs w:val="21"/>
          <w:highlight w:val="none"/>
          <w:lang w:val="en-US" w:eastAsia="zh-CN"/>
        </w:rPr>
        <w:t>5</w:t>
      </w:r>
      <w:r>
        <w:rPr>
          <w:rFonts w:hint="eastAsia" w:eastAsia="宋体"/>
          <w:b/>
          <w:bCs/>
          <w:strike/>
          <w:dstrike w:val="0"/>
          <w:color w:val="auto"/>
          <w:sz w:val="21"/>
          <w:szCs w:val="21"/>
          <w:highlight w:val="yellow"/>
          <w:lang w:val="en-US" w:eastAsia="zh-CN"/>
        </w:rPr>
        <w:t>]</w:t>
      </w:r>
      <w:r>
        <w:rPr>
          <w:rFonts w:hint="eastAsia" w:eastAsia="宋体"/>
          <w:b/>
          <w:bCs/>
          <w:strike w:val="0"/>
          <w:dstrike w:val="0"/>
          <w:color w:val="auto"/>
          <w:sz w:val="21"/>
          <w:szCs w:val="21"/>
          <w:highlight w:val="none"/>
          <w:lang w:val="en-US" w:eastAsia="zh-CN"/>
        </w:rPr>
        <w:t xml:space="preserve"> ms after the RRC processing time.</w:t>
      </w:r>
    </w:p>
    <w:p>
      <w:pPr>
        <w:pStyle w:val="2"/>
        <w:widowControl w:val="0"/>
        <w:numPr>
          <w:ilvl w:val="0"/>
          <w:numId w:val="0"/>
        </w:numPr>
        <w:pBdr>
          <w:top w:val="single" w:color="auto" w:sz="12" w:space="1"/>
        </w:pBdr>
        <w:tabs>
          <w:tab w:val="left" w:pos="284"/>
        </w:tabs>
        <w:adjustRightInd w:val="0"/>
        <w:snapToGrid w:val="0"/>
        <w:spacing w:before="468" w:beforeLines="150" w:after="156" w:afterLines="50" w:line="300" w:lineRule="auto"/>
        <w:ind w:leftChars="0"/>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xml:space="preserve">, we have the following proposals </w:t>
      </w:r>
      <w:r>
        <w:rPr>
          <w:rFonts w:hint="eastAsia" w:eastAsia="宋体"/>
          <w:bCs/>
          <w:color w:val="auto"/>
          <w:sz w:val="21"/>
          <w:szCs w:val="21"/>
          <w:lang w:val="en-US" w:eastAsia="zh-CN"/>
        </w:rPr>
        <w:t xml:space="preserve">and </w:t>
      </w:r>
      <w:r>
        <w:rPr>
          <w:rFonts w:eastAsia="宋体"/>
          <w:bCs/>
          <w:color w:val="auto"/>
          <w:sz w:val="21"/>
          <w:szCs w:val="21"/>
          <w:lang w:val="en-GB" w:eastAsia="zh-CN"/>
        </w:rPr>
        <w:t xml:space="preserve">for </w:t>
      </w:r>
      <w:r>
        <w:rPr>
          <w:rFonts w:hint="eastAsia" w:eastAsia="宋体"/>
          <w:bCs/>
          <w:color w:val="auto"/>
          <w:sz w:val="21"/>
          <w:szCs w:val="21"/>
          <w:lang w:val="en-US" w:eastAsia="zh-CN"/>
        </w:rPr>
        <w:t>remaining issues of pre-configured MG patterns</w:t>
      </w:r>
      <w:r>
        <w:rPr>
          <w:rFonts w:eastAsia="宋体"/>
          <w:bCs/>
          <w:color w:val="auto"/>
          <w:sz w:val="21"/>
          <w:szCs w:val="21"/>
          <w:lang w:val="en-GB" w:eastAsia="zh-CN"/>
        </w:rPr>
        <w:t>:</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For Issue 2-2, i.e. whether need indicate the state of pre-configured MG when switching to initial DL BWP, which is caused by a hole of RAN 2 signalling design and only exists for NW controlled mechanism. RAN 2 can decide the final solution. The case of DCI based BWP switching can be not considered since it does not refer to initial BWP.</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Issue 3-1, i.e. pre-MG activation/deactivation delay triggered by Scell activation/deactivation, the requirement is </w:t>
      </w:r>
      <w:r>
        <w:rPr>
          <w:rFonts w:hint="default" w:eastAsia="宋体"/>
          <w:b/>
          <w:bCs/>
          <w:strike w:val="0"/>
          <w:dstrike w:val="0"/>
          <w:color w:val="auto"/>
          <w:sz w:val="21"/>
          <w:szCs w:val="21"/>
          <w:highlight w:val="none"/>
          <w:lang w:val="en-US" w:eastAsia="zh-CN"/>
        </w:rPr>
        <w:t xml:space="preserve">“UE shall be able to finish pre-configured activation or deactivation within </w:t>
      </w:r>
      <w:r>
        <w:rPr>
          <w:rFonts w:hint="default" w:eastAsia="宋体"/>
          <w:b/>
          <w:bCs/>
          <w:strike/>
          <w:dstrike w:val="0"/>
          <w:color w:val="auto"/>
          <w:sz w:val="21"/>
          <w:szCs w:val="21"/>
          <w:highlight w:val="yellow"/>
          <w:lang w:val="en-US" w:eastAsia="zh-CN"/>
        </w:rPr>
        <w:t>[</w:t>
      </w:r>
      <w:r>
        <w:rPr>
          <w:rFonts w:hint="default" w:eastAsia="宋体"/>
          <w:b/>
          <w:bCs/>
          <w:strike w:val="0"/>
          <w:dstrike w:val="0"/>
          <w:color w:val="auto"/>
          <w:sz w:val="21"/>
          <w:szCs w:val="21"/>
          <w:highlight w:val="none"/>
          <w:lang w:val="en-US" w:eastAsia="zh-CN"/>
        </w:rPr>
        <w:t>5</w:t>
      </w:r>
      <w:r>
        <w:rPr>
          <w:rFonts w:hint="default" w:eastAsia="宋体"/>
          <w:b/>
          <w:bCs/>
          <w:strike/>
          <w:dstrike w:val="0"/>
          <w:color w:val="auto"/>
          <w:sz w:val="21"/>
          <w:szCs w:val="21"/>
          <w:highlight w:val="yellow"/>
          <w:lang w:val="en-US" w:eastAsia="zh-CN"/>
        </w:rPr>
        <w:t>]</w:t>
      </w:r>
      <w:r>
        <w:rPr>
          <w:rFonts w:hint="default" w:eastAsia="宋体"/>
          <w:b/>
          <w:bCs/>
          <w:strike w:val="0"/>
          <w:dstrike w:val="0"/>
          <w:color w:val="auto"/>
          <w:sz w:val="21"/>
          <w:szCs w:val="21"/>
          <w:highlight w:val="none"/>
          <w:lang w:val="en-US" w:eastAsia="zh-CN"/>
        </w:rPr>
        <w:t xml:space="preserve"> ms after the report of the latest first valid CQI among all Scell(s) being activated.”</w:t>
      </w:r>
    </w:p>
    <w:p>
      <w:pPr>
        <w:pStyle w:val="9"/>
        <w:numPr>
          <w:ilvl w:val="0"/>
          <w:numId w:val="0"/>
        </w:numPr>
        <w:ind w:leftChars="0"/>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Issue 3-3, i.e. pre-MG activation/deactivation delay after pre-MG being configured initially, define delay for activation/deactivation after pre-MG configuration as </w:t>
      </w:r>
      <w:r>
        <w:rPr>
          <w:rFonts w:hint="eastAsia" w:eastAsia="宋体"/>
          <w:b/>
          <w:bCs/>
          <w:strike/>
          <w:dstrike w:val="0"/>
          <w:color w:val="auto"/>
          <w:sz w:val="21"/>
          <w:szCs w:val="21"/>
          <w:highlight w:val="yellow"/>
          <w:lang w:val="en-US" w:eastAsia="zh-CN"/>
        </w:rPr>
        <w:t>[</w:t>
      </w:r>
      <w:r>
        <w:rPr>
          <w:rFonts w:hint="eastAsia" w:eastAsia="宋体"/>
          <w:b/>
          <w:bCs/>
          <w:strike w:val="0"/>
          <w:dstrike w:val="0"/>
          <w:color w:val="auto"/>
          <w:sz w:val="21"/>
          <w:szCs w:val="21"/>
          <w:highlight w:val="none"/>
          <w:lang w:val="en-US" w:eastAsia="zh-CN"/>
        </w:rPr>
        <w:t>5</w:t>
      </w:r>
      <w:r>
        <w:rPr>
          <w:rFonts w:hint="eastAsia" w:eastAsia="宋体"/>
          <w:b/>
          <w:bCs/>
          <w:strike/>
          <w:dstrike w:val="0"/>
          <w:color w:val="auto"/>
          <w:sz w:val="21"/>
          <w:szCs w:val="21"/>
          <w:highlight w:val="yellow"/>
          <w:lang w:val="en-US" w:eastAsia="zh-CN"/>
        </w:rPr>
        <w:t>]</w:t>
      </w:r>
      <w:r>
        <w:rPr>
          <w:rFonts w:hint="eastAsia" w:eastAsia="宋体"/>
          <w:b/>
          <w:bCs/>
          <w:strike w:val="0"/>
          <w:dstrike w:val="0"/>
          <w:color w:val="auto"/>
          <w:sz w:val="21"/>
          <w:szCs w:val="21"/>
          <w:highlight w:val="none"/>
          <w:lang w:val="en-US" w:eastAsia="zh-CN"/>
        </w:rPr>
        <w:t xml:space="preserve"> ms after the RRC processing time.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rFonts w:hint="default" w:eastAsia="宋体"/>
          <w:color w:val="auto"/>
          <w:lang w:val="en-US" w:eastAsia="zh-CN"/>
        </w:rPr>
      </w:pPr>
      <w:r>
        <w:rPr>
          <w:color w:val="auto"/>
        </w:rPr>
        <w:t>R</w:t>
      </w:r>
      <w:r>
        <w:rPr>
          <w:rFonts w:hint="eastAsia"/>
          <w:color w:val="auto"/>
          <w:lang w:val="en-US" w:eastAsia="zh-CN"/>
        </w:rPr>
        <w:t>4-2210586</w:t>
      </w:r>
      <w:r>
        <w:rPr>
          <w:color w:val="auto"/>
        </w:rPr>
        <w:t xml:space="preserve">, </w:t>
      </w:r>
      <w:r>
        <w:rPr>
          <w:rFonts w:hint="default"/>
          <w:color w:val="auto"/>
          <w:lang w:val="en-US" w:eastAsia="zh-CN"/>
        </w:rPr>
        <w:t>“</w:t>
      </w:r>
      <w:r>
        <w:rPr>
          <w:rFonts w:hint="eastAsia"/>
          <w:color w:val="auto"/>
          <w:lang w:val="en-US" w:eastAsia="zh-CN"/>
        </w:rPr>
        <w:t>WF on R17 NR MG enhancements–Pre-configured MG</w:t>
      </w:r>
      <w:r>
        <w:rPr>
          <w:rFonts w:hint="default"/>
          <w:color w:val="auto"/>
          <w:lang w:val="en-US" w:eastAsia="zh-CN"/>
        </w:rPr>
        <w:t>”</w:t>
      </w:r>
      <w:r>
        <w:rPr>
          <w:rFonts w:hint="eastAsia"/>
          <w:color w:val="auto"/>
          <w:lang w:val="en-US" w:eastAsia="zh-CN"/>
        </w:rPr>
        <w:t>, Intel.</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71115B"/>
    <w:multiLevelType w:val="singleLevel"/>
    <w:tmpl w:val="8671115B"/>
    <w:lvl w:ilvl="0" w:tentative="0">
      <w:start w:val="1"/>
      <w:numFmt w:val="bullet"/>
      <w:lvlText w:val=""/>
      <w:lvlJc w:val="left"/>
      <w:pPr>
        <w:tabs>
          <w:tab w:val="left" w:pos="420"/>
        </w:tabs>
        <w:ind w:left="840" w:hanging="420"/>
      </w:pPr>
      <w:rPr>
        <w:rFonts w:hint="default" w:ascii="Wingdings" w:hAnsi="Wingdings"/>
      </w:rPr>
    </w:lvl>
  </w:abstractNum>
  <w:abstractNum w:abstractNumId="1">
    <w:nsid w:val="885B68C4"/>
    <w:multiLevelType w:val="singleLevel"/>
    <w:tmpl w:val="885B68C4"/>
    <w:lvl w:ilvl="0" w:tentative="0">
      <w:start w:val="1"/>
      <w:numFmt w:val="bullet"/>
      <w:lvlText w:val=""/>
      <w:lvlJc w:val="left"/>
      <w:pPr>
        <w:tabs>
          <w:tab w:val="left" w:pos="420"/>
        </w:tabs>
        <w:ind w:left="840" w:hanging="420"/>
      </w:pPr>
      <w:rPr>
        <w:rFonts w:hint="default" w:ascii="Wingdings" w:hAnsi="Wingdings"/>
      </w:rPr>
    </w:lvl>
  </w:abstractNum>
  <w:abstractNum w:abstractNumId="2">
    <w:nsid w:val="8BE6FBCB"/>
    <w:multiLevelType w:val="multilevel"/>
    <w:tmpl w:val="8BE6FBC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AD0F18"/>
    <w:multiLevelType w:val="singleLevel"/>
    <w:tmpl w:val="18AD0F18"/>
    <w:lvl w:ilvl="0" w:tentative="0">
      <w:start w:val="1"/>
      <w:numFmt w:val="bullet"/>
      <w:lvlText w:val=""/>
      <w:lvlJc w:val="left"/>
      <w:pPr>
        <w:ind w:left="420" w:hanging="420"/>
      </w:pPr>
      <w:rPr>
        <w:rFonts w:hint="default" w:ascii="Wingdings" w:hAnsi="Wingdings"/>
      </w:rPr>
    </w:lvl>
  </w:abstractNum>
  <w:abstractNum w:abstractNumId="5">
    <w:nsid w:val="3C0A8919"/>
    <w:multiLevelType w:val="singleLevel"/>
    <w:tmpl w:val="3C0A8919"/>
    <w:lvl w:ilvl="0" w:tentative="0">
      <w:start w:val="1"/>
      <w:numFmt w:val="decimal"/>
      <w:suff w:val="space"/>
      <w:lvlText w:val="%1)"/>
      <w:lvlJc w:val="left"/>
      <w:pPr>
        <w:ind w:left="42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7"/>
  </w:num>
  <w:num w:numId="3">
    <w:abstractNumId w:val="3"/>
  </w:num>
  <w:num w:numId="4">
    <w:abstractNumId w:val="4"/>
  </w:num>
  <w:num w:numId="5">
    <w:abstractNumId w:val="2"/>
  </w:num>
  <w:num w:numId="6">
    <w:abstractNumId w:val="5"/>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E2428"/>
    <w:rsid w:val="028F1C3E"/>
    <w:rsid w:val="03B046EF"/>
    <w:rsid w:val="040F7A03"/>
    <w:rsid w:val="046C55D3"/>
    <w:rsid w:val="06CA7D4F"/>
    <w:rsid w:val="07CD3CDD"/>
    <w:rsid w:val="0855671D"/>
    <w:rsid w:val="089C77F9"/>
    <w:rsid w:val="09716BCA"/>
    <w:rsid w:val="09E644B8"/>
    <w:rsid w:val="0FE803BE"/>
    <w:rsid w:val="134B1636"/>
    <w:rsid w:val="13CC6F4E"/>
    <w:rsid w:val="13F3196F"/>
    <w:rsid w:val="141F2099"/>
    <w:rsid w:val="14451873"/>
    <w:rsid w:val="163C3EB1"/>
    <w:rsid w:val="180A6E32"/>
    <w:rsid w:val="1897022E"/>
    <w:rsid w:val="18CD0507"/>
    <w:rsid w:val="1A7C6938"/>
    <w:rsid w:val="1C69691E"/>
    <w:rsid w:val="1CBA2101"/>
    <w:rsid w:val="1CE12F9A"/>
    <w:rsid w:val="1D223E0B"/>
    <w:rsid w:val="1E8729C0"/>
    <w:rsid w:val="1E880B50"/>
    <w:rsid w:val="1ECC1E3C"/>
    <w:rsid w:val="1F4A5DF7"/>
    <w:rsid w:val="21F13629"/>
    <w:rsid w:val="224269F0"/>
    <w:rsid w:val="23373521"/>
    <w:rsid w:val="24122135"/>
    <w:rsid w:val="24D06DEC"/>
    <w:rsid w:val="250B1D26"/>
    <w:rsid w:val="25273A3D"/>
    <w:rsid w:val="25E108FC"/>
    <w:rsid w:val="25F86674"/>
    <w:rsid w:val="26B6010F"/>
    <w:rsid w:val="26BB1419"/>
    <w:rsid w:val="288378CA"/>
    <w:rsid w:val="29092B30"/>
    <w:rsid w:val="293B625E"/>
    <w:rsid w:val="2B0847D2"/>
    <w:rsid w:val="2B5E1F9D"/>
    <w:rsid w:val="2CFA79CB"/>
    <w:rsid w:val="2D023956"/>
    <w:rsid w:val="2ED64542"/>
    <w:rsid w:val="30031508"/>
    <w:rsid w:val="305E78DB"/>
    <w:rsid w:val="30C62097"/>
    <w:rsid w:val="30E85EC6"/>
    <w:rsid w:val="31B14C9E"/>
    <w:rsid w:val="342B6BAA"/>
    <w:rsid w:val="34FB42DE"/>
    <w:rsid w:val="35B06C6A"/>
    <w:rsid w:val="36D37423"/>
    <w:rsid w:val="37BC0E00"/>
    <w:rsid w:val="37D1238D"/>
    <w:rsid w:val="38776496"/>
    <w:rsid w:val="38D27DE3"/>
    <w:rsid w:val="3A706D23"/>
    <w:rsid w:val="3B502BB3"/>
    <w:rsid w:val="3B9A1F29"/>
    <w:rsid w:val="3CB529ED"/>
    <w:rsid w:val="3CE4646B"/>
    <w:rsid w:val="3D5E7AA8"/>
    <w:rsid w:val="3D6F2596"/>
    <w:rsid w:val="3DF544D0"/>
    <w:rsid w:val="3E030137"/>
    <w:rsid w:val="3E0C533A"/>
    <w:rsid w:val="3E4A6548"/>
    <w:rsid w:val="40C765F3"/>
    <w:rsid w:val="40EB7BD7"/>
    <w:rsid w:val="426A5E83"/>
    <w:rsid w:val="42C777C1"/>
    <w:rsid w:val="43103763"/>
    <w:rsid w:val="44146538"/>
    <w:rsid w:val="4526176B"/>
    <w:rsid w:val="45F60A50"/>
    <w:rsid w:val="47293E34"/>
    <w:rsid w:val="486C0C7F"/>
    <w:rsid w:val="4C1C63D6"/>
    <w:rsid w:val="4C2516E0"/>
    <w:rsid w:val="4E804C90"/>
    <w:rsid w:val="4ECB234E"/>
    <w:rsid w:val="4F4C2F08"/>
    <w:rsid w:val="501A6C55"/>
    <w:rsid w:val="51124B2E"/>
    <w:rsid w:val="51B14BED"/>
    <w:rsid w:val="559D1553"/>
    <w:rsid w:val="55B1164D"/>
    <w:rsid w:val="56202B3D"/>
    <w:rsid w:val="562D1E1E"/>
    <w:rsid w:val="56371459"/>
    <w:rsid w:val="56C32E01"/>
    <w:rsid w:val="57163AF6"/>
    <w:rsid w:val="571D6FB3"/>
    <w:rsid w:val="574B5862"/>
    <w:rsid w:val="5A08524C"/>
    <w:rsid w:val="5A241EDF"/>
    <w:rsid w:val="5B036F7E"/>
    <w:rsid w:val="5BC1326E"/>
    <w:rsid w:val="5BC73810"/>
    <w:rsid w:val="5C6C0AC6"/>
    <w:rsid w:val="5CAE703E"/>
    <w:rsid w:val="5D1A1DC7"/>
    <w:rsid w:val="5E14214E"/>
    <w:rsid w:val="5E7B4407"/>
    <w:rsid w:val="5EB44FC0"/>
    <w:rsid w:val="5EF51033"/>
    <w:rsid w:val="5F2567F5"/>
    <w:rsid w:val="62883C46"/>
    <w:rsid w:val="62933EAA"/>
    <w:rsid w:val="64266720"/>
    <w:rsid w:val="660C1A0F"/>
    <w:rsid w:val="676D2EC1"/>
    <w:rsid w:val="67A858DB"/>
    <w:rsid w:val="68E97934"/>
    <w:rsid w:val="6945765B"/>
    <w:rsid w:val="69AD39DF"/>
    <w:rsid w:val="6A7C7852"/>
    <w:rsid w:val="6B99781E"/>
    <w:rsid w:val="6D577606"/>
    <w:rsid w:val="6DB04EF1"/>
    <w:rsid w:val="6DDE3DAF"/>
    <w:rsid w:val="6E034BF5"/>
    <w:rsid w:val="6E6C5051"/>
    <w:rsid w:val="7040331B"/>
    <w:rsid w:val="715F4C2D"/>
    <w:rsid w:val="71B633EF"/>
    <w:rsid w:val="72BF0DCA"/>
    <w:rsid w:val="72F600A9"/>
    <w:rsid w:val="73BC3AAE"/>
    <w:rsid w:val="75C759C1"/>
    <w:rsid w:val="769A7444"/>
    <w:rsid w:val="772E5E06"/>
    <w:rsid w:val="77B1550F"/>
    <w:rsid w:val="77C067C3"/>
    <w:rsid w:val="78911E31"/>
    <w:rsid w:val="7A513A2C"/>
    <w:rsid w:val="7A9367CB"/>
    <w:rsid w:val="7AD329DA"/>
    <w:rsid w:val="7C1C35A7"/>
    <w:rsid w:val="7C45431D"/>
    <w:rsid w:val="7D750C6A"/>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2022-08-10T16:37:38Z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