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8F915" w14:textId="626AEECE" w:rsidR="00E03C92" w:rsidRPr="00575A77" w:rsidRDefault="001B5D3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103-e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301E" w:rsidRPr="0083301E">
        <w:rPr>
          <w:rFonts w:ascii="Arial" w:eastAsiaTheme="minorEastAsia" w:hAnsi="Arial" w:cs="Arial"/>
          <w:b/>
          <w:sz w:val="24"/>
          <w:szCs w:val="24"/>
          <w:lang w:eastAsia="zh-CN"/>
        </w:rPr>
        <w:t>R4-2211203</w:t>
      </w:r>
    </w:p>
    <w:p w14:paraId="49E8622F" w14:textId="77777777" w:rsidR="00E03C92" w:rsidRDefault="001B5D3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-20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May,</w:t>
      </w:r>
      <w:proofErr w:type="gramEnd"/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730B90D1" w14:textId="77777777" w:rsidR="00E03C92" w:rsidRDefault="00E03C9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DBFA9C6" w14:textId="77777777" w:rsidR="00E03C92" w:rsidRDefault="001B5D3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FeMIMO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impact for unified TCI state</w:t>
      </w:r>
    </w:p>
    <w:p w14:paraId="5CE0D08B" w14:textId="77777777" w:rsidR="00E03C92" w:rsidRDefault="001B5D3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9.18.2</w:t>
      </w:r>
    </w:p>
    <w:p w14:paraId="37AD4681" w14:textId="77777777" w:rsidR="00E03C92" w:rsidRDefault="001B5D35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</w:t>
      </w:r>
    </w:p>
    <w:p w14:paraId="0D768CD2" w14:textId="77777777" w:rsidR="00E03C92" w:rsidRDefault="001B5D35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805127B" w14:textId="3E86691F" w:rsidR="00E03C92" w:rsidRDefault="001B5D35">
      <w:pPr>
        <w:pStyle w:val="Heading1"/>
        <w:rPr>
          <w:lang w:eastAsia="ja-JP"/>
        </w:rPr>
      </w:pPr>
      <w:r>
        <w:rPr>
          <w:lang w:eastAsia="ja-JP"/>
        </w:rPr>
        <w:t>Agreement</w:t>
      </w:r>
      <w:r w:rsidR="007C7F1C">
        <w:rPr>
          <w:lang w:eastAsia="ja-JP"/>
        </w:rPr>
        <w:t xml:space="preserve"> in 1st round</w:t>
      </w:r>
    </w:p>
    <w:p w14:paraId="15A2C962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1-1 MAC CE based TCI state Switching delay requirements </w:t>
      </w:r>
    </w:p>
    <w:p w14:paraId="21148022" w14:textId="531EF649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Issue 1-1-2 Known condition for target TCI state</w:t>
      </w:r>
    </w:p>
    <w:p w14:paraId="65DB20B7" w14:textId="07E976B2" w:rsidR="009E383A" w:rsidRPr="004D1757" w:rsidRDefault="009E383A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 </w:t>
      </w:r>
      <w:r w:rsidRPr="004D1757">
        <w:rPr>
          <w:rFonts w:eastAsiaTheme="minorEastAsia"/>
          <w:bCs/>
          <w:lang w:eastAsia="zh-CN"/>
        </w:rPr>
        <w:t>Agreement:</w:t>
      </w:r>
    </w:p>
    <w:p w14:paraId="2A844F6D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known conditions for UL TCI and for PL-RS remain the same as legacy requirements, while requirements are only defined for the beam alignment case.</w:t>
      </w:r>
    </w:p>
    <w:p w14:paraId="30E7CF7B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As long as</w:t>
      </w:r>
      <w:proofErr w:type="gramEnd"/>
      <w:r>
        <w:rPr>
          <w:rFonts w:eastAsiaTheme="minorEastAsia"/>
          <w:lang w:eastAsia="zh-CN"/>
        </w:rPr>
        <w:t xml:space="preserve"> PL-RS and source RS of UL/Joint TCI meet the beam alignment condition, the unknown UL TCI requirements can also be applicable to the case when PL-RS is unknown.</w:t>
      </w:r>
    </w:p>
    <w:p w14:paraId="61E4D0E7" w14:textId="77777777" w:rsidR="00247257" w:rsidRDefault="00247257" w:rsidP="00247257">
      <w:pPr>
        <w:spacing w:after="120"/>
        <w:rPr>
          <w:rFonts w:eastAsiaTheme="minorEastAsia"/>
          <w:b/>
          <w:u w:val="single"/>
          <w:lang w:eastAsia="zh-CN"/>
        </w:rPr>
      </w:pPr>
    </w:p>
    <w:p w14:paraId="140B607A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1-4 TCI state list update delay</w:t>
      </w:r>
    </w:p>
    <w:p w14:paraId="1380E47E" w14:textId="6D7EB793" w:rsidR="00E03C92" w:rsidRDefault="001B5D35">
      <w:pPr>
        <w:spacing w:after="120"/>
        <w:rPr>
          <w:rFonts w:eastAsiaTheme="minorEastAsia"/>
          <w:b/>
          <w:u w:val="single"/>
          <w:lang w:val="sv-SE" w:eastAsia="zh-CN"/>
        </w:rPr>
      </w:pP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 xml:space="preserve">Issue 1-4-4 </w:t>
      </w:r>
      <w:r>
        <w:rPr>
          <w:rFonts w:eastAsiaTheme="minorEastAsia"/>
          <w:b/>
          <w:u w:val="single"/>
          <w:lang w:val="sv-SE" w:eastAsia="zh-CN"/>
        </w:rPr>
        <w:t>MAC CE based UL TCI state list update delay for cell with different PCI</w:t>
      </w:r>
    </w:p>
    <w:p w14:paraId="315576C4" w14:textId="0A3EC0CE" w:rsidR="009E383A" w:rsidRPr="004D1757" w:rsidRDefault="009E383A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 </w:t>
      </w:r>
      <w:r w:rsidRPr="007F0444">
        <w:rPr>
          <w:rFonts w:eastAsiaTheme="minorEastAsia"/>
          <w:bCs/>
          <w:lang w:eastAsia="zh-CN"/>
        </w:rPr>
        <w:t>Agreement:</w:t>
      </w:r>
    </w:p>
    <w:p w14:paraId="52CA63C7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For MAC CE based TCI state list update, requirement is not applicable if </w:t>
      </w:r>
      <w:proofErr w:type="spellStart"/>
      <w:r>
        <w:rPr>
          <w:rFonts w:eastAsiaTheme="minorEastAsia"/>
          <w:bCs/>
          <w:lang w:eastAsia="zh-CN"/>
        </w:rPr>
        <w:t>Nmax</w:t>
      </w:r>
      <w:proofErr w:type="spellEnd"/>
      <w:r>
        <w:rPr>
          <w:rFonts w:eastAsiaTheme="minorEastAsia"/>
          <w:bCs/>
          <w:lang w:eastAsia="zh-CN"/>
        </w:rPr>
        <w:t xml:space="preserve"> &gt; 1.</w:t>
      </w:r>
    </w:p>
    <w:p w14:paraId="3962B75D" w14:textId="77777777" w:rsidR="00E03C92" w:rsidRDefault="00E03C9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Theme="minorEastAsia"/>
          <w:bCs/>
          <w:lang w:eastAsia="zh-CN"/>
        </w:rPr>
      </w:pPr>
    </w:p>
    <w:p w14:paraId="1B213E1C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1-5 PL-RS switching delay </w:t>
      </w:r>
    </w:p>
    <w:p w14:paraId="65586B0C" w14:textId="6C130FC2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val="sv-SE" w:eastAsia="zh-CN"/>
        </w:rPr>
        <w:t xml:space="preserve"> </w:t>
      </w:r>
      <w:r>
        <w:rPr>
          <w:rFonts w:eastAsiaTheme="minorEastAsia"/>
          <w:b/>
          <w:u w:val="single"/>
          <w:lang w:val="sv-SE" w:eastAsia="zh-CN"/>
        </w:rPr>
        <w:t xml:space="preserve">Issue 1-5-1 Whether to define MAC CE based </w:t>
      </w:r>
      <w:r>
        <w:rPr>
          <w:rFonts w:eastAsiaTheme="minorEastAsia"/>
          <w:b/>
          <w:u w:val="single"/>
          <w:lang w:eastAsia="zh-CN"/>
        </w:rPr>
        <w:t>PL-RS switching requirement when PL-RS is unknown</w:t>
      </w:r>
    </w:p>
    <w:p w14:paraId="32508142" w14:textId="5CC05729" w:rsidR="009E383A" w:rsidRPr="004D1757" w:rsidRDefault="009E383A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 </w:t>
      </w:r>
      <w:r w:rsidRPr="007F0444">
        <w:rPr>
          <w:rFonts w:eastAsiaTheme="minorEastAsia"/>
          <w:bCs/>
          <w:lang w:eastAsia="zh-CN"/>
        </w:rPr>
        <w:t>Agreement:</w:t>
      </w:r>
    </w:p>
    <w:p w14:paraId="0C0F9204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Re-use MAC CE based UL TCI state switch delay of unknown case when the PL-RS is unknown for MAC CE based PL-RS switching. </w:t>
      </w:r>
    </w:p>
    <w:p w14:paraId="4C615116" w14:textId="77777777" w:rsidR="00E03C92" w:rsidRDefault="00E03C92">
      <w:pPr>
        <w:rPr>
          <w:lang w:eastAsia="zh-CN"/>
        </w:rPr>
      </w:pPr>
    </w:p>
    <w:p w14:paraId="4C708438" w14:textId="38652438" w:rsidR="00E03C92" w:rsidRDefault="001B5D35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lastRenderedPageBreak/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Unified TCI state</w:t>
      </w:r>
      <w:r w:rsidR="0050793E">
        <w:rPr>
          <w:rFonts w:eastAsiaTheme="minorEastAsia"/>
          <w:lang w:eastAsia="zh-CN"/>
        </w:rPr>
        <w:t xml:space="preserve"> in 2nd round</w:t>
      </w:r>
    </w:p>
    <w:p w14:paraId="138D4046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1-1 MAC CE based TCI state Switching delay requirements </w:t>
      </w:r>
    </w:p>
    <w:p w14:paraId="2CE76E6F" w14:textId="77777777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Issue 1-1-1 Active TCI state for UL</w:t>
      </w:r>
    </w:p>
    <w:p w14:paraId="278AE701" w14:textId="7D0551B7" w:rsidR="00E03C92" w:rsidRDefault="001B5D35" w:rsidP="004D1757">
      <w:pPr>
        <w:numPr>
          <w:ilvl w:val="1"/>
          <w:numId w:val="3"/>
        </w:numPr>
        <w:spacing w:afterLines="50" w:after="156"/>
        <w:rPr>
          <w:lang w:eastAsia="zh-CN"/>
        </w:rPr>
      </w:pPr>
      <w:r>
        <w:rPr>
          <w:lang w:eastAsia="zh-CN"/>
        </w:rPr>
        <w:t xml:space="preserve">Further </w:t>
      </w:r>
      <w:r w:rsidR="001923B6">
        <w:rPr>
          <w:lang w:eastAsia="zh-CN"/>
        </w:rPr>
        <w:t xml:space="preserve">discuss whether </w:t>
      </w:r>
      <w:r w:rsidR="00294D62">
        <w:rPr>
          <w:lang w:eastAsia="zh-CN"/>
        </w:rPr>
        <w:t xml:space="preserve">LS is needed for </w:t>
      </w:r>
      <w:r w:rsidR="00A4423B">
        <w:rPr>
          <w:lang w:eastAsia="zh-CN"/>
        </w:rPr>
        <w:t>clarif</w:t>
      </w:r>
      <w:r w:rsidR="00294D62">
        <w:rPr>
          <w:lang w:eastAsia="zh-CN"/>
        </w:rPr>
        <w:t xml:space="preserve">ying </w:t>
      </w:r>
      <w:r w:rsidR="00B23187">
        <w:rPr>
          <w:lang w:eastAsia="zh-CN"/>
        </w:rPr>
        <w:t xml:space="preserve">‘active UL TCI state’ </w:t>
      </w:r>
      <w:r w:rsidR="00294D62">
        <w:rPr>
          <w:lang w:eastAsia="zh-CN"/>
        </w:rPr>
        <w:t xml:space="preserve">the </w:t>
      </w:r>
      <w:r w:rsidR="005B47E7">
        <w:rPr>
          <w:lang w:eastAsia="zh-CN"/>
        </w:rPr>
        <w:t>following</w:t>
      </w:r>
      <w:r w:rsidR="00294D62">
        <w:rPr>
          <w:lang w:eastAsia="zh-CN"/>
        </w:rPr>
        <w:t xml:space="preserve"> issues</w:t>
      </w:r>
      <w:r w:rsidR="005475F2">
        <w:rPr>
          <w:lang w:eastAsia="zh-CN"/>
        </w:rPr>
        <w:t>:</w:t>
      </w:r>
    </w:p>
    <w:p w14:paraId="0B21D486" w14:textId="48F007F9" w:rsidR="00705BDF" w:rsidRPr="004D1757" w:rsidRDefault="002B268F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>i</w:t>
      </w:r>
      <w:r w:rsidR="00DB6C50">
        <w:rPr>
          <w:rFonts w:eastAsia="Times New Roman"/>
        </w:rPr>
        <w:t xml:space="preserve">: </w:t>
      </w:r>
      <w:r w:rsidR="00705BDF" w:rsidRPr="004D1757">
        <w:rPr>
          <w:rFonts w:eastAsia="Times New Roman"/>
        </w:rPr>
        <w:t xml:space="preserve">If the UL (or joint) TCI state is activated, should a UE track UL TCI state timing </w:t>
      </w:r>
      <w:r w:rsidR="00B23187">
        <w:rPr>
          <w:rFonts w:eastAsia="Times New Roman"/>
        </w:rPr>
        <w:t>and/</w:t>
      </w:r>
      <w:r w:rsidR="00705BDF" w:rsidRPr="004D1757">
        <w:rPr>
          <w:rFonts w:eastAsia="Times New Roman"/>
        </w:rPr>
        <w:t>or frequency derived from DL-RS associated with UL TCI state (or joint) TCI as a UE does for active DL-TCI?</w:t>
      </w:r>
    </w:p>
    <w:p w14:paraId="37404662" w14:textId="501CDB55" w:rsidR="00705BDF" w:rsidRPr="004D1757" w:rsidRDefault="002B268F" w:rsidP="004D1757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 xml:space="preserve">i-1: </w:t>
      </w:r>
      <w:r w:rsidR="00705BDF" w:rsidRPr="004D1757">
        <w:rPr>
          <w:rFonts w:eastAsia="Times New Roman"/>
        </w:rPr>
        <w:t xml:space="preserve">What DL-RS can be used to track timing </w:t>
      </w:r>
      <w:r w:rsidR="00B23187">
        <w:rPr>
          <w:rFonts w:eastAsia="Times New Roman"/>
        </w:rPr>
        <w:t>and/</w:t>
      </w:r>
      <w:r w:rsidR="00705BDF" w:rsidRPr="004D1757">
        <w:rPr>
          <w:rFonts w:eastAsia="Times New Roman"/>
        </w:rPr>
        <w:t xml:space="preserve">or frequency for active UL TCI for non-serving cell? </w:t>
      </w:r>
      <w:r w:rsidR="00B23187">
        <w:rPr>
          <w:rFonts w:eastAsia="Times New Roman"/>
        </w:rPr>
        <w:t>Specifically</w:t>
      </w:r>
      <w:r w:rsidR="00705BDF" w:rsidRPr="004D1757">
        <w:rPr>
          <w:rFonts w:eastAsia="Times New Roman"/>
        </w:rPr>
        <w:t xml:space="preserve">, how can a UE track timing </w:t>
      </w:r>
      <w:r w:rsidR="00B23187">
        <w:rPr>
          <w:rFonts w:eastAsia="Times New Roman"/>
        </w:rPr>
        <w:t>and/</w:t>
      </w:r>
      <w:r w:rsidR="00705BDF" w:rsidRPr="004D1757">
        <w:rPr>
          <w:rFonts w:eastAsia="Times New Roman"/>
        </w:rPr>
        <w:t>or frequency, if SRS is indicated as source RS in the active UL TCI?</w:t>
      </w:r>
      <w:r w:rsidR="00B23187">
        <w:rPr>
          <w:rFonts w:eastAsia="Times New Roman"/>
        </w:rPr>
        <w:t xml:space="preserve"> </w:t>
      </w:r>
    </w:p>
    <w:p w14:paraId="37D8FD5C" w14:textId="040135A2" w:rsidR="00705BDF" w:rsidRPr="004D1757" w:rsidRDefault="002B268F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 xml:space="preserve">ii: </w:t>
      </w:r>
      <w:r w:rsidR="00705BDF" w:rsidRPr="004D1757">
        <w:rPr>
          <w:rFonts w:eastAsia="Times New Roman"/>
        </w:rPr>
        <w:t xml:space="preserve">If a UE maintains the PL-RS of the activated UL TCI state (or joint) TCI state by the RAN1 agreement, the UE should maintain all of PL-RSs in the activated UL TCI (or joint) TCIs to support inter-cell or </w:t>
      </w:r>
      <w:proofErr w:type="spellStart"/>
      <w:r w:rsidR="00705BDF" w:rsidRPr="004D1757">
        <w:rPr>
          <w:rFonts w:eastAsia="Times New Roman"/>
        </w:rPr>
        <w:t>mTRP</w:t>
      </w:r>
      <w:proofErr w:type="spellEnd"/>
      <w:r w:rsidR="00705BDF" w:rsidRPr="004D1757">
        <w:rPr>
          <w:rFonts w:eastAsia="Times New Roman"/>
        </w:rPr>
        <w:t xml:space="preserve"> scenarios? </w:t>
      </w:r>
    </w:p>
    <w:p w14:paraId="1A7C9182" w14:textId="6CE566FE" w:rsidR="00705BDF" w:rsidRDefault="002B268F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 xml:space="preserve">ii-1: </w:t>
      </w:r>
      <w:r w:rsidR="00705BDF" w:rsidRPr="004D1757">
        <w:rPr>
          <w:rFonts w:eastAsia="Times New Roman"/>
        </w:rPr>
        <w:t xml:space="preserve">What is a UE capability to measure pathloss to support the active UL TCI list in inter-cell and </w:t>
      </w:r>
      <w:proofErr w:type="spellStart"/>
      <w:r w:rsidR="00705BDF" w:rsidRPr="004D1757">
        <w:rPr>
          <w:rFonts w:eastAsia="Times New Roman"/>
        </w:rPr>
        <w:t>mTRP</w:t>
      </w:r>
      <w:proofErr w:type="spellEnd"/>
      <w:r w:rsidR="00705BDF" w:rsidRPr="004D1757">
        <w:rPr>
          <w:rFonts w:eastAsia="Times New Roman"/>
        </w:rPr>
        <w:t>?</w:t>
      </w:r>
      <w:r w:rsidR="00B23187">
        <w:rPr>
          <w:rFonts w:eastAsia="Times New Roman"/>
        </w:rPr>
        <w:br/>
        <w:t>(</w:t>
      </w:r>
      <w:proofErr w:type="gramStart"/>
      <w:r w:rsidR="00B23187">
        <w:rPr>
          <w:rFonts w:eastAsia="Times New Roman"/>
        </w:rPr>
        <w:t>Note :</w:t>
      </w:r>
      <w:proofErr w:type="gramEnd"/>
      <w:r w:rsidR="00B23187">
        <w:rPr>
          <w:rFonts w:eastAsia="Times New Roman"/>
        </w:rPr>
        <w:t xml:space="preserve"> there is no UE capability indication on pathloss measurement in TS38.306 capability spec )</w:t>
      </w:r>
    </w:p>
    <w:p w14:paraId="37ACFE55" w14:textId="1877384D" w:rsidR="00C77279" w:rsidRPr="004D1757" w:rsidRDefault="00C77279" w:rsidP="004D1757">
      <w:pPr>
        <w:pStyle w:val="ListParagraph"/>
        <w:overflowPunct/>
        <w:autoSpaceDE/>
        <w:autoSpaceDN/>
        <w:adjustRightInd/>
        <w:spacing w:after="120"/>
        <w:ind w:left="1170" w:firstLineChars="0" w:firstLine="0"/>
        <w:textAlignment w:val="auto"/>
        <w:rPr>
          <w:rFonts w:eastAsia="Times New Roman"/>
        </w:rPr>
      </w:pPr>
      <w:r>
        <w:rPr>
          <w:rFonts w:eastAsia="Times New Roman"/>
        </w:rPr>
        <w:t xml:space="preserve">  </w:t>
      </w:r>
    </w:p>
    <w:p w14:paraId="0E18DBFF" w14:textId="77777777" w:rsidR="0050793E" w:rsidRDefault="0050793E" w:rsidP="0050793E">
      <w:pPr>
        <w:spacing w:after="120"/>
        <w:rPr>
          <w:rFonts w:eastAsiaTheme="minorEastAsia"/>
          <w:b/>
          <w:u w:val="single"/>
          <w:lang w:eastAsia="zh-CN"/>
        </w:rPr>
      </w:pPr>
    </w:p>
    <w:p w14:paraId="1B2B4F57" w14:textId="58591FBD" w:rsidR="0050793E" w:rsidRDefault="0050793E" w:rsidP="0050793E">
      <w:pPr>
        <w:spacing w:after="120"/>
        <w:rPr>
          <w:rFonts w:eastAsiaTheme="minorEastAsia"/>
          <w:b/>
          <w:u w:val="single"/>
          <w:lang w:eastAsia="zh-CN"/>
        </w:rPr>
      </w:pPr>
      <w:r w:rsidRPr="004D1757">
        <w:rPr>
          <w:rFonts w:eastAsiaTheme="minorEastAsia"/>
          <w:b/>
          <w:u w:val="single"/>
          <w:lang w:eastAsia="zh-CN"/>
        </w:rPr>
        <w:t>Issue 1-1-3 TCI state-pair indication requirement</w:t>
      </w:r>
    </w:p>
    <w:p w14:paraId="6E237E08" w14:textId="227DF198" w:rsidR="00EA2220" w:rsidRDefault="00EA2220" w:rsidP="0050793E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54AA1BC6" w14:textId="1F0A66BA" w:rsidR="00CC5009" w:rsidRPr="00FC1158" w:rsidRDefault="00AC5A46" w:rsidP="00FC1158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F0444">
        <w:t xml:space="preserve">No additional requirements are needed for TCI state-pair indication requirement.  </w:t>
      </w:r>
    </w:p>
    <w:p w14:paraId="680B88F2" w14:textId="77777777" w:rsidR="00DC604C" w:rsidRDefault="00DC604C" w:rsidP="00E9281E">
      <w:pPr>
        <w:rPr>
          <w:b/>
          <w:bCs/>
          <w:u w:val="single"/>
        </w:rPr>
      </w:pPr>
    </w:p>
    <w:p w14:paraId="31726072" w14:textId="358D1EDF" w:rsidR="00E9281E" w:rsidRDefault="00E9281E" w:rsidP="00E9281E">
      <w:pPr>
        <w:rPr>
          <w:b/>
          <w:bCs/>
          <w:u w:val="single"/>
        </w:rPr>
      </w:pPr>
      <w:r>
        <w:rPr>
          <w:b/>
          <w:bCs/>
          <w:u w:val="single"/>
        </w:rPr>
        <w:t>Issue 1-1-3a Joint TCI state switching requirement</w:t>
      </w:r>
    </w:p>
    <w:p w14:paraId="7218AC21" w14:textId="77777777" w:rsidR="00F07B80" w:rsidRPr="007F0444" w:rsidRDefault="00F07B80" w:rsidP="00F07B80">
      <w:pPr>
        <w:numPr>
          <w:ilvl w:val="1"/>
          <w:numId w:val="3"/>
        </w:numPr>
        <w:spacing w:afterLines="50" w:after="156"/>
        <w:rPr>
          <w:lang w:eastAsia="zh-CN"/>
        </w:rPr>
      </w:pPr>
      <w:r w:rsidRPr="007F0444">
        <w:rPr>
          <w:rFonts w:hint="eastAsia"/>
          <w:lang w:eastAsia="zh-CN"/>
        </w:rPr>
        <w:t>RAN4 #101bis GTW Agreements</w:t>
      </w:r>
    </w:p>
    <w:p w14:paraId="37905E4F" w14:textId="77777777" w:rsidR="00F07B80" w:rsidRPr="007F0444" w:rsidRDefault="00F07B80" w:rsidP="00F07B80">
      <w:pPr>
        <w:pStyle w:val="ListParagraph"/>
        <w:numPr>
          <w:ilvl w:val="1"/>
          <w:numId w:val="14"/>
        </w:numPr>
        <w:overflowPunct/>
        <w:autoSpaceDE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7F0444">
        <w:rPr>
          <w:rFonts w:hint="eastAsia"/>
          <w:lang w:val="sv-SE"/>
        </w:rPr>
        <w:t xml:space="preserve">No extra requirement needed for </w:t>
      </w:r>
      <w:r w:rsidRPr="007F0444">
        <w:rPr>
          <w:rFonts w:hint="eastAsia"/>
        </w:rPr>
        <w:t xml:space="preserve">Joint TCI mode, DL and UL requirements can be applicable </w:t>
      </w:r>
      <w:r w:rsidRPr="007F0444">
        <w:rPr>
          <w:rFonts w:hint="eastAsia"/>
          <w:b/>
          <w:bCs/>
          <w:color w:val="FF0000"/>
        </w:rPr>
        <w:t>independently</w:t>
      </w:r>
    </w:p>
    <w:p w14:paraId="01E610A1" w14:textId="1462F4B9" w:rsidR="00F07B80" w:rsidRPr="00BA44A9" w:rsidRDefault="00F07B80" w:rsidP="00BA44A9">
      <w:pPr>
        <w:pStyle w:val="ListParagraph"/>
        <w:numPr>
          <w:ilvl w:val="2"/>
          <w:numId w:val="14"/>
        </w:numPr>
        <w:overflowPunct/>
        <w:autoSpaceDE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7F0444">
        <w:rPr>
          <w:rFonts w:hint="eastAsia"/>
        </w:rPr>
        <w:t xml:space="preserve">Note: it is not expected that UE will be required to make DL reception or UL transmission before UE completes the DL or UL TCI state switching, </w:t>
      </w:r>
      <w:r w:rsidRPr="007F0444">
        <w:rPr>
          <w:rFonts w:hint="eastAsia"/>
          <w:b/>
          <w:bCs/>
          <w:color w:val="FF0000"/>
        </w:rPr>
        <w:t>respectively</w:t>
      </w:r>
    </w:p>
    <w:p w14:paraId="0BEAB076" w14:textId="2D1A24ED" w:rsidR="00E9281E" w:rsidRPr="00A06C7B" w:rsidRDefault="00FB5405" w:rsidP="00A06C7B">
      <w:pPr>
        <w:numPr>
          <w:ilvl w:val="1"/>
          <w:numId w:val="3"/>
        </w:numPr>
        <w:spacing w:afterLines="50" w:after="156"/>
        <w:rPr>
          <w:lang w:eastAsia="zh-CN"/>
        </w:rPr>
      </w:pPr>
      <w:r>
        <w:rPr>
          <w:lang w:eastAsia="zh-CN"/>
        </w:rPr>
        <w:t>J</w:t>
      </w:r>
      <w:r w:rsidR="00E9281E" w:rsidRPr="00A06C7B">
        <w:rPr>
          <w:lang w:eastAsia="zh-CN"/>
        </w:rPr>
        <w:t>oint TCI switching delay requirement</w:t>
      </w:r>
    </w:p>
    <w:p w14:paraId="45805770" w14:textId="642D99D3" w:rsidR="00E9281E" w:rsidRPr="00A06C7B" w:rsidRDefault="00E9281E" w:rsidP="00A06C7B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t>Option</w:t>
      </w:r>
      <w:r w:rsidR="004940B9" w:rsidRPr="00A06C7B">
        <w:t xml:space="preserve"> </w:t>
      </w:r>
      <w:r w:rsidRPr="00A06C7B">
        <w:t>1: In case of joint TCI state switch, UE is not expected to receive on DL before UE completes the DL and UL TCI state switch</w:t>
      </w:r>
    </w:p>
    <w:p w14:paraId="67A742D8" w14:textId="0B20975D" w:rsidR="00E9281E" w:rsidRPr="00A06C7B" w:rsidRDefault="00E9281E" w:rsidP="00A06C7B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t>Option</w:t>
      </w:r>
      <w:r w:rsidR="004940B9" w:rsidRPr="00A06C7B">
        <w:t xml:space="preserve"> </w:t>
      </w:r>
      <w:r w:rsidRPr="00A06C7B">
        <w:t xml:space="preserve">2: </w:t>
      </w:r>
      <w:r w:rsidRPr="00A06C7B">
        <w:rPr>
          <w:rFonts w:eastAsia="Times New Roman"/>
        </w:rPr>
        <w:t>Joint</w:t>
      </w:r>
      <w:r w:rsidRPr="00A06C7B">
        <w:t xml:space="preserve"> TCI switching delay is regarded as same as a pair of separate DL/UL TCI switching.</w:t>
      </w:r>
    </w:p>
    <w:p w14:paraId="16BC4C89" w14:textId="77777777" w:rsidR="00E9281E" w:rsidRPr="00A06C7B" w:rsidRDefault="00E9281E" w:rsidP="00A06C7B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t>In case of joint TCI state switch, UE is expected to receive on DL, when UE completes the DL state switch.</w:t>
      </w:r>
    </w:p>
    <w:p w14:paraId="50D0E51B" w14:textId="77777777" w:rsidR="00E9281E" w:rsidRPr="00A06C7B" w:rsidRDefault="00E9281E" w:rsidP="00A06C7B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lastRenderedPageBreak/>
        <w:t>In case of joint TCI state switch, UE is expected to transmit on UL, when UE completes the UL state switch.</w:t>
      </w:r>
    </w:p>
    <w:p w14:paraId="5A3F0117" w14:textId="77777777" w:rsidR="008622B4" w:rsidRDefault="008622B4" w:rsidP="008622B4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8622B4">
        <w:t>Other options are not precluded.</w:t>
      </w:r>
    </w:p>
    <w:p w14:paraId="305ED8C1" w14:textId="47086683" w:rsidR="00064288" w:rsidRDefault="00064288" w:rsidP="004D1757"/>
    <w:p w14:paraId="71B386E2" w14:textId="50A5646C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1-1-4 MAC-CE based UL TCI state switching delay when SSB is indicated as PL-RS in UL TCI state for FR2</w:t>
      </w:r>
    </w:p>
    <w:p w14:paraId="740A54AE" w14:textId="00A4F638" w:rsidR="00EA2220" w:rsidRPr="004D1757" w:rsidRDefault="00C03A6B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FFS</w:t>
      </w:r>
      <w:r w:rsidR="00EA2220" w:rsidRPr="007F0444">
        <w:rPr>
          <w:rFonts w:eastAsiaTheme="minorEastAsia"/>
          <w:bCs/>
          <w:lang w:eastAsia="zh-CN"/>
        </w:rPr>
        <w:t>:</w:t>
      </w:r>
    </w:p>
    <w:p w14:paraId="306B64CB" w14:textId="7095D06A" w:rsidR="00BD0553" w:rsidRDefault="00130494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>
        <w:rPr>
          <w:lang w:eastAsia="zh-CN"/>
        </w:rPr>
        <w:t>Option-</w:t>
      </w:r>
      <w:proofErr w:type="gramStart"/>
      <w:r>
        <w:rPr>
          <w:lang w:eastAsia="zh-CN"/>
        </w:rPr>
        <w:t>1 :</w:t>
      </w:r>
      <w:proofErr w:type="gramEnd"/>
      <w:r>
        <w:rPr>
          <w:lang w:eastAsia="zh-CN"/>
        </w:rPr>
        <w:t xml:space="preserve"> </w:t>
      </w:r>
      <w:r w:rsidR="00BD0553" w:rsidRPr="004D1757">
        <w:rPr>
          <w:bCs/>
        </w:rPr>
        <w:t>Longer delay is expected when SSB is indicated as PL-RS in UL TCI state for FR2</w:t>
      </w:r>
    </w:p>
    <w:p w14:paraId="154B7B41" w14:textId="066BDF03" w:rsidR="00130494" w:rsidRPr="004D1757" w:rsidRDefault="00130494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>
        <w:rPr>
          <w:bCs/>
        </w:rPr>
        <w:t>Option-</w:t>
      </w:r>
      <w:proofErr w:type="gramStart"/>
      <w:r>
        <w:rPr>
          <w:bCs/>
        </w:rPr>
        <w:t>2 :</w:t>
      </w:r>
      <w:proofErr w:type="gramEnd"/>
      <w:r>
        <w:rPr>
          <w:bCs/>
        </w:rPr>
        <w:t xml:space="preserve"> </w:t>
      </w:r>
      <w:r w:rsidRPr="00130494">
        <w:rPr>
          <w:bCs/>
        </w:rPr>
        <w:t>If a UE has measured and reported L1-RSRP</w:t>
      </w:r>
      <w:r w:rsidR="00F12736">
        <w:rPr>
          <w:bCs/>
        </w:rPr>
        <w:t xml:space="preserve"> </w:t>
      </w:r>
      <w:r w:rsidR="00F12736" w:rsidRPr="00130494">
        <w:rPr>
          <w:bCs/>
        </w:rPr>
        <w:t xml:space="preserve">within [Y] </w:t>
      </w:r>
      <w:r w:rsidR="00F12736">
        <w:rPr>
          <w:bCs/>
        </w:rPr>
        <w:t>m</w:t>
      </w:r>
      <w:r w:rsidR="00F12736" w:rsidRPr="00130494">
        <w:rPr>
          <w:bCs/>
        </w:rPr>
        <w:t>sec</w:t>
      </w:r>
      <w:r w:rsidRPr="00130494">
        <w:rPr>
          <w:bCs/>
        </w:rPr>
        <w:t xml:space="preserve"> on the SSB</w:t>
      </w:r>
      <w:r w:rsidR="00F12736">
        <w:rPr>
          <w:bCs/>
        </w:rPr>
        <w:t xml:space="preserve"> </w:t>
      </w:r>
      <w:r w:rsidR="00F12736" w:rsidRPr="00F12736">
        <w:rPr>
          <w:bCs/>
        </w:rPr>
        <w:t>indicated as PL-RS in UL TCI state</w:t>
      </w:r>
      <w:r w:rsidRPr="00130494">
        <w:rPr>
          <w:bCs/>
        </w:rPr>
        <w:t xml:space="preserve">, the PL-RS is </w:t>
      </w:r>
      <w:r w:rsidR="00F12736">
        <w:rPr>
          <w:bCs/>
        </w:rPr>
        <w:t>regarded</w:t>
      </w:r>
      <w:r w:rsidRPr="00130494">
        <w:rPr>
          <w:bCs/>
        </w:rPr>
        <w:t xml:space="preserve"> to be maintained. (</w:t>
      </w:r>
      <w:proofErr w:type="gramStart"/>
      <w:r w:rsidRPr="00130494">
        <w:rPr>
          <w:bCs/>
        </w:rPr>
        <w:t>i.e.</w:t>
      </w:r>
      <w:proofErr w:type="gramEnd"/>
      <w:r w:rsidRPr="00130494">
        <w:rPr>
          <w:bCs/>
        </w:rPr>
        <w:t xml:space="preserve"> a filtered L1-RSRP measurement process is equivalent to PL measurement</w:t>
      </w:r>
      <w:r>
        <w:rPr>
          <w:bCs/>
        </w:rPr>
        <w:t xml:space="preserve"> </w:t>
      </w:r>
      <w:r w:rsidR="00BA76CF">
        <w:rPr>
          <w:bCs/>
        </w:rPr>
        <w:t xml:space="preserve">process </w:t>
      </w:r>
      <w:r>
        <w:rPr>
          <w:bCs/>
        </w:rPr>
        <w:t xml:space="preserve">based on </w:t>
      </w:r>
      <w:r w:rsidRPr="00BE274F">
        <w:rPr>
          <w:i/>
          <w:iCs/>
          <w:position w:val="-12"/>
        </w:rPr>
        <w:object w:dxaOrig="840" w:dyaOrig="320" w14:anchorId="0997CA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15.5pt" o:ole="">
            <v:imagedata r:id="rId9" o:title=""/>
          </v:shape>
          <o:OLEObject Type="Embed" ProgID="Equation.3" ShapeID="_x0000_i1025" DrawAspect="Content" ObjectID="_1714549404" r:id="rId10"/>
        </w:object>
      </w:r>
      <w:r w:rsidRPr="008D438F">
        <w:rPr>
          <w:i/>
          <w:iCs/>
        </w:rPr>
        <w:t xml:space="preserve">= </w:t>
      </w:r>
      <w:proofErr w:type="spellStart"/>
      <w:r w:rsidRPr="00BE274F">
        <w:rPr>
          <w:i/>
          <w:iCs/>
        </w:rPr>
        <w:t>referenceSignalPower</w:t>
      </w:r>
      <w:proofErr w:type="spellEnd"/>
      <w:r w:rsidRPr="008D438F">
        <w:rPr>
          <w:i/>
          <w:iCs/>
        </w:rPr>
        <w:t xml:space="preserve"> – higher layer filtered RSRP</w:t>
      </w:r>
      <w:r w:rsidRPr="00130494">
        <w:rPr>
          <w:bCs/>
        </w:rPr>
        <w:t xml:space="preserve"> </w:t>
      </w:r>
      <w:r w:rsidR="00BA76CF">
        <w:rPr>
          <w:bCs/>
        </w:rPr>
        <w:t>in TS38.213</w:t>
      </w:r>
      <w:r w:rsidRPr="00130494">
        <w:rPr>
          <w:bCs/>
        </w:rPr>
        <w:t>)</w:t>
      </w:r>
    </w:p>
    <w:p w14:paraId="6DB97733" w14:textId="77777777" w:rsidR="007C5799" w:rsidRPr="007C5799" w:rsidRDefault="007C5799">
      <w:pPr>
        <w:rPr>
          <w:i/>
          <w:color w:val="0070C0"/>
          <w:lang w:val="en-US" w:eastAsia="zh-CN"/>
        </w:rPr>
      </w:pPr>
    </w:p>
    <w:p w14:paraId="26690F21" w14:textId="77777777" w:rsidR="00E03C92" w:rsidRDefault="00E03C92">
      <w:pPr>
        <w:rPr>
          <w:iCs/>
          <w:lang w:val="en-US" w:eastAsia="zh-CN"/>
        </w:rPr>
      </w:pPr>
    </w:p>
    <w:p w14:paraId="27761FCF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1-2 DCI based TCI state Switching delay requirements </w:t>
      </w:r>
    </w:p>
    <w:p w14:paraId="79AF123A" w14:textId="155D596D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1-2-1 Requirement applicability of DCI based UL TCI state switching delay</w:t>
      </w:r>
    </w:p>
    <w:p w14:paraId="077DD3F6" w14:textId="4DDA5F1D" w:rsidR="00410055" w:rsidRPr="004D1757" w:rsidRDefault="00410055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1B9F5E53" w14:textId="1FEC251A" w:rsidR="002D5368" w:rsidRPr="004D1757" w:rsidRDefault="002D5368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 w:rsidRPr="004D1757">
        <w:rPr>
          <w:rFonts w:eastAsiaTheme="minorEastAsia"/>
          <w:lang w:val="sv-SE" w:eastAsia="zh-CN"/>
        </w:rPr>
        <w:t>When target TCI state is known</w:t>
      </w:r>
    </w:p>
    <w:p w14:paraId="4158232C" w14:textId="682B368C" w:rsidR="002D5368" w:rsidRDefault="002D5368" w:rsidP="00635467">
      <w:pPr>
        <w:numPr>
          <w:ilvl w:val="1"/>
          <w:numId w:val="3"/>
        </w:numPr>
        <w:spacing w:afterLines="50" w:after="156"/>
      </w:pPr>
      <w:r>
        <w:rPr>
          <w:rFonts w:hint="eastAsia"/>
        </w:rPr>
        <w:t>When target TCI state</w:t>
      </w:r>
      <w:r w:rsidR="00422DDB">
        <w:t xml:space="preserve"> for DL or Joint TCI</w:t>
      </w:r>
      <w:r>
        <w:rPr>
          <w:rFonts w:hint="eastAsia"/>
        </w:rPr>
        <w:t xml:space="preserve"> is in active TCI state list</w:t>
      </w:r>
    </w:p>
    <w:p w14:paraId="49B76E88" w14:textId="151101D7" w:rsidR="006154B5" w:rsidRDefault="006154B5" w:rsidP="00635467">
      <w:pPr>
        <w:numPr>
          <w:ilvl w:val="1"/>
          <w:numId w:val="3"/>
        </w:numPr>
        <w:spacing w:afterLines="50" w:after="156"/>
      </w:pPr>
      <w:r>
        <w:t>PL-RS is maintained for UL or Joint TCI state switch</w:t>
      </w:r>
    </w:p>
    <w:p w14:paraId="53F3F439" w14:textId="393C61E5" w:rsidR="006154B5" w:rsidRPr="004D1757" w:rsidRDefault="006154B5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 w:rsidRPr="004D1757">
        <w:rPr>
          <w:rFonts w:eastAsia="Times New Roman"/>
        </w:rPr>
        <w:t>The status “PL-RS is maintained” should be further explained with conditions</w:t>
      </w:r>
      <w:r w:rsidR="00F12736">
        <w:rPr>
          <w:rFonts w:eastAsia="Times New Roman"/>
        </w:rPr>
        <w:br/>
        <w:t>(ex. number of samples, accuracy, ways of external indication of the maintenance etc)</w:t>
      </w:r>
    </w:p>
    <w:p w14:paraId="55B638C9" w14:textId="5C8469FA" w:rsidR="00294CA4" w:rsidRDefault="00294CA4" w:rsidP="004D1757">
      <w:pPr>
        <w:numPr>
          <w:ilvl w:val="1"/>
          <w:numId w:val="3"/>
        </w:numPr>
        <w:spacing w:afterLines="50" w:after="156"/>
        <w:rPr>
          <w:bCs/>
          <w:lang w:val="en-US" w:eastAsia="zh-CN"/>
        </w:rPr>
      </w:pPr>
      <w:r>
        <w:rPr>
          <w:bCs/>
          <w:lang w:val="en-US" w:eastAsia="zh-CN"/>
        </w:rPr>
        <w:t>FFS: A UE tracks time</w:t>
      </w:r>
      <w:r w:rsidR="00F12736">
        <w:rPr>
          <w:bCs/>
          <w:lang w:val="en-US" w:eastAsia="zh-CN"/>
        </w:rPr>
        <w:t xml:space="preserve"> and/or </w:t>
      </w:r>
      <w:r>
        <w:rPr>
          <w:bCs/>
          <w:lang w:val="en-US" w:eastAsia="zh-CN"/>
        </w:rPr>
        <w:t xml:space="preserve">frequency on DL-RS associated with </w:t>
      </w:r>
      <w:r w:rsidR="00F12736">
        <w:rPr>
          <w:bCs/>
          <w:lang w:val="en-US" w:eastAsia="zh-CN"/>
        </w:rPr>
        <w:t xml:space="preserve">active </w:t>
      </w:r>
      <w:r>
        <w:rPr>
          <w:bCs/>
          <w:lang w:val="en-US" w:eastAsia="zh-CN"/>
        </w:rPr>
        <w:t>UL TCI.</w:t>
      </w:r>
    </w:p>
    <w:p w14:paraId="492CC60A" w14:textId="77777777" w:rsidR="00294CA4" w:rsidRPr="004D1757" w:rsidRDefault="00294CA4">
      <w:pPr>
        <w:spacing w:after="120"/>
        <w:rPr>
          <w:rFonts w:eastAsiaTheme="minorEastAsia"/>
          <w:b/>
          <w:u w:val="single"/>
          <w:lang w:val="en-US" w:eastAsia="zh-CN"/>
        </w:rPr>
      </w:pPr>
    </w:p>
    <w:p w14:paraId="2AF8ACA2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1-3 Common TCI state switching in CA case</w:t>
      </w:r>
    </w:p>
    <w:p w14:paraId="21037FFF" w14:textId="4D7FBFF0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1-3-1 Known condition on shared RS in CA scenario</w:t>
      </w:r>
    </w:p>
    <w:p w14:paraId="38F34350" w14:textId="3909B059" w:rsidR="00BC5420" w:rsidRPr="004D1757" w:rsidRDefault="00BC5420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1E521582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Reuse the existing known condition. If the associated RS in common TCI state provides QCL-</w:t>
      </w:r>
      <w:proofErr w:type="spellStart"/>
      <w:r>
        <w:rPr>
          <w:rFonts w:eastAsiaTheme="minorEastAsia"/>
          <w:lang w:eastAsia="zh-CN"/>
        </w:rPr>
        <w:t>TypeD</w:t>
      </w:r>
      <w:proofErr w:type="spellEnd"/>
      <w:r>
        <w:rPr>
          <w:rFonts w:eastAsiaTheme="minorEastAsia"/>
          <w:lang w:eastAsia="zh-CN"/>
        </w:rPr>
        <w:t>, the known condition can only consider whether the associated RS in the reference CC is known or not.</w:t>
      </w:r>
    </w:p>
    <w:p w14:paraId="4E0FD4B9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FFS: the associated RS in common TCI state provides </w:t>
      </w:r>
      <w:r>
        <w:rPr>
          <w:iCs/>
          <w:lang w:eastAsia="zh-CN"/>
        </w:rPr>
        <w:t>QCL-Type C</w:t>
      </w:r>
    </w:p>
    <w:p w14:paraId="49516C20" w14:textId="77777777" w:rsidR="004D6223" w:rsidRDefault="004D6223">
      <w:pPr>
        <w:spacing w:after="120"/>
        <w:rPr>
          <w:rFonts w:eastAsiaTheme="minorEastAsia"/>
          <w:b/>
          <w:u w:val="single"/>
          <w:lang w:eastAsia="zh-CN"/>
        </w:rPr>
      </w:pPr>
    </w:p>
    <w:p w14:paraId="7E84A300" w14:textId="3B0BA8A4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lastRenderedPageBreak/>
        <w:t>Issue 1-3-2 Known condition on different RS in CA scenario</w:t>
      </w:r>
    </w:p>
    <w:p w14:paraId="416E45BD" w14:textId="7777777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1:</w:t>
      </w:r>
    </w:p>
    <w:p w14:paraId="3E763E8C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Reuse the existing known condition. If the source RS is configured per CC, then the known condition is per CC.</w:t>
      </w:r>
    </w:p>
    <w:p w14:paraId="594A675C" w14:textId="7777777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1a (MTK):</w:t>
      </w:r>
    </w:p>
    <w:p w14:paraId="166C20D9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For QCL-Type A/B/C/D, reuse the existing known condition. If the source RS is configured per CC, then the known condition is per CC.</w:t>
      </w:r>
    </w:p>
    <w:p w14:paraId="59D1E4EA" w14:textId="77777777" w:rsidR="009C1A5F" w:rsidRDefault="009C1A5F">
      <w:pPr>
        <w:spacing w:after="120"/>
        <w:rPr>
          <w:rFonts w:eastAsiaTheme="minorEastAsia"/>
          <w:b/>
          <w:u w:val="single"/>
          <w:lang w:eastAsia="zh-CN"/>
        </w:rPr>
      </w:pPr>
    </w:p>
    <w:p w14:paraId="63F28879" w14:textId="243425CB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1-3-3a Common TCI state switching delay requirement for shared RS </w:t>
      </w:r>
    </w:p>
    <w:p w14:paraId="7F9AAF8A" w14:textId="4BCD8458" w:rsidR="00BE1C16" w:rsidRPr="004D1757" w:rsidRDefault="00BE1C16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 w:rsidRPr="004D1757">
        <w:rPr>
          <w:rFonts w:eastAsiaTheme="minorEastAsia"/>
          <w:lang w:val="sv-SE" w:eastAsia="zh-CN"/>
        </w:rPr>
        <w:t>FFS:</w:t>
      </w:r>
    </w:p>
    <w:p w14:paraId="0A8FD4FE" w14:textId="5E9FFCCA" w:rsidR="00BE1C16" w:rsidRPr="004D1757" w:rsidRDefault="001B5D35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The delay requirement is defined per CC</w:t>
      </w:r>
      <w:r w:rsidR="00BE1C16" w:rsidRPr="004D1757">
        <w:t xml:space="preserve"> for the common TCI indicated by simultaneousU-TCI-UpdateList1/2/3/4-r17</w:t>
      </w:r>
    </w:p>
    <w:p w14:paraId="6A6A84FD" w14:textId="3AB1C2E6" w:rsidR="00E03C92" w:rsidRPr="004D1757" w:rsidRDefault="009F11B7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The delay requirement is defined for multiple CCs</w:t>
      </w:r>
      <w:r w:rsidR="000E78CC">
        <w:t xml:space="preserve"> </w:t>
      </w:r>
      <w:r w:rsidR="000E78CC">
        <w:rPr>
          <w:bCs/>
          <w:lang w:eastAsia="zh-CN"/>
        </w:rPr>
        <w:t>for the common TCI indicated by RefUnifiedTCIStateList-r17</w:t>
      </w:r>
    </w:p>
    <w:p w14:paraId="2845431F" w14:textId="77777777" w:rsidR="00E03C92" w:rsidRDefault="00E03C92">
      <w:pPr>
        <w:rPr>
          <w:lang w:eastAsia="zh-CN"/>
        </w:rPr>
      </w:pPr>
    </w:p>
    <w:p w14:paraId="042CC492" w14:textId="70AFE666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1-3-3b Whether Common TCI state switching based on DCI and/or MAC CE  </w:t>
      </w:r>
    </w:p>
    <w:p w14:paraId="2726C56D" w14:textId="63E655DA" w:rsidR="00A43950" w:rsidRPr="004D1757" w:rsidRDefault="00A43950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2A230EE0" w14:textId="72440888" w:rsidR="00E03C92" w:rsidRPr="004D1757" w:rsidRDefault="001B5D35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 w:rsidRPr="004D1757">
        <w:rPr>
          <w:rFonts w:eastAsiaTheme="minorEastAsia"/>
          <w:lang w:val="sv-SE" w:eastAsia="zh-CN"/>
        </w:rPr>
        <w:t>Common TCI state switch apply for both DCI and MAC CE based switch</w:t>
      </w:r>
    </w:p>
    <w:p w14:paraId="439F2272" w14:textId="77777777" w:rsidR="00E03C92" w:rsidRDefault="00E03C92">
      <w:pPr>
        <w:rPr>
          <w:lang w:eastAsia="zh-CN"/>
        </w:rPr>
      </w:pPr>
    </w:p>
    <w:p w14:paraId="4AF94F9F" w14:textId="1FA3499D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1-3-4 Common TCI state switching delay requirement for different RS </w:t>
      </w:r>
    </w:p>
    <w:p w14:paraId="564BC069" w14:textId="4DCF99D8" w:rsidR="00BD7C6C" w:rsidRPr="004D1757" w:rsidRDefault="00BD7C6C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1769545F" w14:textId="77777777" w:rsidR="00E03C92" w:rsidRPr="004D1757" w:rsidRDefault="001B5D35" w:rsidP="004D1757">
      <w:pPr>
        <w:numPr>
          <w:ilvl w:val="1"/>
          <w:numId w:val="3"/>
        </w:numPr>
        <w:spacing w:afterLines="50" w:after="156"/>
        <w:rPr>
          <w:lang w:val="sv-SE" w:eastAsia="zh-CN"/>
        </w:rPr>
      </w:pPr>
      <w:r w:rsidRPr="004D1757">
        <w:rPr>
          <w:lang w:val="sv-SE" w:eastAsia="zh-CN"/>
        </w:rPr>
        <w:t>If the source RS is configured per CC, the TCI state switch delay requirement for each CC follows the same requirements defined in single carrier case.</w:t>
      </w:r>
    </w:p>
    <w:p w14:paraId="4DEE1621" w14:textId="77777777" w:rsidR="00E03C92" w:rsidRDefault="00E03C92">
      <w:pPr>
        <w:rPr>
          <w:lang w:val="en-US" w:eastAsia="zh-CN"/>
        </w:rPr>
      </w:pPr>
    </w:p>
    <w:p w14:paraId="41D3C6D5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1-4 TCI state list update delay</w:t>
      </w:r>
    </w:p>
    <w:p w14:paraId="747FA0DC" w14:textId="77777777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1-4-1 Whether to consider unknown TCI state in the TCI state list </w:t>
      </w:r>
    </w:p>
    <w:p w14:paraId="5F4AFCB3" w14:textId="7777777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Option 1 (vivo, Nokia, Ericsson, ZTE): </w:t>
      </w:r>
    </w:p>
    <w:p w14:paraId="5ACD44B4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Yes</w:t>
      </w:r>
    </w:p>
    <w:p w14:paraId="1863BBEB" w14:textId="1B2FE3C4" w:rsidR="007F2E5A" w:rsidRDefault="007F2E5A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1a(Apple):</w:t>
      </w:r>
    </w:p>
    <w:p w14:paraId="1741A99A" w14:textId="7E0251CC" w:rsidR="007F2E5A" w:rsidRDefault="00CE1A8D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sv-SE" w:eastAsia="zh-CN"/>
        </w:rPr>
      </w:pPr>
      <w:r>
        <w:rPr>
          <w:bCs/>
          <w:lang w:eastAsia="ja-JP"/>
        </w:rPr>
        <w:t>L</w:t>
      </w:r>
      <w:r w:rsidR="007F2E5A">
        <w:rPr>
          <w:bCs/>
          <w:lang w:eastAsia="ja-JP"/>
        </w:rPr>
        <w:t>onger delay would apply if any of the TCI states are unknown</w:t>
      </w:r>
    </w:p>
    <w:p w14:paraId="0FD199E4" w14:textId="0EC0E026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2 (MTK, Intel, Huawei, Apple):</w:t>
      </w:r>
    </w:p>
    <w:p w14:paraId="770973E6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lastRenderedPageBreak/>
        <w:t>No</w:t>
      </w:r>
    </w:p>
    <w:p w14:paraId="75DEA6F9" w14:textId="77777777" w:rsidR="00E03C92" w:rsidRDefault="00E03C92">
      <w:pPr>
        <w:rPr>
          <w:lang w:val="sv-SE" w:eastAsia="zh-CN"/>
        </w:rPr>
      </w:pPr>
    </w:p>
    <w:p w14:paraId="79B88E52" w14:textId="77777777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1-4-2 MAC CE based TCI state list update delay for unknown TCI state</w:t>
      </w:r>
    </w:p>
    <w:p w14:paraId="3838E756" w14:textId="00A024D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 (Ericsson, Nokia</w:t>
      </w:r>
      <w:r w:rsidR="00C945F7">
        <w:rPr>
          <w:rFonts w:eastAsiaTheme="minorEastAsia"/>
          <w:lang w:val="sv-SE" w:eastAsia="zh-CN"/>
        </w:rPr>
        <w:t>, ZTE</w:t>
      </w:r>
      <w:r>
        <w:rPr>
          <w:rFonts w:eastAsiaTheme="minorEastAsia"/>
          <w:lang w:val="sv-SE" w:eastAsia="zh-CN"/>
        </w:rPr>
        <w:t>):</w:t>
      </w:r>
    </w:p>
    <w:p w14:paraId="7A0F9858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 w:eastAsia="zh-CN"/>
        </w:rPr>
      </w:pPr>
      <w:r>
        <w:rPr>
          <w:rFonts w:eastAsia="Malgun Gothic"/>
          <w:lang w:val="en-US" w:eastAsia="zh-CN"/>
        </w:rPr>
        <w:t>If all the TCIs in the active TCI state list are not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active TCI state list update at slot n</w:t>
      </w:r>
      <w:r>
        <w:rPr>
          <w:lang w:val="en-US" w:eastAsia="zh-CN"/>
        </w:rPr>
        <w:t xml:space="preserve">, UE shall be able to receive PDCCH to schedule PDSCH with the new target TCI states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n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r>
        <w:rPr>
          <w:color w:val="000000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 xml:space="preserve"> +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first-SSB_List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</w:t>
      </w:r>
      <w:r>
        <w:rPr>
          <w:lang w:val="en-US" w:eastAsia="zh-CN"/>
        </w:rPr>
        <w:t>.</w:t>
      </w:r>
    </w:p>
    <w:p w14:paraId="3D3025E5" w14:textId="683517F0" w:rsidR="00AE6841" w:rsidRDefault="00AE6841" w:rsidP="00AE6841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2:</w:t>
      </w:r>
    </w:p>
    <w:p w14:paraId="57E4523D" w14:textId="1D6F0AF9" w:rsidR="00AE6841" w:rsidRPr="004D1757" w:rsidRDefault="00AE6841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Malgun Gothic"/>
          <w:lang w:val="en-US" w:eastAsia="zh-CN"/>
        </w:rPr>
      </w:pPr>
      <w:r w:rsidRPr="004D1757">
        <w:rPr>
          <w:rFonts w:eastAsia="Malgun Gothic"/>
          <w:lang w:val="en-US" w:eastAsia="zh-CN"/>
        </w:rPr>
        <w:t>No requirement for unknown</w:t>
      </w:r>
      <w:r w:rsidR="001445A4" w:rsidRPr="004D1757">
        <w:rPr>
          <w:rFonts w:eastAsia="Malgun Gothic"/>
          <w:lang w:val="en-US" w:eastAsia="zh-CN"/>
        </w:rPr>
        <w:t xml:space="preserve"> TCI state update in the TCI state list</w:t>
      </w:r>
    </w:p>
    <w:p w14:paraId="0BCBBAF0" w14:textId="77777777" w:rsidR="00AE6841" w:rsidRDefault="00AE6841">
      <w:pPr>
        <w:rPr>
          <w:rFonts w:eastAsiaTheme="minorEastAsia"/>
          <w:i/>
          <w:color w:val="0070C0"/>
          <w:lang w:val="en-US" w:eastAsia="zh-CN"/>
        </w:rPr>
      </w:pPr>
    </w:p>
    <w:p w14:paraId="44363E97" w14:textId="57535689" w:rsidR="00E03C92" w:rsidRDefault="001B5D35">
      <w:pPr>
        <w:spacing w:after="120"/>
        <w:rPr>
          <w:rFonts w:eastAsiaTheme="minorEastAsia"/>
          <w:b/>
          <w:u w:val="single"/>
          <w:lang w:val="sv-SE"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1-4-3 </w:t>
      </w:r>
      <w:r>
        <w:rPr>
          <w:rFonts w:eastAsiaTheme="minorEastAsia"/>
          <w:b/>
          <w:u w:val="single"/>
          <w:lang w:val="sv-SE" w:eastAsia="zh-CN"/>
        </w:rPr>
        <w:t>MAC CE based UL TCI state list update delay</w:t>
      </w:r>
    </w:p>
    <w:p w14:paraId="32B62DCA" w14:textId="27617E61" w:rsidR="00BD7C6C" w:rsidRPr="004D1757" w:rsidRDefault="00BD7C6C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2E17ACD4" w14:textId="3F601E43" w:rsidR="00C20539" w:rsidRPr="004D1757" w:rsidRDefault="00C20539" w:rsidP="004D1757">
      <w:pPr>
        <w:numPr>
          <w:ilvl w:val="1"/>
          <w:numId w:val="3"/>
        </w:numPr>
        <w:spacing w:afterLines="50" w:after="156"/>
        <w:rPr>
          <w:lang w:val="en-US" w:eastAsia="zh-CN"/>
        </w:rPr>
      </w:pPr>
      <w:r w:rsidRPr="004D1757">
        <w:rPr>
          <w:lang w:val="en-US" w:eastAsia="zh-CN"/>
        </w:rPr>
        <w:t xml:space="preserve">Time ready/able for PUSCH, PUCCH or SRS transmission with new TCI state in the updated TCI list  </w:t>
      </w:r>
    </w:p>
    <w:p w14:paraId="5D4E0D84" w14:textId="77777777" w:rsidR="00C20539" w:rsidRPr="004D1757" w:rsidRDefault="00C20539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Malgun Gothic"/>
          <w:lang w:val="en-US" w:eastAsia="zh-CN"/>
        </w:rPr>
      </w:pPr>
      <w:r w:rsidRPr="004D1757">
        <w:rPr>
          <w:rFonts w:eastAsia="Malgun Gothic"/>
          <w:lang w:val="en-US" w:eastAsia="zh-CN"/>
        </w:rPr>
        <w:t>Note: If multiple TCI states/codepoints in the TCI list, then indication through DL channel required to indicate the TCI state for uplink transmission (no need to be captured into specification)</w:t>
      </w:r>
    </w:p>
    <w:p w14:paraId="54ABA20E" w14:textId="77777777" w:rsidR="00C20539" w:rsidRPr="004D1757" w:rsidRDefault="00C20539">
      <w:pPr>
        <w:spacing w:after="120"/>
        <w:rPr>
          <w:rFonts w:eastAsiaTheme="minorEastAsia"/>
          <w:b/>
          <w:u w:val="single"/>
          <w:lang w:val="en-US" w:eastAsia="zh-CN"/>
        </w:rPr>
      </w:pPr>
    </w:p>
    <w:p w14:paraId="05D009DA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1-6 Clarification on the applicable TCI after DCI BWP switching</w:t>
      </w:r>
    </w:p>
    <w:p w14:paraId="1916980F" w14:textId="1ADFEE19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1-6-1 Clarification on the applicable </w:t>
      </w:r>
      <w:r w:rsidR="00F8147C">
        <w:rPr>
          <w:rFonts w:eastAsiaTheme="minorEastAsia"/>
          <w:b/>
          <w:u w:val="single"/>
          <w:lang w:eastAsia="zh-CN"/>
        </w:rPr>
        <w:t xml:space="preserve">unified </w:t>
      </w:r>
      <w:r>
        <w:rPr>
          <w:rFonts w:eastAsiaTheme="minorEastAsia"/>
          <w:b/>
          <w:u w:val="single"/>
          <w:lang w:eastAsia="zh-CN"/>
        </w:rPr>
        <w:t>TCI after DCI BWP switching</w:t>
      </w:r>
    </w:p>
    <w:p w14:paraId="1BF8EB1A" w14:textId="398A117A" w:rsidR="00F91863" w:rsidRPr="004D1757" w:rsidRDefault="00BD2070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Further check the wording in the following proposal</w:t>
      </w:r>
      <w:r w:rsidR="00F8147C">
        <w:rPr>
          <w:rFonts w:eastAsiaTheme="minorEastAsia"/>
          <w:lang w:val="sv-SE" w:eastAsia="zh-CN"/>
        </w:rPr>
        <w:t xml:space="preserve"> for clause 8.6.2 and 8.6.3 of TS 38.133</w:t>
      </w:r>
    </w:p>
    <w:p w14:paraId="7422EDDD" w14:textId="77777777" w:rsidR="00E03C92" w:rsidRPr="002357CB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t xml:space="preserve">Provided the UE does not have the required </w:t>
      </w:r>
      <w:r w:rsidRPr="004D1757">
        <w:rPr>
          <w:rFonts w:eastAsia="Yu Mincho"/>
        </w:rPr>
        <w:t>activated TCI-state(s) information to receive PDCCH/ PDSCH and to transmit PUSCH/PUCCH/SRS</w:t>
      </w:r>
      <w:r w:rsidRPr="002357CB">
        <w:rPr>
          <w:rFonts w:eastAsia="Yu Mincho"/>
        </w:rPr>
        <w:t xml:space="preserve"> in the new BWP, the UE shall use old TCI-state</w:t>
      </w:r>
      <w:r w:rsidRPr="004D1757">
        <w:rPr>
          <w:rFonts w:eastAsia="Yu Mincho"/>
        </w:rPr>
        <w:t>(s)</w:t>
      </w:r>
      <w:r w:rsidRPr="002357CB">
        <w:rPr>
          <w:rFonts w:eastAsia="Yu Mincho"/>
        </w:rPr>
        <w:t xml:space="preserve"> before the BWP switch until a new MAC CE updating the required activated TCI-state</w:t>
      </w:r>
      <w:r w:rsidRPr="004D1757">
        <w:rPr>
          <w:rFonts w:eastAsia="Yu Mincho"/>
        </w:rPr>
        <w:t>(s)</w:t>
      </w:r>
      <w:r w:rsidRPr="002357CB">
        <w:rPr>
          <w:rFonts w:eastAsia="Yu Mincho"/>
        </w:rPr>
        <w:t xml:space="preserve"> information is received after the BWP switch. </w:t>
      </w:r>
      <w:r w:rsidRPr="004D1757">
        <w:rPr>
          <w:rFonts w:eastAsia="Yu Mincho"/>
        </w:rPr>
        <w:t xml:space="preserve">If more than one codepoints of TCI states are activated by MAC CE in the old BWP, the UE shall use old TCI-state before the BWP switch until a new DCI updating the required TCI-state information is received after the BWP switch, while the new DCI is </w:t>
      </w:r>
    </w:p>
    <w:p w14:paraId="7B0C3E87" w14:textId="77777777" w:rsidR="00E03C92" w:rsidRPr="004D1757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based on the old list of TCI state codepoints before the delay for the MAC CE based activation of TCI-state(s) in the new BWP, and</w:t>
      </w:r>
    </w:p>
    <w:p w14:paraId="1FC7BC01" w14:textId="77777777" w:rsidR="00E03C92" w:rsidRPr="004D1757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based on the new list of TCI state codepoints after the delay for the MAC CE based activation of TCI-states in the new BWP.</w:t>
      </w:r>
    </w:p>
    <w:p w14:paraId="4C8428B0" w14:textId="77777777" w:rsidR="00E03C92" w:rsidRPr="002357CB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t xml:space="preserve">If UE has the information on the required TCI-state information </w:t>
      </w:r>
      <w:r w:rsidRPr="004D1757">
        <w:t>to receive PDCCH/PDSCH and to transmit PUSCH/PUCCH/SRS</w:t>
      </w:r>
      <w:r w:rsidRPr="002357CB">
        <w:t xml:space="preserve"> in the new BWP, </w:t>
      </w:r>
    </w:p>
    <w:p w14:paraId="0519B5DE" w14:textId="77777777" w:rsidR="00E03C92" w:rsidRPr="002357CB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t xml:space="preserve">UE shall be able </w:t>
      </w:r>
      <w:r w:rsidRPr="004D1757">
        <w:t>to receive PDCCH/PDSCH and to transmit PUSCH/PUCCH/SRS</w:t>
      </w:r>
      <w:r w:rsidRPr="002357CB">
        <w:t xml:space="preserve"> with old TCI-state before the delay as specified in </w:t>
      </w:r>
      <w:r w:rsidRPr="004D1757">
        <w:t>Clause 8.15 and 8.16</w:t>
      </w:r>
      <w:r w:rsidRPr="002357CB">
        <w:t xml:space="preserve"> in the new BWP.</w:t>
      </w:r>
    </w:p>
    <w:p w14:paraId="4662B587" w14:textId="77777777" w:rsidR="00E03C92" w:rsidRPr="002357CB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lastRenderedPageBreak/>
        <w:t xml:space="preserve">UE shall be able </w:t>
      </w:r>
      <w:r w:rsidRPr="004D1757">
        <w:t>to receive PDCCH/PDSCH and to transmit PUSCH/PUCCH/SRS</w:t>
      </w:r>
      <w:r w:rsidRPr="002357CB">
        <w:t xml:space="preserve"> with new TCI-state after the delay as specified in </w:t>
      </w:r>
      <w:r w:rsidRPr="004D1757">
        <w:t>Clause 8.15 and 8.16</w:t>
      </w:r>
      <w:r w:rsidRPr="002357CB">
        <w:t xml:space="preserve"> in the new BWP.</w:t>
      </w:r>
    </w:p>
    <w:p w14:paraId="29C3CB3D" w14:textId="77777777" w:rsidR="00E03C92" w:rsidRDefault="00E03C92">
      <w:pPr>
        <w:spacing w:after="120"/>
        <w:rPr>
          <w:rFonts w:eastAsiaTheme="minorEastAsia"/>
          <w:lang w:val="en-US" w:eastAsia="zh-CN"/>
        </w:rPr>
      </w:pPr>
    </w:p>
    <w:sectPr w:rsidR="00E03C9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85F4E" w14:textId="77777777" w:rsidR="00E16392" w:rsidRDefault="00E16392" w:rsidP="00C27778">
      <w:pPr>
        <w:spacing w:after="0" w:line="240" w:lineRule="auto"/>
      </w:pPr>
      <w:r>
        <w:separator/>
      </w:r>
    </w:p>
  </w:endnote>
  <w:endnote w:type="continuationSeparator" w:id="0">
    <w:p w14:paraId="73558F8A" w14:textId="77777777" w:rsidR="00E16392" w:rsidRDefault="00E16392" w:rsidP="00C2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B23F" w14:textId="77777777" w:rsidR="00E16392" w:rsidRDefault="00E16392" w:rsidP="00C27778">
      <w:pPr>
        <w:spacing w:after="0" w:line="240" w:lineRule="auto"/>
      </w:pPr>
      <w:r>
        <w:separator/>
      </w:r>
    </w:p>
  </w:footnote>
  <w:footnote w:type="continuationSeparator" w:id="0">
    <w:p w14:paraId="137A6092" w14:textId="77777777" w:rsidR="00E16392" w:rsidRDefault="00E16392" w:rsidP="00C27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5F6"/>
    <w:multiLevelType w:val="multilevel"/>
    <w:tmpl w:val="470E56BC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2">
      <w:start w:val="129"/>
      <w:numFmt w:val="bullet"/>
      <w:lvlText w:val="-"/>
      <w:lvlJc w:val="left"/>
      <w:pPr>
        <w:ind w:left="810" w:hanging="36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057E6DD3"/>
    <w:multiLevelType w:val="hybridMultilevel"/>
    <w:tmpl w:val="F9888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06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" w15:restartNumberingAfterBreak="0">
    <w:nsid w:val="670A2AD1"/>
    <w:multiLevelType w:val="hybridMultilevel"/>
    <w:tmpl w:val="A2644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66FC4D78"/>
    <w:lvl w:ilvl="0" w:tplc="14E0377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BB26800"/>
    <w:multiLevelType w:val="multilevel"/>
    <w:tmpl w:val="30AEE20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117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0D8A"/>
    <w:rsid w:val="00001C14"/>
    <w:rsid w:val="0000289E"/>
    <w:rsid w:val="000140ED"/>
    <w:rsid w:val="00015846"/>
    <w:rsid w:val="00016002"/>
    <w:rsid w:val="0002166D"/>
    <w:rsid w:val="00025A91"/>
    <w:rsid w:val="00026433"/>
    <w:rsid w:val="00027A4F"/>
    <w:rsid w:val="00030FDC"/>
    <w:rsid w:val="000312E5"/>
    <w:rsid w:val="000323D2"/>
    <w:rsid w:val="000340A2"/>
    <w:rsid w:val="00035456"/>
    <w:rsid w:val="00037860"/>
    <w:rsid w:val="00037C3C"/>
    <w:rsid w:val="00044820"/>
    <w:rsid w:val="00044D7E"/>
    <w:rsid w:val="000537B6"/>
    <w:rsid w:val="0005428F"/>
    <w:rsid w:val="00056904"/>
    <w:rsid w:val="000576CA"/>
    <w:rsid w:val="00064288"/>
    <w:rsid w:val="000644BD"/>
    <w:rsid w:val="0007001C"/>
    <w:rsid w:val="00070DB3"/>
    <w:rsid w:val="00072635"/>
    <w:rsid w:val="000755E2"/>
    <w:rsid w:val="00076546"/>
    <w:rsid w:val="000804EA"/>
    <w:rsid w:val="00080CCD"/>
    <w:rsid w:val="00082208"/>
    <w:rsid w:val="00083482"/>
    <w:rsid w:val="00085833"/>
    <w:rsid w:val="000900BE"/>
    <w:rsid w:val="000909CC"/>
    <w:rsid w:val="000933D9"/>
    <w:rsid w:val="000978A3"/>
    <w:rsid w:val="000A1765"/>
    <w:rsid w:val="000A198B"/>
    <w:rsid w:val="000A51E9"/>
    <w:rsid w:val="000A5BEC"/>
    <w:rsid w:val="000A6A44"/>
    <w:rsid w:val="000A6D22"/>
    <w:rsid w:val="000B0A76"/>
    <w:rsid w:val="000C02EC"/>
    <w:rsid w:val="000C2C70"/>
    <w:rsid w:val="000C31A8"/>
    <w:rsid w:val="000C4689"/>
    <w:rsid w:val="000C6886"/>
    <w:rsid w:val="000C6F5E"/>
    <w:rsid w:val="000C6FCC"/>
    <w:rsid w:val="000D1488"/>
    <w:rsid w:val="000D1A1D"/>
    <w:rsid w:val="000D1DE7"/>
    <w:rsid w:val="000D5174"/>
    <w:rsid w:val="000D60FE"/>
    <w:rsid w:val="000E5184"/>
    <w:rsid w:val="000E5EC1"/>
    <w:rsid w:val="000E6A39"/>
    <w:rsid w:val="000E78CC"/>
    <w:rsid w:val="000F07B3"/>
    <w:rsid w:val="000F0F83"/>
    <w:rsid w:val="000F352B"/>
    <w:rsid w:val="00101DD8"/>
    <w:rsid w:val="00102F22"/>
    <w:rsid w:val="0011258D"/>
    <w:rsid w:val="00114006"/>
    <w:rsid w:val="001141D5"/>
    <w:rsid w:val="0011632C"/>
    <w:rsid w:val="00120B5C"/>
    <w:rsid w:val="001212E0"/>
    <w:rsid w:val="00122F38"/>
    <w:rsid w:val="00125886"/>
    <w:rsid w:val="0012766E"/>
    <w:rsid w:val="00130494"/>
    <w:rsid w:val="001305FE"/>
    <w:rsid w:val="00132890"/>
    <w:rsid w:val="00133559"/>
    <w:rsid w:val="001345F4"/>
    <w:rsid w:val="0013629C"/>
    <w:rsid w:val="00136D5E"/>
    <w:rsid w:val="00143059"/>
    <w:rsid w:val="0014367D"/>
    <w:rsid w:val="001436BF"/>
    <w:rsid w:val="0014371E"/>
    <w:rsid w:val="001445A4"/>
    <w:rsid w:val="00144DBF"/>
    <w:rsid w:val="00145F1A"/>
    <w:rsid w:val="00146F3D"/>
    <w:rsid w:val="0015066B"/>
    <w:rsid w:val="00150BD2"/>
    <w:rsid w:val="0016011F"/>
    <w:rsid w:val="00160E4E"/>
    <w:rsid w:val="00161A34"/>
    <w:rsid w:val="00171301"/>
    <w:rsid w:val="0017456D"/>
    <w:rsid w:val="00175416"/>
    <w:rsid w:val="00180E92"/>
    <w:rsid w:val="001830A8"/>
    <w:rsid w:val="0019013B"/>
    <w:rsid w:val="0019140E"/>
    <w:rsid w:val="001923B6"/>
    <w:rsid w:val="001A29BD"/>
    <w:rsid w:val="001A29CB"/>
    <w:rsid w:val="001A7DF8"/>
    <w:rsid w:val="001B44BB"/>
    <w:rsid w:val="001B5D35"/>
    <w:rsid w:val="001B70DB"/>
    <w:rsid w:val="001C2F93"/>
    <w:rsid w:val="001D5E6B"/>
    <w:rsid w:val="001D6180"/>
    <w:rsid w:val="001D732B"/>
    <w:rsid w:val="001E046B"/>
    <w:rsid w:val="001E31A1"/>
    <w:rsid w:val="001E4B26"/>
    <w:rsid w:val="001E60BF"/>
    <w:rsid w:val="001F4690"/>
    <w:rsid w:val="001F5664"/>
    <w:rsid w:val="001F6BF1"/>
    <w:rsid w:val="001F6CA7"/>
    <w:rsid w:val="00200BDA"/>
    <w:rsid w:val="002019A3"/>
    <w:rsid w:val="002021A6"/>
    <w:rsid w:val="002023A0"/>
    <w:rsid w:val="00203A42"/>
    <w:rsid w:val="002068BF"/>
    <w:rsid w:val="00207530"/>
    <w:rsid w:val="00207B34"/>
    <w:rsid w:val="00213626"/>
    <w:rsid w:val="00215441"/>
    <w:rsid w:val="00217166"/>
    <w:rsid w:val="002201AB"/>
    <w:rsid w:val="00223D9F"/>
    <w:rsid w:val="0023516E"/>
    <w:rsid w:val="002357CB"/>
    <w:rsid w:val="00235DD8"/>
    <w:rsid w:val="00235FF1"/>
    <w:rsid w:val="002361AB"/>
    <w:rsid w:val="00237B5C"/>
    <w:rsid w:val="00240C6E"/>
    <w:rsid w:val="002439D8"/>
    <w:rsid w:val="002442FE"/>
    <w:rsid w:val="00245A12"/>
    <w:rsid w:val="00246CA7"/>
    <w:rsid w:val="00247257"/>
    <w:rsid w:val="002526E2"/>
    <w:rsid w:val="00252D42"/>
    <w:rsid w:val="00255204"/>
    <w:rsid w:val="00255EC2"/>
    <w:rsid w:val="00263FE2"/>
    <w:rsid w:val="00265A20"/>
    <w:rsid w:val="00266371"/>
    <w:rsid w:val="00267CC5"/>
    <w:rsid w:val="00274DDE"/>
    <w:rsid w:val="00281082"/>
    <w:rsid w:val="002839E0"/>
    <w:rsid w:val="00285D4A"/>
    <w:rsid w:val="00287471"/>
    <w:rsid w:val="00290B5F"/>
    <w:rsid w:val="0029100B"/>
    <w:rsid w:val="00291858"/>
    <w:rsid w:val="00294218"/>
    <w:rsid w:val="00294CA4"/>
    <w:rsid w:val="00294D62"/>
    <w:rsid w:val="0029703B"/>
    <w:rsid w:val="002A76CB"/>
    <w:rsid w:val="002B268F"/>
    <w:rsid w:val="002B6312"/>
    <w:rsid w:val="002B72F1"/>
    <w:rsid w:val="002C18A9"/>
    <w:rsid w:val="002C41C9"/>
    <w:rsid w:val="002C5137"/>
    <w:rsid w:val="002C6D9F"/>
    <w:rsid w:val="002C7307"/>
    <w:rsid w:val="002C76A0"/>
    <w:rsid w:val="002D5368"/>
    <w:rsid w:val="002D604A"/>
    <w:rsid w:val="002D671E"/>
    <w:rsid w:val="002E3267"/>
    <w:rsid w:val="002E7C0A"/>
    <w:rsid w:val="002F69B8"/>
    <w:rsid w:val="00307B04"/>
    <w:rsid w:val="00310883"/>
    <w:rsid w:val="003135A5"/>
    <w:rsid w:val="00313CA1"/>
    <w:rsid w:val="00316497"/>
    <w:rsid w:val="00322FDF"/>
    <w:rsid w:val="00324D3E"/>
    <w:rsid w:val="00330068"/>
    <w:rsid w:val="0033115A"/>
    <w:rsid w:val="003311FB"/>
    <w:rsid w:val="00332A01"/>
    <w:rsid w:val="00337E5C"/>
    <w:rsid w:val="00346610"/>
    <w:rsid w:val="00352D5E"/>
    <w:rsid w:val="00356561"/>
    <w:rsid w:val="00356E1C"/>
    <w:rsid w:val="00356FEB"/>
    <w:rsid w:val="0036120F"/>
    <w:rsid w:val="003615F7"/>
    <w:rsid w:val="00364D8F"/>
    <w:rsid w:val="003661D3"/>
    <w:rsid w:val="00373183"/>
    <w:rsid w:val="003740B6"/>
    <w:rsid w:val="00374EDF"/>
    <w:rsid w:val="00382178"/>
    <w:rsid w:val="00385937"/>
    <w:rsid w:val="0039480F"/>
    <w:rsid w:val="0039621D"/>
    <w:rsid w:val="003A1804"/>
    <w:rsid w:val="003A666A"/>
    <w:rsid w:val="003A6E13"/>
    <w:rsid w:val="003B0A23"/>
    <w:rsid w:val="003B3793"/>
    <w:rsid w:val="003D16BA"/>
    <w:rsid w:val="003D27CC"/>
    <w:rsid w:val="003D6B19"/>
    <w:rsid w:val="003D7AE8"/>
    <w:rsid w:val="003E158C"/>
    <w:rsid w:val="003E15BB"/>
    <w:rsid w:val="003E3358"/>
    <w:rsid w:val="003E6C06"/>
    <w:rsid w:val="003E7790"/>
    <w:rsid w:val="003F524C"/>
    <w:rsid w:val="003F60D6"/>
    <w:rsid w:val="003F6382"/>
    <w:rsid w:val="00400C36"/>
    <w:rsid w:val="004064BF"/>
    <w:rsid w:val="00406AC9"/>
    <w:rsid w:val="00410055"/>
    <w:rsid w:val="00412899"/>
    <w:rsid w:val="004139AA"/>
    <w:rsid w:val="00422DDB"/>
    <w:rsid w:val="00422E34"/>
    <w:rsid w:val="004242E9"/>
    <w:rsid w:val="004258E4"/>
    <w:rsid w:val="004274A7"/>
    <w:rsid w:val="00430D4A"/>
    <w:rsid w:val="0043100D"/>
    <w:rsid w:val="00433535"/>
    <w:rsid w:val="00435A8B"/>
    <w:rsid w:val="00437BDE"/>
    <w:rsid w:val="004407B1"/>
    <w:rsid w:val="00441894"/>
    <w:rsid w:val="00441FC1"/>
    <w:rsid w:val="004424D8"/>
    <w:rsid w:val="00446555"/>
    <w:rsid w:val="00446EC6"/>
    <w:rsid w:val="004507A8"/>
    <w:rsid w:val="004515E9"/>
    <w:rsid w:val="0045245F"/>
    <w:rsid w:val="0045387C"/>
    <w:rsid w:val="004555CC"/>
    <w:rsid w:val="004607FA"/>
    <w:rsid w:val="0046387C"/>
    <w:rsid w:val="00467F4D"/>
    <w:rsid w:val="00473BD0"/>
    <w:rsid w:val="004745F6"/>
    <w:rsid w:val="00476A29"/>
    <w:rsid w:val="00480007"/>
    <w:rsid w:val="00482280"/>
    <w:rsid w:val="004827FD"/>
    <w:rsid w:val="0048298D"/>
    <w:rsid w:val="00486E1F"/>
    <w:rsid w:val="00490E06"/>
    <w:rsid w:val="00490E3D"/>
    <w:rsid w:val="004940B9"/>
    <w:rsid w:val="004961C4"/>
    <w:rsid w:val="00496386"/>
    <w:rsid w:val="00496D7A"/>
    <w:rsid w:val="0049790A"/>
    <w:rsid w:val="00497A36"/>
    <w:rsid w:val="004B05EF"/>
    <w:rsid w:val="004B2A87"/>
    <w:rsid w:val="004B30DB"/>
    <w:rsid w:val="004B3A2B"/>
    <w:rsid w:val="004B55E2"/>
    <w:rsid w:val="004B6D26"/>
    <w:rsid w:val="004C1991"/>
    <w:rsid w:val="004D11C7"/>
    <w:rsid w:val="004D1757"/>
    <w:rsid w:val="004D4D3F"/>
    <w:rsid w:val="004D5C24"/>
    <w:rsid w:val="004D6197"/>
    <w:rsid w:val="004D6223"/>
    <w:rsid w:val="004D7236"/>
    <w:rsid w:val="004E03FE"/>
    <w:rsid w:val="004E2D29"/>
    <w:rsid w:val="004E4574"/>
    <w:rsid w:val="004E66E3"/>
    <w:rsid w:val="004E7AEC"/>
    <w:rsid w:val="004F1054"/>
    <w:rsid w:val="004F194C"/>
    <w:rsid w:val="004F2F6F"/>
    <w:rsid w:val="004F3BD1"/>
    <w:rsid w:val="004F6EFD"/>
    <w:rsid w:val="005019AC"/>
    <w:rsid w:val="00504156"/>
    <w:rsid w:val="005042D1"/>
    <w:rsid w:val="0050793E"/>
    <w:rsid w:val="005166B4"/>
    <w:rsid w:val="0051792B"/>
    <w:rsid w:val="005252E4"/>
    <w:rsid w:val="00527B60"/>
    <w:rsid w:val="005306C7"/>
    <w:rsid w:val="005306DA"/>
    <w:rsid w:val="00533B52"/>
    <w:rsid w:val="00533DF2"/>
    <w:rsid w:val="00534334"/>
    <w:rsid w:val="00540B81"/>
    <w:rsid w:val="00544171"/>
    <w:rsid w:val="0054509B"/>
    <w:rsid w:val="005475F2"/>
    <w:rsid w:val="005527CD"/>
    <w:rsid w:val="0055349A"/>
    <w:rsid w:val="00562F0C"/>
    <w:rsid w:val="0056381C"/>
    <w:rsid w:val="005662C3"/>
    <w:rsid w:val="00573494"/>
    <w:rsid w:val="00574E4F"/>
    <w:rsid w:val="00575A77"/>
    <w:rsid w:val="005805E7"/>
    <w:rsid w:val="00582132"/>
    <w:rsid w:val="00582818"/>
    <w:rsid w:val="005874D2"/>
    <w:rsid w:val="00587543"/>
    <w:rsid w:val="00596FEA"/>
    <w:rsid w:val="005A46DD"/>
    <w:rsid w:val="005A5E1E"/>
    <w:rsid w:val="005B3787"/>
    <w:rsid w:val="005B47E7"/>
    <w:rsid w:val="005B691D"/>
    <w:rsid w:val="005C132D"/>
    <w:rsid w:val="005C1AF9"/>
    <w:rsid w:val="005C2D5B"/>
    <w:rsid w:val="005C4A06"/>
    <w:rsid w:val="005D0A6F"/>
    <w:rsid w:val="005D3121"/>
    <w:rsid w:val="005D3565"/>
    <w:rsid w:val="005D4E99"/>
    <w:rsid w:val="005D5AAA"/>
    <w:rsid w:val="005D7B67"/>
    <w:rsid w:val="005D7DE5"/>
    <w:rsid w:val="005E07E3"/>
    <w:rsid w:val="005E4598"/>
    <w:rsid w:val="005E5FEB"/>
    <w:rsid w:val="005E67AF"/>
    <w:rsid w:val="005E75C5"/>
    <w:rsid w:val="005F6826"/>
    <w:rsid w:val="00600FA1"/>
    <w:rsid w:val="006010E4"/>
    <w:rsid w:val="00601203"/>
    <w:rsid w:val="00603685"/>
    <w:rsid w:val="00604652"/>
    <w:rsid w:val="006050C8"/>
    <w:rsid w:val="00605388"/>
    <w:rsid w:val="00605D73"/>
    <w:rsid w:val="00606048"/>
    <w:rsid w:val="0061125A"/>
    <w:rsid w:val="00612155"/>
    <w:rsid w:val="00612C6D"/>
    <w:rsid w:val="0061531A"/>
    <w:rsid w:val="006154B5"/>
    <w:rsid w:val="006157B9"/>
    <w:rsid w:val="006213E9"/>
    <w:rsid w:val="00622754"/>
    <w:rsid w:val="00624EA2"/>
    <w:rsid w:val="00635467"/>
    <w:rsid w:val="00636310"/>
    <w:rsid w:val="00641EEC"/>
    <w:rsid w:val="0064651F"/>
    <w:rsid w:val="00647FE6"/>
    <w:rsid w:val="00651E29"/>
    <w:rsid w:val="00652C62"/>
    <w:rsid w:val="006539F9"/>
    <w:rsid w:val="00666F6F"/>
    <w:rsid w:val="0067413B"/>
    <w:rsid w:val="00676268"/>
    <w:rsid w:val="006816C8"/>
    <w:rsid w:val="00683EF5"/>
    <w:rsid w:val="00685DBC"/>
    <w:rsid w:val="00686A43"/>
    <w:rsid w:val="00687AD3"/>
    <w:rsid w:val="00687D40"/>
    <w:rsid w:val="00690B7B"/>
    <w:rsid w:val="0069137F"/>
    <w:rsid w:val="006953FF"/>
    <w:rsid w:val="006A0D5C"/>
    <w:rsid w:val="006A1F5A"/>
    <w:rsid w:val="006B29FD"/>
    <w:rsid w:val="006B3DEC"/>
    <w:rsid w:val="006C109B"/>
    <w:rsid w:val="006C1D4B"/>
    <w:rsid w:val="006C4AE4"/>
    <w:rsid w:val="006C4FD7"/>
    <w:rsid w:val="006D2BBB"/>
    <w:rsid w:val="006D33AA"/>
    <w:rsid w:val="006D7841"/>
    <w:rsid w:val="006E07C4"/>
    <w:rsid w:val="006E4375"/>
    <w:rsid w:val="006E5261"/>
    <w:rsid w:val="006F10B3"/>
    <w:rsid w:val="006F30FB"/>
    <w:rsid w:val="006F4B53"/>
    <w:rsid w:val="006F75F1"/>
    <w:rsid w:val="007022C6"/>
    <w:rsid w:val="00704FC2"/>
    <w:rsid w:val="00705BDF"/>
    <w:rsid w:val="0071197C"/>
    <w:rsid w:val="00712F55"/>
    <w:rsid w:val="00715657"/>
    <w:rsid w:val="007178A4"/>
    <w:rsid w:val="00721CFA"/>
    <w:rsid w:val="00722E4D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54BE"/>
    <w:rsid w:val="00745896"/>
    <w:rsid w:val="00750C39"/>
    <w:rsid w:val="00752057"/>
    <w:rsid w:val="007524EF"/>
    <w:rsid w:val="00752EA9"/>
    <w:rsid w:val="007610BA"/>
    <w:rsid w:val="007625D6"/>
    <w:rsid w:val="00763687"/>
    <w:rsid w:val="00765170"/>
    <w:rsid w:val="00766355"/>
    <w:rsid w:val="007700DC"/>
    <w:rsid w:val="0077166F"/>
    <w:rsid w:val="00774DF1"/>
    <w:rsid w:val="00774DF8"/>
    <w:rsid w:val="00777CB3"/>
    <w:rsid w:val="007817A3"/>
    <w:rsid w:val="00783BCB"/>
    <w:rsid w:val="00787DC4"/>
    <w:rsid w:val="007922C0"/>
    <w:rsid w:val="00794746"/>
    <w:rsid w:val="00795622"/>
    <w:rsid w:val="007A1AF9"/>
    <w:rsid w:val="007A370E"/>
    <w:rsid w:val="007B00A7"/>
    <w:rsid w:val="007C0565"/>
    <w:rsid w:val="007C15F0"/>
    <w:rsid w:val="007C2B41"/>
    <w:rsid w:val="007C2DA2"/>
    <w:rsid w:val="007C432E"/>
    <w:rsid w:val="007C5799"/>
    <w:rsid w:val="007C65D5"/>
    <w:rsid w:val="007C78E0"/>
    <w:rsid w:val="007C7F1C"/>
    <w:rsid w:val="007D0973"/>
    <w:rsid w:val="007D11A7"/>
    <w:rsid w:val="007E6CE5"/>
    <w:rsid w:val="007F2E5A"/>
    <w:rsid w:val="007F6ABA"/>
    <w:rsid w:val="00801C5C"/>
    <w:rsid w:val="008051F5"/>
    <w:rsid w:val="00805402"/>
    <w:rsid w:val="0081328C"/>
    <w:rsid w:val="00814AFC"/>
    <w:rsid w:val="00815697"/>
    <w:rsid w:val="0081616F"/>
    <w:rsid w:val="00820A50"/>
    <w:rsid w:val="00820C08"/>
    <w:rsid w:val="008210E1"/>
    <w:rsid w:val="00825200"/>
    <w:rsid w:val="00827B6A"/>
    <w:rsid w:val="00830D51"/>
    <w:rsid w:val="008314A8"/>
    <w:rsid w:val="0083301E"/>
    <w:rsid w:val="00833CEF"/>
    <w:rsid w:val="00833F7C"/>
    <w:rsid w:val="008357D3"/>
    <w:rsid w:val="00835A12"/>
    <w:rsid w:val="008402E3"/>
    <w:rsid w:val="00841456"/>
    <w:rsid w:val="008437F3"/>
    <w:rsid w:val="00844E44"/>
    <w:rsid w:val="008463EF"/>
    <w:rsid w:val="00847919"/>
    <w:rsid w:val="00852002"/>
    <w:rsid w:val="00854C2F"/>
    <w:rsid w:val="008578F6"/>
    <w:rsid w:val="0085790F"/>
    <w:rsid w:val="00861749"/>
    <w:rsid w:val="008622B4"/>
    <w:rsid w:val="00870AEA"/>
    <w:rsid w:val="00870D18"/>
    <w:rsid w:val="00873BE7"/>
    <w:rsid w:val="008756D3"/>
    <w:rsid w:val="00875DCF"/>
    <w:rsid w:val="0088044B"/>
    <w:rsid w:val="0088076C"/>
    <w:rsid w:val="00882B5B"/>
    <w:rsid w:val="00882C1B"/>
    <w:rsid w:val="008A14F4"/>
    <w:rsid w:val="008A458D"/>
    <w:rsid w:val="008A48FF"/>
    <w:rsid w:val="008A59FC"/>
    <w:rsid w:val="008B0E25"/>
    <w:rsid w:val="008B24C2"/>
    <w:rsid w:val="008B2CF3"/>
    <w:rsid w:val="008B450D"/>
    <w:rsid w:val="008B548C"/>
    <w:rsid w:val="008C246F"/>
    <w:rsid w:val="008C2F85"/>
    <w:rsid w:val="008C763B"/>
    <w:rsid w:val="008D1085"/>
    <w:rsid w:val="008D38DF"/>
    <w:rsid w:val="008D6D27"/>
    <w:rsid w:val="008D77DF"/>
    <w:rsid w:val="008E34BB"/>
    <w:rsid w:val="008E718A"/>
    <w:rsid w:val="008F12A7"/>
    <w:rsid w:val="008F3FB1"/>
    <w:rsid w:val="00900F1A"/>
    <w:rsid w:val="0090603E"/>
    <w:rsid w:val="009073D2"/>
    <w:rsid w:val="00910440"/>
    <w:rsid w:val="00910F22"/>
    <w:rsid w:val="009115B5"/>
    <w:rsid w:val="00922945"/>
    <w:rsid w:val="00925238"/>
    <w:rsid w:val="00930A41"/>
    <w:rsid w:val="00930C17"/>
    <w:rsid w:val="00932263"/>
    <w:rsid w:val="00932989"/>
    <w:rsid w:val="00932BFC"/>
    <w:rsid w:val="009358A3"/>
    <w:rsid w:val="009369F9"/>
    <w:rsid w:val="00936BFD"/>
    <w:rsid w:val="0094017D"/>
    <w:rsid w:val="009463EB"/>
    <w:rsid w:val="009512C4"/>
    <w:rsid w:val="00954F2B"/>
    <w:rsid w:val="00955A0C"/>
    <w:rsid w:val="009568F6"/>
    <w:rsid w:val="0095738F"/>
    <w:rsid w:val="00960C78"/>
    <w:rsid w:val="0096315E"/>
    <w:rsid w:val="00963A7B"/>
    <w:rsid w:val="00963E11"/>
    <w:rsid w:val="0097126C"/>
    <w:rsid w:val="00973C76"/>
    <w:rsid w:val="00975A28"/>
    <w:rsid w:val="00976686"/>
    <w:rsid w:val="009814C8"/>
    <w:rsid w:val="00987DC4"/>
    <w:rsid w:val="00992249"/>
    <w:rsid w:val="009945E2"/>
    <w:rsid w:val="0099487D"/>
    <w:rsid w:val="00994C9E"/>
    <w:rsid w:val="0099595C"/>
    <w:rsid w:val="00997CD9"/>
    <w:rsid w:val="009A03B8"/>
    <w:rsid w:val="009A24D3"/>
    <w:rsid w:val="009B0F18"/>
    <w:rsid w:val="009C00D1"/>
    <w:rsid w:val="009C0A9F"/>
    <w:rsid w:val="009C0F6B"/>
    <w:rsid w:val="009C150A"/>
    <w:rsid w:val="009C19B2"/>
    <w:rsid w:val="009C1A5F"/>
    <w:rsid w:val="009D08AF"/>
    <w:rsid w:val="009D187C"/>
    <w:rsid w:val="009E2B6F"/>
    <w:rsid w:val="009E383A"/>
    <w:rsid w:val="009E39FC"/>
    <w:rsid w:val="009E3C99"/>
    <w:rsid w:val="009F11B7"/>
    <w:rsid w:val="009F17F5"/>
    <w:rsid w:val="009F1800"/>
    <w:rsid w:val="009F1B1F"/>
    <w:rsid w:val="009F20E2"/>
    <w:rsid w:val="009F2884"/>
    <w:rsid w:val="009F5D8F"/>
    <w:rsid w:val="009F7D1F"/>
    <w:rsid w:val="00A003E8"/>
    <w:rsid w:val="00A02F1F"/>
    <w:rsid w:val="00A05ABE"/>
    <w:rsid w:val="00A06C7B"/>
    <w:rsid w:val="00A10B7F"/>
    <w:rsid w:val="00A1549D"/>
    <w:rsid w:val="00A15B16"/>
    <w:rsid w:val="00A22DFA"/>
    <w:rsid w:val="00A23E5E"/>
    <w:rsid w:val="00A310D5"/>
    <w:rsid w:val="00A31799"/>
    <w:rsid w:val="00A31C2F"/>
    <w:rsid w:val="00A32350"/>
    <w:rsid w:val="00A33A82"/>
    <w:rsid w:val="00A34B32"/>
    <w:rsid w:val="00A35623"/>
    <w:rsid w:val="00A43950"/>
    <w:rsid w:val="00A4423B"/>
    <w:rsid w:val="00A53EE2"/>
    <w:rsid w:val="00A54788"/>
    <w:rsid w:val="00A55E76"/>
    <w:rsid w:val="00A60B6D"/>
    <w:rsid w:val="00A6172B"/>
    <w:rsid w:val="00A65595"/>
    <w:rsid w:val="00A65CC1"/>
    <w:rsid w:val="00A73539"/>
    <w:rsid w:val="00A74D70"/>
    <w:rsid w:val="00A7504C"/>
    <w:rsid w:val="00A76BA4"/>
    <w:rsid w:val="00A773CB"/>
    <w:rsid w:val="00A77807"/>
    <w:rsid w:val="00A7793D"/>
    <w:rsid w:val="00A80035"/>
    <w:rsid w:val="00A81425"/>
    <w:rsid w:val="00A85CD7"/>
    <w:rsid w:val="00A902D9"/>
    <w:rsid w:val="00A92EB0"/>
    <w:rsid w:val="00A93716"/>
    <w:rsid w:val="00A95E31"/>
    <w:rsid w:val="00A97229"/>
    <w:rsid w:val="00A97A40"/>
    <w:rsid w:val="00AA01B9"/>
    <w:rsid w:val="00AA0C61"/>
    <w:rsid w:val="00AA4A63"/>
    <w:rsid w:val="00AA5CEF"/>
    <w:rsid w:val="00AA74F4"/>
    <w:rsid w:val="00AC17AD"/>
    <w:rsid w:val="00AC2B56"/>
    <w:rsid w:val="00AC358B"/>
    <w:rsid w:val="00AC3CC8"/>
    <w:rsid w:val="00AC400B"/>
    <w:rsid w:val="00AC5A46"/>
    <w:rsid w:val="00AD1BF6"/>
    <w:rsid w:val="00AD63AA"/>
    <w:rsid w:val="00AD6DE9"/>
    <w:rsid w:val="00AD7FF3"/>
    <w:rsid w:val="00AE6254"/>
    <w:rsid w:val="00AE670B"/>
    <w:rsid w:val="00AE6841"/>
    <w:rsid w:val="00AF3EA3"/>
    <w:rsid w:val="00AF3FC0"/>
    <w:rsid w:val="00AF3FD3"/>
    <w:rsid w:val="00AF65DE"/>
    <w:rsid w:val="00B01761"/>
    <w:rsid w:val="00B02004"/>
    <w:rsid w:val="00B06221"/>
    <w:rsid w:val="00B073D3"/>
    <w:rsid w:val="00B1452E"/>
    <w:rsid w:val="00B15B5D"/>
    <w:rsid w:val="00B15EB7"/>
    <w:rsid w:val="00B23187"/>
    <w:rsid w:val="00B2768D"/>
    <w:rsid w:val="00B3095B"/>
    <w:rsid w:val="00B309E5"/>
    <w:rsid w:val="00B3156F"/>
    <w:rsid w:val="00B33709"/>
    <w:rsid w:val="00B34996"/>
    <w:rsid w:val="00B34EFE"/>
    <w:rsid w:val="00B37B80"/>
    <w:rsid w:val="00B404DF"/>
    <w:rsid w:val="00B4061C"/>
    <w:rsid w:val="00B41474"/>
    <w:rsid w:val="00B42FD7"/>
    <w:rsid w:val="00B534CA"/>
    <w:rsid w:val="00B5609D"/>
    <w:rsid w:val="00B604B4"/>
    <w:rsid w:val="00B64D5D"/>
    <w:rsid w:val="00B6624D"/>
    <w:rsid w:val="00B66729"/>
    <w:rsid w:val="00B70500"/>
    <w:rsid w:val="00B7270F"/>
    <w:rsid w:val="00B73261"/>
    <w:rsid w:val="00B73DD1"/>
    <w:rsid w:val="00B772F6"/>
    <w:rsid w:val="00B80601"/>
    <w:rsid w:val="00B83A1C"/>
    <w:rsid w:val="00B858BB"/>
    <w:rsid w:val="00B9017C"/>
    <w:rsid w:val="00B93961"/>
    <w:rsid w:val="00B93FA6"/>
    <w:rsid w:val="00B9590F"/>
    <w:rsid w:val="00B96F00"/>
    <w:rsid w:val="00B9786E"/>
    <w:rsid w:val="00BA44A9"/>
    <w:rsid w:val="00BA6797"/>
    <w:rsid w:val="00BA76CF"/>
    <w:rsid w:val="00BB08C9"/>
    <w:rsid w:val="00BB0AB3"/>
    <w:rsid w:val="00BB4111"/>
    <w:rsid w:val="00BB6872"/>
    <w:rsid w:val="00BB711A"/>
    <w:rsid w:val="00BB7455"/>
    <w:rsid w:val="00BC05A9"/>
    <w:rsid w:val="00BC1C34"/>
    <w:rsid w:val="00BC20B1"/>
    <w:rsid w:val="00BC2883"/>
    <w:rsid w:val="00BC3774"/>
    <w:rsid w:val="00BC465D"/>
    <w:rsid w:val="00BC4D8B"/>
    <w:rsid w:val="00BC5420"/>
    <w:rsid w:val="00BC6D5E"/>
    <w:rsid w:val="00BC7441"/>
    <w:rsid w:val="00BD0553"/>
    <w:rsid w:val="00BD1BE2"/>
    <w:rsid w:val="00BD2070"/>
    <w:rsid w:val="00BD4A10"/>
    <w:rsid w:val="00BD6923"/>
    <w:rsid w:val="00BD7540"/>
    <w:rsid w:val="00BD7C6C"/>
    <w:rsid w:val="00BE1BA6"/>
    <w:rsid w:val="00BE1BF2"/>
    <w:rsid w:val="00BE1C16"/>
    <w:rsid w:val="00BE25BF"/>
    <w:rsid w:val="00BE283D"/>
    <w:rsid w:val="00BE41B7"/>
    <w:rsid w:val="00BE5D2C"/>
    <w:rsid w:val="00BE72CC"/>
    <w:rsid w:val="00BF2490"/>
    <w:rsid w:val="00C0273F"/>
    <w:rsid w:val="00C03A6B"/>
    <w:rsid w:val="00C1149C"/>
    <w:rsid w:val="00C12D52"/>
    <w:rsid w:val="00C15CE2"/>
    <w:rsid w:val="00C164B7"/>
    <w:rsid w:val="00C20539"/>
    <w:rsid w:val="00C21339"/>
    <w:rsid w:val="00C21742"/>
    <w:rsid w:val="00C21818"/>
    <w:rsid w:val="00C25AE9"/>
    <w:rsid w:val="00C27778"/>
    <w:rsid w:val="00C279FC"/>
    <w:rsid w:val="00C30F62"/>
    <w:rsid w:val="00C31230"/>
    <w:rsid w:val="00C31277"/>
    <w:rsid w:val="00C32595"/>
    <w:rsid w:val="00C35017"/>
    <w:rsid w:val="00C410BB"/>
    <w:rsid w:val="00C45E61"/>
    <w:rsid w:val="00C52B3D"/>
    <w:rsid w:val="00C52CEF"/>
    <w:rsid w:val="00C571D9"/>
    <w:rsid w:val="00C61721"/>
    <w:rsid w:val="00C62362"/>
    <w:rsid w:val="00C62D90"/>
    <w:rsid w:val="00C66100"/>
    <w:rsid w:val="00C666B5"/>
    <w:rsid w:val="00C67DAF"/>
    <w:rsid w:val="00C71584"/>
    <w:rsid w:val="00C73C27"/>
    <w:rsid w:val="00C7635A"/>
    <w:rsid w:val="00C77279"/>
    <w:rsid w:val="00C77C90"/>
    <w:rsid w:val="00C81CD5"/>
    <w:rsid w:val="00C83E9C"/>
    <w:rsid w:val="00C85701"/>
    <w:rsid w:val="00C85D6F"/>
    <w:rsid w:val="00C86D31"/>
    <w:rsid w:val="00C87768"/>
    <w:rsid w:val="00C945F7"/>
    <w:rsid w:val="00C97413"/>
    <w:rsid w:val="00CA103B"/>
    <w:rsid w:val="00CA41E9"/>
    <w:rsid w:val="00CA5300"/>
    <w:rsid w:val="00CA5B23"/>
    <w:rsid w:val="00CA6957"/>
    <w:rsid w:val="00CB2C5A"/>
    <w:rsid w:val="00CB3D09"/>
    <w:rsid w:val="00CB55D5"/>
    <w:rsid w:val="00CB66BF"/>
    <w:rsid w:val="00CC15CC"/>
    <w:rsid w:val="00CC5009"/>
    <w:rsid w:val="00CD0A25"/>
    <w:rsid w:val="00CD101F"/>
    <w:rsid w:val="00CD18D4"/>
    <w:rsid w:val="00CD22DD"/>
    <w:rsid w:val="00CD51C8"/>
    <w:rsid w:val="00CD6D1B"/>
    <w:rsid w:val="00CE1A8D"/>
    <w:rsid w:val="00CE21CB"/>
    <w:rsid w:val="00CE279D"/>
    <w:rsid w:val="00CE2D8F"/>
    <w:rsid w:val="00CF038C"/>
    <w:rsid w:val="00CF4459"/>
    <w:rsid w:val="00CF5843"/>
    <w:rsid w:val="00D01E8F"/>
    <w:rsid w:val="00D138F9"/>
    <w:rsid w:val="00D13900"/>
    <w:rsid w:val="00D141F4"/>
    <w:rsid w:val="00D15473"/>
    <w:rsid w:val="00D161CC"/>
    <w:rsid w:val="00D17696"/>
    <w:rsid w:val="00D24D0B"/>
    <w:rsid w:val="00D31C67"/>
    <w:rsid w:val="00D336D9"/>
    <w:rsid w:val="00D37184"/>
    <w:rsid w:val="00D422AE"/>
    <w:rsid w:val="00D42492"/>
    <w:rsid w:val="00D44ACE"/>
    <w:rsid w:val="00D44F86"/>
    <w:rsid w:val="00D459BC"/>
    <w:rsid w:val="00D4777D"/>
    <w:rsid w:val="00D52381"/>
    <w:rsid w:val="00D52A4B"/>
    <w:rsid w:val="00D5543D"/>
    <w:rsid w:val="00D57557"/>
    <w:rsid w:val="00D62758"/>
    <w:rsid w:val="00D62D2F"/>
    <w:rsid w:val="00D64CDF"/>
    <w:rsid w:val="00D6643E"/>
    <w:rsid w:val="00D73674"/>
    <w:rsid w:val="00D74600"/>
    <w:rsid w:val="00D74D04"/>
    <w:rsid w:val="00D761EE"/>
    <w:rsid w:val="00D766DC"/>
    <w:rsid w:val="00D76FAC"/>
    <w:rsid w:val="00D859D5"/>
    <w:rsid w:val="00D87149"/>
    <w:rsid w:val="00D90C3E"/>
    <w:rsid w:val="00D92F67"/>
    <w:rsid w:val="00D938D6"/>
    <w:rsid w:val="00D939E8"/>
    <w:rsid w:val="00DA3449"/>
    <w:rsid w:val="00DA3C65"/>
    <w:rsid w:val="00DA4282"/>
    <w:rsid w:val="00DB1B17"/>
    <w:rsid w:val="00DB45F5"/>
    <w:rsid w:val="00DB6C50"/>
    <w:rsid w:val="00DC0556"/>
    <w:rsid w:val="00DC584F"/>
    <w:rsid w:val="00DC604C"/>
    <w:rsid w:val="00DD2C7B"/>
    <w:rsid w:val="00DD3255"/>
    <w:rsid w:val="00DD619C"/>
    <w:rsid w:val="00DE0A1C"/>
    <w:rsid w:val="00DE3266"/>
    <w:rsid w:val="00DE604B"/>
    <w:rsid w:val="00DF3092"/>
    <w:rsid w:val="00DF35B7"/>
    <w:rsid w:val="00E0150A"/>
    <w:rsid w:val="00E031AB"/>
    <w:rsid w:val="00E03C92"/>
    <w:rsid w:val="00E044C2"/>
    <w:rsid w:val="00E05FF4"/>
    <w:rsid w:val="00E1382A"/>
    <w:rsid w:val="00E15C3A"/>
    <w:rsid w:val="00E160BA"/>
    <w:rsid w:val="00E16392"/>
    <w:rsid w:val="00E2494D"/>
    <w:rsid w:val="00E34184"/>
    <w:rsid w:val="00E34291"/>
    <w:rsid w:val="00E34FC7"/>
    <w:rsid w:val="00E35888"/>
    <w:rsid w:val="00E37529"/>
    <w:rsid w:val="00E517F8"/>
    <w:rsid w:val="00E62520"/>
    <w:rsid w:val="00E70E39"/>
    <w:rsid w:val="00E808D8"/>
    <w:rsid w:val="00E82E57"/>
    <w:rsid w:val="00E849AB"/>
    <w:rsid w:val="00E85237"/>
    <w:rsid w:val="00E85A0E"/>
    <w:rsid w:val="00E86150"/>
    <w:rsid w:val="00E87473"/>
    <w:rsid w:val="00E90CE4"/>
    <w:rsid w:val="00E9281E"/>
    <w:rsid w:val="00E935A4"/>
    <w:rsid w:val="00E95C1C"/>
    <w:rsid w:val="00E97B83"/>
    <w:rsid w:val="00EA2220"/>
    <w:rsid w:val="00EA36C8"/>
    <w:rsid w:val="00EA5559"/>
    <w:rsid w:val="00EB0A35"/>
    <w:rsid w:val="00EB12A1"/>
    <w:rsid w:val="00EB4B16"/>
    <w:rsid w:val="00EB4B9E"/>
    <w:rsid w:val="00EB4CD9"/>
    <w:rsid w:val="00EB69D3"/>
    <w:rsid w:val="00EC25FA"/>
    <w:rsid w:val="00EC533F"/>
    <w:rsid w:val="00EC7C61"/>
    <w:rsid w:val="00EE213B"/>
    <w:rsid w:val="00EF29BC"/>
    <w:rsid w:val="00EF5606"/>
    <w:rsid w:val="00F02A87"/>
    <w:rsid w:val="00F076F8"/>
    <w:rsid w:val="00F07B80"/>
    <w:rsid w:val="00F10719"/>
    <w:rsid w:val="00F10ECD"/>
    <w:rsid w:val="00F12736"/>
    <w:rsid w:val="00F1296A"/>
    <w:rsid w:val="00F12CE0"/>
    <w:rsid w:val="00F162F4"/>
    <w:rsid w:val="00F3051E"/>
    <w:rsid w:val="00F36826"/>
    <w:rsid w:val="00F473EB"/>
    <w:rsid w:val="00F47501"/>
    <w:rsid w:val="00F531A6"/>
    <w:rsid w:val="00F54152"/>
    <w:rsid w:val="00F54635"/>
    <w:rsid w:val="00F56542"/>
    <w:rsid w:val="00F60719"/>
    <w:rsid w:val="00F61977"/>
    <w:rsid w:val="00F62DF1"/>
    <w:rsid w:val="00F64226"/>
    <w:rsid w:val="00F6487D"/>
    <w:rsid w:val="00F7068B"/>
    <w:rsid w:val="00F72D3D"/>
    <w:rsid w:val="00F76F37"/>
    <w:rsid w:val="00F805C1"/>
    <w:rsid w:val="00F8147C"/>
    <w:rsid w:val="00F87928"/>
    <w:rsid w:val="00F91863"/>
    <w:rsid w:val="00F92332"/>
    <w:rsid w:val="00F96192"/>
    <w:rsid w:val="00F96D9E"/>
    <w:rsid w:val="00FA2597"/>
    <w:rsid w:val="00FA420A"/>
    <w:rsid w:val="00FA6F34"/>
    <w:rsid w:val="00FB5405"/>
    <w:rsid w:val="00FC063C"/>
    <w:rsid w:val="00FC1158"/>
    <w:rsid w:val="00FC2885"/>
    <w:rsid w:val="00FC7DD6"/>
    <w:rsid w:val="00FD28BD"/>
    <w:rsid w:val="00FD3C8C"/>
    <w:rsid w:val="00FD4669"/>
    <w:rsid w:val="00FD6E6A"/>
    <w:rsid w:val="00FE2FF0"/>
    <w:rsid w:val="00FE4129"/>
    <w:rsid w:val="00FE7D6E"/>
    <w:rsid w:val="00FF1211"/>
    <w:rsid w:val="00FF5B16"/>
    <w:rsid w:val="097A7759"/>
    <w:rsid w:val="248D3334"/>
    <w:rsid w:val="28E556CB"/>
    <w:rsid w:val="2F7A4612"/>
    <w:rsid w:val="3E287D97"/>
    <w:rsid w:val="5A32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1A542B2"/>
  <w15:docId w15:val="{34CDDC5C-08B1-4695-9E39-77AF865A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C6C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8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E7EDA9A-7F12-497C-A40B-8417D105C4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Li, Hua</cp:lastModifiedBy>
  <cp:revision>2</cp:revision>
  <dcterms:created xsi:type="dcterms:W3CDTF">2022-05-20T02:53:00Z</dcterms:created>
  <dcterms:modified xsi:type="dcterms:W3CDTF">2022-05-20T02:53:00Z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