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B9B78" w14:textId="3118553B" w:rsidR="004745F6" w:rsidRPr="00CF18BD" w:rsidRDefault="004745F6" w:rsidP="004745F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CA5B23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52411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 w:rsidR="006B53DF" w:rsidRPr="00CF18BD">
        <w:rPr>
          <w:rFonts w:ascii="Arial" w:eastAsiaTheme="minorEastAsia" w:hAnsi="Arial" w:cs="Arial"/>
          <w:b/>
          <w:sz w:val="24"/>
          <w:szCs w:val="24"/>
          <w:lang w:eastAsia="zh-CN"/>
        </w:rPr>
        <w:t>R4-2120320</w:t>
      </w:r>
    </w:p>
    <w:p w14:paraId="36480C28" w14:textId="4B198D0F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proofErr w:type="gramStart"/>
      <w:r w:rsidRPr="00C81BBA">
        <w:rPr>
          <w:rFonts w:ascii="Arial" w:hAnsi="Arial"/>
          <w:b/>
          <w:sz w:val="24"/>
          <w:szCs w:val="24"/>
          <w:lang w:eastAsia="zh-CN"/>
        </w:rPr>
        <w:t>1</w:t>
      </w:r>
      <w:r w:rsidRPr="00C81BB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proofErr w:type="gramEnd"/>
      <w:r w:rsidRPr="00C81BBA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CA5B23">
        <w:rPr>
          <w:rFonts w:ascii="Arial" w:hAnsi="Arial"/>
          <w:b/>
          <w:sz w:val="24"/>
          <w:szCs w:val="24"/>
          <w:lang w:eastAsia="zh-CN"/>
        </w:rPr>
        <w:t>12</w:t>
      </w:r>
      <w:r w:rsidRPr="00C81BB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81BB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CA5B23">
        <w:rPr>
          <w:rFonts w:ascii="Arial" w:hAnsi="Arial"/>
          <w:b/>
          <w:sz w:val="24"/>
          <w:szCs w:val="24"/>
          <w:lang w:eastAsia="zh-CN"/>
        </w:rPr>
        <w:t>Nov.</w:t>
      </w:r>
      <w:r w:rsidRPr="00C81BBA">
        <w:rPr>
          <w:rFonts w:ascii="Arial" w:hAnsi="Arial"/>
          <w:b/>
          <w:sz w:val="24"/>
          <w:szCs w:val="24"/>
          <w:lang w:eastAsia="zh-CN"/>
        </w:rPr>
        <w:t>, 2021</w:t>
      </w:r>
    </w:p>
    <w:p w14:paraId="050731E7" w14:textId="77777777" w:rsidR="004745F6" w:rsidRPr="00C81BBA" w:rsidRDefault="004745F6" w:rsidP="004745F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0121675" w14:textId="583B18E7" w:rsidR="004745F6" w:rsidRPr="00C81BBA" w:rsidRDefault="004745F6" w:rsidP="004745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Agenda item: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37BDE">
        <w:rPr>
          <w:rFonts w:ascii="Arial" w:eastAsiaTheme="minorEastAsia" w:hAnsi="Arial" w:cs="Arial"/>
          <w:color w:val="000000"/>
          <w:sz w:val="22"/>
          <w:lang w:eastAsia="zh-CN"/>
        </w:rPr>
        <w:t>8.19.3</w:t>
      </w:r>
      <w:r w:rsidR="00950835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50F42812" w14:textId="187CE803" w:rsidR="004745F6" w:rsidRPr="00C81BBA" w:rsidRDefault="004745F6" w:rsidP="004745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sz w:val="22"/>
        </w:rPr>
        <w:t>Source:</w:t>
      </w:r>
      <w:r w:rsidRPr="00C81BBA">
        <w:rPr>
          <w:rFonts w:ascii="Arial" w:eastAsia="MS Mincho" w:hAnsi="Arial" w:cs="Arial"/>
          <w:b/>
          <w:sz w:val="22"/>
        </w:rPr>
        <w:tab/>
      </w:r>
      <w:r w:rsidR="00437BDE">
        <w:rPr>
          <w:rFonts w:ascii="Arial" w:hAnsi="Arial" w:cs="Arial"/>
          <w:color w:val="000000"/>
          <w:sz w:val="22"/>
          <w:lang w:eastAsia="zh-CN"/>
        </w:rPr>
        <w:t>Intel</w:t>
      </w:r>
    </w:p>
    <w:p w14:paraId="41B222C4" w14:textId="37C9364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0A198B" w:rsidRPr="000A198B">
        <w:rPr>
          <w:rFonts w:ascii="Arial" w:hAnsi="Arial" w:cs="Arial"/>
          <w:color w:val="000000"/>
          <w:sz w:val="22"/>
          <w:lang w:eastAsia="zh-CN"/>
        </w:rPr>
        <w:t xml:space="preserve">WF on RRM impact for unified TCI in </w:t>
      </w:r>
      <w:proofErr w:type="spellStart"/>
      <w:r w:rsidR="000A198B" w:rsidRPr="000A198B">
        <w:rPr>
          <w:rFonts w:ascii="Arial" w:hAnsi="Arial" w:cs="Arial"/>
          <w:color w:val="000000"/>
          <w:sz w:val="22"/>
          <w:lang w:eastAsia="zh-CN"/>
        </w:rPr>
        <w:t>FeMIMO</w:t>
      </w:r>
      <w:proofErr w:type="spellEnd"/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Heading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2CD4595F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 xml:space="preserve">Rel-17 </w:t>
      </w:r>
      <w:proofErr w:type="spellStart"/>
      <w:r w:rsidR="00E37529">
        <w:rPr>
          <w:rFonts w:eastAsiaTheme="minorEastAsia"/>
          <w:lang w:eastAsia="zh-CN"/>
        </w:rPr>
        <w:t>FeMIMO</w:t>
      </w:r>
      <w:proofErr w:type="spellEnd"/>
      <w:r w:rsidR="00E37529">
        <w:rPr>
          <w:rFonts w:eastAsiaTheme="minorEastAsia"/>
          <w:lang w:eastAsia="zh-CN"/>
        </w:rPr>
        <w:t xml:space="preserve"> RRM in RAN4 #10</w:t>
      </w:r>
      <w:r w:rsidR="00FC7DD6">
        <w:rPr>
          <w:rFonts w:eastAsiaTheme="minorEastAsia"/>
          <w:lang w:eastAsia="zh-CN"/>
        </w:rPr>
        <w:t xml:space="preserve">1 </w:t>
      </w:r>
      <w:r w:rsidR="00E37529">
        <w:rPr>
          <w:rFonts w:eastAsiaTheme="minorEastAsia"/>
          <w:lang w:eastAsia="zh-CN"/>
        </w:rPr>
        <w:t>meeting</w:t>
      </w:r>
      <w:r w:rsidR="00FC7DD6">
        <w:rPr>
          <w:rFonts w:eastAsiaTheme="minorEastAsia"/>
          <w:lang w:eastAsia="zh-CN"/>
        </w:rPr>
        <w:t>.</w:t>
      </w:r>
    </w:p>
    <w:p w14:paraId="0E6C84A5" w14:textId="3405F625" w:rsidR="008B24C2" w:rsidRDefault="00687D40" w:rsidP="004745F6">
      <w:pPr>
        <w:pStyle w:val="Heading1"/>
        <w:rPr>
          <w:lang w:eastAsia="ja-JP"/>
        </w:rPr>
      </w:pPr>
      <w:r>
        <w:rPr>
          <w:lang w:eastAsia="ja-JP"/>
        </w:rPr>
        <w:t>Agreements in GTW session</w:t>
      </w:r>
    </w:p>
    <w:p w14:paraId="087D6449" w14:textId="77777777" w:rsidR="00A65595" w:rsidRDefault="00A65595" w:rsidP="00A65595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 w:hint="eastAsia"/>
          <w:color w:val="0070C0"/>
          <w:lang w:val="en-US" w:eastAsia="zh-CN"/>
        </w:rPr>
        <w:t>I</w:t>
      </w:r>
      <w:r>
        <w:rPr>
          <w:rFonts w:eastAsiaTheme="minorEastAsia"/>
          <w:color w:val="0070C0"/>
          <w:lang w:val="en-US" w:eastAsia="zh-CN"/>
        </w:rPr>
        <w:t xml:space="preserve">n GTW session, the following bullets have been agreed </w:t>
      </w:r>
    </w:p>
    <w:p w14:paraId="4D7D09C1" w14:textId="77777777" w:rsidR="00A65595" w:rsidRPr="00776907" w:rsidRDefault="00A65595" w:rsidP="00A65595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776907">
        <w:rPr>
          <w:highlight w:val="green"/>
          <w:lang w:eastAsia="ja-JP"/>
        </w:rPr>
        <w:t>Define the following requirements</w:t>
      </w:r>
    </w:p>
    <w:p w14:paraId="50EC04A8" w14:textId="77777777" w:rsidR="00A65595" w:rsidRPr="00776907" w:rsidRDefault="00A65595" w:rsidP="00A6559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776907">
        <w:rPr>
          <w:highlight w:val="green"/>
        </w:rPr>
        <w:t>DCI and MAC-CE based TCI switching delay requirements</w:t>
      </w:r>
    </w:p>
    <w:p w14:paraId="097B8F2E" w14:textId="77777777" w:rsidR="00A65595" w:rsidRPr="00776907" w:rsidRDefault="00A65595" w:rsidP="00A6559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highlight w:val="green"/>
          <w:lang w:eastAsia="ja-JP"/>
        </w:rPr>
      </w:pPr>
      <w:r w:rsidRPr="00776907">
        <w:rPr>
          <w:rFonts w:eastAsiaTheme="minorEastAsia"/>
          <w:iCs/>
          <w:highlight w:val="green"/>
        </w:rPr>
        <w:t>DL/UL TCI switching requirements for both joint TCI and separate TCI.</w:t>
      </w:r>
    </w:p>
    <w:p w14:paraId="64308BA2" w14:textId="77777777" w:rsidR="00A65595" w:rsidRPr="00776907" w:rsidRDefault="00A65595" w:rsidP="00A6559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strike/>
          <w:szCs w:val="24"/>
          <w:highlight w:val="green"/>
          <w:lang w:eastAsia="ja-JP"/>
        </w:rPr>
      </w:pPr>
      <w:r w:rsidRPr="00776907">
        <w:rPr>
          <w:rFonts w:eastAsia="Times New Roman"/>
          <w:bCs/>
          <w:szCs w:val="21"/>
          <w:highlight w:val="green"/>
        </w:rPr>
        <w:t>TCI switching delay requirements for the case when target TCI is associated with one of serving cell or non-serving cell (i.e., cell with different PCI)</w:t>
      </w:r>
    </w:p>
    <w:p w14:paraId="3569C156" w14:textId="77777777" w:rsidR="00A65595" w:rsidRPr="00776907" w:rsidRDefault="00A65595" w:rsidP="00A65595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strike/>
          <w:szCs w:val="24"/>
          <w:highlight w:val="green"/>
          <w:lang w:eastAsia="ja-JP"/>
        </w:rPr>
      </w:pPr>
      <w:r w:rsidRPr="00776907">
        <w:rPr>
          <w:rFonts w:eastAsia="Times New Roman"/>
          <w:bCs/>
          <w:szCs w:val="21"/>
          <w:highlight w:val="green"/>
        </w:rPr>
        <w:t>Define requirements at least for Rel-17 TCI state switching framework</w:t>
      </w:r>
    </w:p>
    <w:p w14:paraId="352AC0E8" w14:textId="77777777" w:rsidR="00A65595" w:rsidRPr="00776907" w:rsidRDefault="00A65595" w:rsidP="00A6559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iCs/>
          <w:strike/>
          <w:highlight w:val="green"/>
          <w:lang w:eastAsia="ja-JP"/>
        </w:rPr>
      </w:pPr>
      <w:r w:rsidRPr="00776907">
        <w:rPr>
          <w:bCs/>
          <w:highlight w:val="green"/>
          <w:lang w:eastAsia="en-GB"/>
        </w:rPr>
        <w:t>UL TCI state switching delay requirements when target TCI is associated with DL-RS</w:t>
      </w:r>
    </w:p>
    <w:p w14:paraId="443754C1" w14:textId="6A3E1851" w:rsidR="00A65595" w:rsidRPr="00A85CD7" w:rsidRDefault="00A65595" w:rsidP="00A65595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SimSun"/>
          <w:iCs/>
          <w:strike/>
          <w:szCs w:val="24"/>
          <w:highlight w:val="green"/>
          <w:lang w:eastAsia="ja-JP"/>
        </w:rPr>
      </w:pPr>
      <w:r w:rsidRPr="00776907">
        <w:rPr>
          <w:rFonts w:eastAsia="Times New Roman"/>
          <w:bCs/>
          <w:szCs w:val="21"/>
          <w:highlight w:val="green"/>
        </w:rPr>
        <w:t>Pathloss RS switch delay requirement for beam alignment case</w:t>
      </w:r>
    </w:p>
    <w:p w14:paraId="13120868" w14:textId="263C71F0" w:rsidR="00687D40" w:rsidRDefault="00687D40" w:rsidP="00687D40">
      <w:pPr>
        <w:pStyle w:val="Heading1"/>
        <w:rPr>
          <w:lang w:eastAsia="ja-JP"/>
        </w:rPr>
      </w:pPr>
      <w:r>
        <w:rPr>
          <w:lang w:eastAsia="ja-JP"/>
        </w:rPr>
        <w:t>WF</w:t>
      </w:r>
    </w:p>
    <w:p w14:paraId="615BB07C" w14:textId="58CB1B8B" w:rsidR="00704FC2" w:rsidRDefault="00704FC2" w:rsidP="00932263">
      <w:pPr>
        <w:pStyle w:val="Heading3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Issue</w:t>
      </w:r>
      <w:r w:rsidR="00C31277">
        <w:rPr>
          <w:sz w:val="24"/>
          <w:szCs w:val="24"/>
        </w:rPr>
        <w:t xml:space="preserve"> 1:</w:t>
      </w:r>
      <w:r>
        <w:rPr>
          <w:sz w:val="24"/>
          <w:szCs w:val="24"/>
        </w:rPr>
        <w:t xml:space="preserve"> </w:t>
      </w:r>
      <w:r w:rsidR="00765170" w:rsidRPr="00765170">
        <w:rPr>
          <w:sz w:val="24"/>
          <w:szCs w:val="24"/>
        </w:rPr>
        <w:t>PL-RS switching delay requirement</w:t>
      </w:r>
      <w:r w:rsidR="000C02EC">
        <w:rPr>
          <w:sz w:val="24"/>
          <w:szCs w:val="24"/>
        </w:rPr>
        <w:t xml:space="preserve"> for </w:t>
      </w:r>
      <w:r w:rsidR="000C02EC" w:rsidRPr="000C02EC">
        <w:rPr>
          <w:sz w:val="24"/>
          <w:szCs w:val="24"/>
        </w:rPr>
        <w:t>beam alignment case</w:t>
      </w:r>
    </w:p>
    <w:p w14:paraId="177BDBF5" w14:textId="047FB825" w:rsidR="00440AF7" w:rsidRDefault="008229DB" w:rsidP="00440AF7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>
        <w:rPr>
          <w:lang w:eastAsia="ja-JP"/>
        </w:rPr>
        <w:t>Don’t need to specify</w:t>
      </w:r>
      <w:r w:rsidR="00A003E8" w:rsidRPr="00776907">
        <w:rPr>
          <w:lang w:eastAsia="ja-JP"/>
        </w:rPr>
        <w:t xml:space="preserve"> </w:t>
      </w:r>
      <w:r w:rsidR="009369F9">
        <w:rPr>
          <w:lang w:eastAsia="ja-JP"/>
        </w:rPr>
        <w:t xml:space="preserve">additional </w:t>
      </w:r>
      <w:r w:rsidR="00A003E8">
        <w:rPr>
          <w:lang w:eastAsia="ja-JP"/>
        </w:rPr>
        <w:t xml:space="preserve">PL-RS </w:t>
      </w:r>
      <w:r w:rsidR="00A003E8" w:rsidRPr="00776907">
        <w:rPr>
          <w:lang w:eastAsia="ja-JP"/>
        </w:rPr>
        <w:t xml:space="preserve">switching </w:t>
      </w:r>
      <w:r w:rsidR="00A003E8">
        <w:rPr>
          <w:lang w:eastAsia="ja-JP"/>
        </w:rPr>
        <w:t xml:space="preserve">delay </w:t>
      </w:r>
      <w:r w:rsidR="00A003E8" w:rsidRPr="00776907">
        <w:rPr>
          <w:lang w:eastAsia="ja-JP"/>
        </w:rPr>
        <w:t>req</w:t>
      </w:r>
      <w:r w:rsidR="00A003E8">
        <w:rPr>
          <w:lang w:eastAsia="ja-JP"/>
        </w:rPr>
        <w:t>uirement</w:t>
      </w:r>
      <w:r w:rsidR="00440AF7">
        <w:rPr>
          <w:lang w:eastAsia="ja-JP"/>
        </w:rPr>
        <w:t>.</w:t>
      </w:r>
    </w:p>
    <w:p w14:paraId="7F39F47A" w14:textId="3FD06F7D" w:rsidR="003565DF" w:rsidRDefault="00220270" w:rsidP="00440AF7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>
        <w:rPr>
          <w:lang w:eastAsia="ja-JP"/>
        </w:rPr>
        <w:t xml:space="preserve">RAN4 will further discuss </w:t>
      </w:r>
      <w:r w:rsidR="00141056">
        <w:rPr>
          <w:lang w:eastAsia="ja-JP"/>
        </w:rPr>
        <w:t>whether</w:t>
      </w:r>
      <w:r w:rsidR="00A54B52">
        <w:rPr>
          <w:lang w:eastAsia="ja-JP"/>
        </w:rPr>
        <w:t xml:space="preserve"> </w:t>
      </w:r>
      <w:r w:rsidR="000723F7">
        <w:rPr>
          <w:lang w:eastAsia="zh-CN"/>
        </w:rPr>
        <w:t xml:space="preserve">UL TCI state switching requirements </w:t>
      </w:r>
      <w:r w:rsidR="00A54B52">
        <w:rPr>
          <w:lang w:eastAsia="zh-CN"/>
        </w:rPr>
        <w:t xml:space="preserve">can be </w:t>
      </w:r>
      <w:r w:rsidR="00D938E9">
        <w:rPr>
          <w:lang w:eastAsia="zh-CN"/>
        </w:rPr>
        <w:t>re-</w:t>
      </w:r>
      <w:r w:rsidR="00A54B52">
        <w:rPr>
          <w:lang w:eastAsia="zh-CN"/>
        </w:rPr>
        <w:t xml:space="preserve">used </w:t>
      </w:r>
      <w:r w:rsidR="000723F7">
        <w:rPr>
          <w:lang w:eastAsia="zh-CN"/>
        </w:rPr>
        <w:t>for PL-RS switching delay</w:t>
      </w:r>
      <w:r w:rsidR="00031D26">
        <w:rPr>
          <w:lang w:eastAsia="zh-CN"/>
        </w:rPr>
        <w:t xml:space="preserve"> </w:t>
      </w:r>
      <w:r w:rsidR="00F8282C">
        <w:rPr>
          <w:lang w:eastAsia="zh-CN"/>
        </w:rPr>
        <w:t>if UL TCI state switching can trigger PL-RS switch</w:t>
      </w:r>
      <w:r w:rsidR="003847EE">
        <w:rPr>
          <w:lang w:eastAsia="zh-CN"/>
        </w:rPr>
        <w:t>,</w:t>
      </w:r>
      <w:r w:rsidR="00F8282C">
        <w:rPr>
          <w:lang w:eastAsia="zh-CN"/>
        </w:rPr>
        <w:t xml:space="preserve"> </w:t>
      </w:r>
      <w:r w:rsidR="00031D26">
        <w:rPr>
          <w:lang w:eastAsia="zh-CN"/>
        </w:rPr>
        <w:t>how to capture this in the spec</w:t>
      </w:r>
      <w:r w:rsidR="003847EE">
        <w:rPr>
          <w:lang w:eastAsia="zh-CN"/>
        </w:rPr>
        <w:t xml:space="preserve"> is FFS.</w:t>
      </w:r>
      <w:r w:rsidR="00A54B52">
        <w:rPr>
          <w:lang w:eastAsia="zh-CN"/>
        </w:rPr>
        <w:t xml:space="preserve"> </w:t>
      </w:r>
    </w:p>
    <w:p w14:paraId="6E63BF1F" w14:textId="4444CD9C" w:rsidR="00932263" w:rsidRDefault="00932263" w:rsidP="00932263">
      <w:pPr>
        <w:pStyle w:val="Heading3"/>
        <w:numPr>
          <w:ilvl w:val="0"/>
          <w:numId w:val="0"/>
        </w:numPr>
        <w:rPr>
          <w:sz w:val="24"/>
          <w:szCs w:val="24"/>
        </w:rPr>
      </w:pPr>
      <w:r w:rsidRPr="00932263">
        <w:rPr>
          <w:sz w:val="24"/>
          <w:szCs w:val="24"/>
        </w:rPr>
        <w:lastRenderedPageBreak/>
        <w:t>Issue</w:t>
      </w:r>
      <w:r>
        <w:rPr>
          <w:sz w:val="24"/>
          <w:szCs w:val="24"/>
        </w:rPr>
        <w:t xml:space="preserve"> </w:t>
      </w:r>
      <w:r w:rsidR="00E90CE4">
        <w:rPr>
          <w:sz w:val="24"/>
          <w:szCs w:val="24"/>
        </w:rPr>
        <w:t>2:</w:t>
      </w:r>
      <w:r>
        <w:rPr>
          <w:sz w:val="24"/>
          <w:szCs w:val="24"/>
        </w:rPr>
        <w:t xml:space="preserve"> </w:t>
      </w:r>
      <w:r w:rsidR="001D732B">
        <w:rPr>
          <w:sz w:val="24"/>
          <w:szCs w:val="24"/>
        </w:rPr>
        <w:t xml:space="preserve">MAC-CE based </w:t>
      </w:r>
      <w:r>
        <w:rPr>
          <w:sz w:val="24"/>
          <w:szCs w:val="24"/>
        </w:rPr>
        <w:t>DL/UL TCI</w:t>
      </w:r>
      <w:r w:rsidR="00CE2D8F">
        <w:rPr>
          <w:sz w:val="24"/>
          <w:szCs w:val="24"/>
        </w:rPr>
        <w:t xml:space="preserve"> </w:t>
      </w:r>
      <w:r w:rsidR="0048298D" w:rsidRPr="00114006">
        <w:rPr>
          <w:sz w:val="24"/>
          <w:szCs w:val="24"/>
        </w:rPr>
        <w:t xml:space="preserve">switching </w:t>
      </w:r>
      <w:r w:rsidR="004827FD">
        <w:rPr>
          <w:sz w:val="24"/>
          <w:szCs w:val="24"/>
        </w:rPr>
        <w:t xml:space="preserve">delay </w:t>
      </w:r>
      <w:r w:rsidR="00CE2D8F">
        <w:rPr>
          <w:sz w:val="24"/>
          <w:szCs w:val="24"/>
        </w:rPr>
        <w:t>in separate TCI</w:t>
      </w:r>
      <w:r w:rsidR="00723636">
        <w:rPr>
          <w:sz w:val="24"/>
          <w:szCs w:val="24"/>
        </w:rPr>
        <w:t xml:space="preserve"> mode</w:t>
      </w:r>
      <w:r w:rsidR="00132890">
        <w:rPr>
          <w:sz w:val="24"/>
          <w:szCs w:val="24"/>
        </w:rPr>
        <w:t xml:space="preserve"> for serving cell</w:t>
      </w:r>
    </w:p>
    <w:p w14:paraId="26DE65C9" w14:textId="7C79EF31" w:rsidR="00E34184" w:rsidRDefault="008B0E25" w:rsidP="00E3418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>
        <w:rPr>
          <w:rFonts w:eastAsiaTheme="minorEastAsia"/>
          <w:bCs/>
          <w:color w:val="000000" w:themeColor="text1"/>
          <w:lang w:val="en-US" w:eastAsia="zh-CN"/>
        </w:rPr>
        <w:t xml:space="preserve">Re-use </w:t>
      </w:r>
      <w:r w:rsidR="00E34184" w:rsidRPr="006E798A">
        <w:rPr>
          <w:rFonts w:eastAsiaTheme="minorEastAsia"/>
          <w:bCs/>
          <w:color w:val="000000" w:themeColor="text1"/>
          <w:lang w:val="en-US" w:eastAsia="zh-CN"/>
        </w:rPr>
        <w:t>existing</w:t>
      </w:r>
      <w:r w:rsidR="00E34184">
        <w:rPr>
          <w:rFonts w:eastAsiaTheme="minorEastAsia"/>
          <w:bCs/>
          <w:color w:val="000000" w:themeColor="text1"/>
          <w:lang w:val="en-US" w:eastAsia="zh-CN"/>
        </w:rPr>
        <w:t xml:space="preserve"> known</w:t>
      </w:r>
      <w:r w:rsidR="00E34184" w:rsidRPr="006E798A">
        <w:rPr>
          <w:rFonts w:eastAsiaTheme="minorEastAsia"/>
          <w:bCs/>
          <w:color w:val="000000" w:themeColor="text1"/>
          <w:lang w:val="en-US" w:eastAsia="zh-CN"/>
        </w:rPr>
        <w:t xml:space="preserve"> conditions for associated DL-RS </w:t>
      </w:r>
    </w:p>
    <w:p w14:paraId="2C81467B" w14:textId="0156FA68" w:rsidR="003A6E13" w:rsidRPr="00F6487D" w:rsidRDefault="00A65CC1" w:rsidP="003A6E13">
      <w:pPr>
        <w:numPr>
          <w:ilvl w:val="1"/>
          <w:numId w:val="7"/>
        </w:numPr>
        <w:spacing w:after="120" w:line="252" w:lineRule="auto"/>
        <w:rPr>
          <w:lang w:eastAsia="ja-JP"/>
        </w:rPr>
      </w:pPr>
      <w:r>
        <w:rPr>
          <w:rFonts w:eastAsia="MS Mincho"/>
          <w:lang w:eastAsia="ja-JP"/>
        </w:rPr>
        <w:t>Re-use e</w:t>
      </w:r>
      <w:r w:rsidR="003A6E13" w:rsidRPr="00244FF5">
        <w:rPr>
          <w:rFonts w:eastAsia="MS Mincho"/>
          <w:lang w:eastAsia="ja-JP"/>
        </w:rPr>
        <w:t xml:space="preserve">xisting MAC-CE based TCI switching </w:t>
      </w:r>
      <w:r w:rsidR="002C6D9F">
        <w:rPr>
          <w:rFonts w:eastAsia="MS Mincho"/>
          <w:lang w:eastAsia="ja-JP"/>
        </w:rPr>
        <w:t xml:space="preserve">delay </w:t>
      </w:r>
      <w:r w:rsidR="003A6E13" w:rsidRPr="00244FF5">
        <w:rPr>
          <w:rFonts w:eastAsia="MS Mincho"/>
          <w:lang w:eastAsia="ja-JP"/>
        </w:rPr>
        <w:t>requirements</w:t>
      </w:r>
      <w:r w:rsidR="005306C7">
        <w:rPr>
          <w:rFonts w:eastAsia="MS Mincho"/>
          <w:lang w:eastAsia="ja-JP"/>
        </w:rPr>
        <w:t xml:space="preserve"> </w:t>
      </w:r>
      <w:r w:rsidR="00723636">
        <w:rPr>
          <w:rFonts w:eastAsia="MS Mincho"/>
          <w:lang w:eastAsia="ja-JP"/>
        </w:rPr>
        <w:t>for</w:t>
      </w:r>
      <w:r w:rsidR="003A6E13" w:rsidRPr="00244FF5">
        <w:rPr>
          <w:rFonts w:eastAsia="MS Mincho"/>
          <w:lang w:eastAsia="ja-JP"/>
        </w:rPr>
        <w:t xml:space="preserve"> </w:t>
      </w:r>
      <w:r w:rsidR="00723636">
        <w:rPr>
          <w:lang w:eastAsia="ja-JP"/>
        </w:rPr>
        <w:t xml:space="preserve">DL </w:t>
      </w:r>
      <w:r w:rsidR="00723636" w:rsidRPr="00244FF5">
        <w:rPr>
          <w:rFonts w:eastAsia="MS Mincho"/>
          <w:lang w:eastAsia="ja-JP"/>
        </w:rPr>
        <w:t>TCI</w:t>
      </w:r>
      <w:r w:rsidR="00723636">
        <w:rPr>
          <w:rFonts w:eastAsia="MS Mincho"/>
          <w:lang w:eastAsia="ja-JP"/>
        </w:rPr>
        <w:t xml:space="preserve"> </w:t>
      </w:r>
      <w:r w:rsidR="00EB4B9E" w:rsidRPr="00EB4B9E">
        <w:rPr>
          <w:lang w:eastAsia="ja-JP"/>
        </w:rPr>
        <w:t xml:space="preserve">switching </w:t>
      </w:r>
      <w:r w:rsidR="00723636">
        <w:rPr>
          <w:rFonts w:eastAsia="MS Mincho"/>
          <w:lang w:eastAsia="ja-JP"/>
        </w:rPr>
        <w:t>delay</w:t>
      </w:r>
      <w:r w:rsidR="00223D9F">
        <w:rPr>
          <w:rFonts w:eastAsia="MS Mincho"/>
          <w:lang w:eastAsia="ja-JP"/>
        </w:rPr>
        <w:t xml:space="preserve"> </w:t>
      </w:r>
      <w:r w:rsidR="006E4375" w:rsidRPr="00244FF5">
        <w:rPr>
          <w:rFonts w:eastAsia="MS Mincho"/>
          <w:lang w:eastAsia="ja-JP"/>
        </w:rPr>
        <w:t>requirements</w:t>
      </w:r>
      <w:r w:rsidR="006E4375">
        <w:rPr>
          <w:rFonts w:eastAsia="MS Mincho"/>
          <w:lang w:eastAsia="ja-JP"/>
        </w:rPr>
        <w:t xml:space="preserve"> </w:t>
      </w:r>
      <w:r w:rsidR="00223D9F">
        <w:rPr>
          <w:rFonts w:eastAsia="MS Mincho"/>
          <w:lang w:eastAsia="ja-JP"/>
        </w:rPr>
        <w:t>for PDCCH and PDSCH</w:t>
      </w:r>
      <w:r w:rsidR="00324D3E">
        <w:rPr>
          <w:rFonts w:eastAsia="MS Mincho"/>
          <w:lang w:eastAsia="ja-JP"/>
        </w:rPr>
        <w:t xml:space="preserve"> </w:t>
      </w:r>
    </w:p>
    <w:p w14:paraId="27F4E6CA" w14:textId="5319F267" w:rsidR="00F6487D" w:rsidRDefault="00A65CC1" w:rsidP="00F6487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lang w:eastAsia="ja-JP"/>
        </w:rPr>
      </w:pPr>
      <w:r w:rsidRPr="002E3267">
        <w:rPr>
          <w:lang w:eastAsia="ja-JP"/>
        </w:rPr>
        <w:t>R</w:t>
      </w:r>
      <w:r w:rsidR="00F6487D" w:rsidRPr="002E3267">
        <w:rPr>
          <w:rFonts w:hint="eastAsia"/>
          <w:lang w:eastAsia="ja-JP"/>
        </w:rPr>
        <w:t xml:space="preserve">euse existing MAC-CE based uplink spatial relation switching requirements for UL TCI </w:t>
      </w:r>
      <w:r w:rsidR="00FD3C8C" w:rsidRPr="00EB4B9E">
        <w:rPr>
          <w:lang w:eastAsia="ja-JP"/>
        </w:rPr>
        <w:t xml:space="preserve">switching </w:t>
      </w:r>
      <w:r w:rsidR="00FD3C8C">
        <w:rPr>
          <w:lang w:eastAsia="ja-JP"/>
        </w:rPr>
        <w:t xml:space="preserve">delay </w:t>
      </w:r>
      <w:r w:rsidR="00F6487D" w:rsidRPr="002E3267">
        <w:rPr>
          <w:rFonts w:hint="eastAsia"/>
          <w:lang w:eastAsia="ja-JP"/>
        </w:rPr>
        <w:t>as starting points</w:t>
      </w:r>
      <w:r w:rsidR="00676268">
        <w:rPr>
          <w:lang w:eastAsia="ja-JP"/>
        </w:rPr>
        <w:t xml:space="preserve"> </w:t>
      </w:r>
    </w:p>
    <w:p w14:paraId="308E5CFD" w14:textId="2506C4AF" w:rsidR="00B82600" w:rsidRDefault="00B82600" w:rsidP="00B8260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FS: Whether and how to specify requirements for </w:t>
      </w:r>
      <w:r w:rsidRPr="000E49E0">
        <w:rPr>
          <w:lang w:eastAsia="ja-JP"/>
        </w:rPr>
        <w:t>MAC-CE based TCI state-pair indication, considering such one TCI state-pair containing 1 DL TCI and 1 UL TCI</w:t>
      </w:r>
      <w:r>
        <w:rPr>
          <w:lang w:eastAsia="ja-JP"/>
        </w:rPr>
        <w:t>, and the source RSs for the 2 TCIs are different.</w:t>
      </w:r>
    </w:p>
    <w:p w14:paraId="25752CE4" w14:textId="77777777" w:rsidR="00B82600" w:rsidRDefault="00B82600" w:rsidP="00B82600">
      <w:pPr>
        <w:pStyle w:val="ListParagraph"/>
        <w:overflowPunct/>
        <w:autoSpaceDE/>
        <w:autoSpaceDN/>
        <w:adjustRightInd/>
        <w:spacing w:after="0"/>
        <w:ind w:left="1080" w:firstLineChars="0" w:firstLine="0"/>
        <w:textAlignment w:val="auto"/>
        <w:rPr>
          <w:lang w:eastAsia="ja-JP"/>
        </w:rPr>
      </w:pPr>
    </w:p>
    <w:p w14:paraId="5F3B012E" w14:textId="77777777" w:rsidR="00AD63AA" w:rsidRDefault="00AD63AA" w:rsidP="00CF18BD">
      <w:pPr>
        <w:spacing w:after="0"/>
        <w:rPr>
          <w:lang w:eastAsia="ja-JP"/>
        </w:rPr>
      </w:pPr>
    </w:p>
    <w:p w14:paraId="1EEEF79D" w14:textId="69BF2AC4" w:rsidR="00132890" w:rsidRDefault="00E70E39" w:rsidP="00132890">
      <w:pPr>
        <w:pStyle w:val="Heading3"/>
        <w:numPr>
          <w:ilvl w:val="0"/>
          <w:numId w:val="0"/>
        </w:numPr>
        <w:rPr>
          <w:sz w:val="24"/>
          <w:szCs w:val="24"/>
        </w:rPr>
      </w:pPr>
      <w:r w:rsidRPr="00932263">
        <w:rPr>
          <w:sz w:val="24"/>
          <w:szCs w:val="24"/>
        </w:rPr>
        <w:t>Issue</w:t>
      </w:r>
      <w:r>
        <w:rPr>
          <w:sz w:val="24"/>
          <w:szCs w:val="24"/>
        </w:rPr>
        <w:t xml:space="preserve"> </w:t>
      </w:r>
      <w:r w:rsidR="0015066B">
        <w:rPr>
          <w:sz w:val="24"/>
          <w:szCs w:val="24"/>
        </w:rPr>
        <w:t>3:</w:t>
      </w:r>
      <w:r>
        <w:rPr>
          <w:sz w:val="24"/>
          <w:szCs w:val="24"/>
        </w:rPr>
        <w:t xml:space="preserve"> MAC-CE based DL/UL TCI </w:t>
      </w:r>
      <w:r w:rsidR="0048298D" w:rsidRPr="00114006">
        <w:rPr>
          <w:sz w:val="24"/>
          <w:szCs w:val="24"/>
        </w:rPr>
        <w:t xml:space="preserve">switching </w:t>
      </w:r>
      <w:r w:rsidR="004827FD">
        <w:rPr>
          <w:sz w:val="24"/>
          <w:szCs w:val="24"/>
        </w:rPr>
        <w:t>delay</w:t>
      </w:r>
      <w:r>
        <w:rPr>
          <w:sz w:val="24"/>
          <w:szCs w:val="24"/>
        </w:rPr>
        <w:t xml:space="preserve"> in </w:t>
      </w:r>
      <w:r w:rsidR="00870D18">
        <w:rPr>
          <w:sz w:val="24"/>
          <w:szCs w:val="24"/>
        </w:rPr>
        <w:t>Joint</w:t>
      </w:r>
      <w:r>
        <w:rPr>
          <w:sz w:val="24"/>
          <w:szCs w:val="24"/>
        </w:rPr>
        <w:t xml:space="preserve"> TCI mode</w:t>
      </w:r>
      <w:r w:rsidR="00132890">
        <w:rPr>
          <w:sz w:val="24"/>
          <w:szCs w:val="24"/>
        </w:rPr>
        <w:t xml:space="preserve"> for serving cell</w:t>
      </w:r>
    </w:p>
    <w:p w14:paraId="32AB9D70" w14:textId="73D6A04C" w:rsidR="00E34FC7" w:rsidRDefault="009E3C99" w:rsidP="00E34FC7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>
        <w:rPr>
          <w:lang w:eastAsia="ja-JP"/>
        </w:rPr>
        <w:t xml:space="preserve">Re-use </w:t>
      </w:r>
      <w:r w:rsidR="00E34FC7" w:rsidRPr="006E798A">
        <w:rPr>
          <w:rFonts w:eastAsiaTheme="minorEastAsia"/>
          <w:bCs/>
          <w:color w:val="000000" w:themeColor="text1"/>
          <w:lang w:val="en-US" w:eastAsia="zh-CN"/>
        </w:rPr>
        <w:t>existing</w:t>
      </w:r>
      <w:r w:rsidR="003D16BA">
        <w:rPr>
          <w:rFonts w:eastAsiaTheme="minorEastAsia"/>
          <w:bCs/>
          <w:color w:val="000000" w:themeColor="text1"/>
          <w:lang w:val="en-US" w:eastAsia="zh-CN"/>
        </w:rPr>
        <w:t xml:space="preserve"> known</w:t>
      </w:r>
      <w:r w:rsidR="00E34FC7" w:rsidRPr="006E798A">
        <w:rPr>
          <w:rFonts w:eastAsiaTheme="minorEastAsia"/>
          <w:bCs/>
          <w:color w:val="000000" w:themeColor="text1"/>
          <w:lang w:val="en-US" w:eastAsia="zh-CN"/>
        </w:rPr>
        <w:t xml:space="preserve"> conditions for associated DL-RS </w:t>
      </w:r>
    </w:p>
    <w:p w14:paraId="2EF7F232" w14:textId="40628411" w:rsidR="00FE4129" w:rsidRPr="00CF18BD" w:rsidRDefault="00FE4129" w:rsidP="00FE412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CF18BD">
        <w:rPr>
          <w:lang w:eastAsia="ja-JP"/>
        </w:rPr>
        <w:t>RAN4 will further discuss whether to define a total switching delay requirement or re-use the legacy requirements or DL/UL TCI switching delay defined in separate mode</w:t>
      </w:r>
    </w:p>
    <w:p w14:paraId="5E4D2194" w14:textId="77777777" w:rsidR="00AD63AA" w:rsidRDefault="00AD63AA" w:rsidP="00CF18BD"/>
    <w:p w14:paraId="3040540C" w14:textId="0F30CDA0" w:rsidR="00132890" w:rsidRDefault="00910440" w:rsidP="00132890">
      <w:pPr>
        <w:pStyle w:val="Heading3"/>
        <w:numPr>
          <w:ilvl w:val="0"/>
          <w:numId w:val="0"/>
        </w:numPr>
        <w:rPr>
          <w:sz w:val="24"/>
          <w:szCs w:val="24"/>
        </w:rPr>
      </w:pPr>
      <w:r w:rsidRPr="00932263">
        <w:rPr>
          <w:sz w:val="24"/>
          <w:szCs w:val="24"/>
        </w:rPr>
        <w:t>Issue</w:t>
      </w:r>
      <w:r>
        <w:rPr>
          <w:sz w:val="24"/>
          <w:szCs w:val="24"/>
        </w:rPr>
        <w:t xml:space="preserve"> 4: </w:t>
      </w:r>
      <w:r w:rsidR="00CA6957" w:rsidRPr="00CA6957">
        <w:rPr>
          <w:sz w:val="24"/>
          <w:szCs w:val="24"/>
        </w:rPr>
        <w:t xml:space="preserve">DCI based TCI </w:t>
      </w:r>
      <w:r w:rsidR="0048298D">
        <w:rPr>
          <w:sz w:val="24"/>
          <w:szCs w:val="24"/>
        </w:rPr>
        <w:t xml:space="preserve">state </w:t>
      </w:r>
      <w:r w:rsidR="0048298D" w:rsidRPr="00114006">
        <w:rPr>
          <w:sz w:val="24"/>
          <w:szCs w:val="24"/>
        </w:rPr>
        <w:t xml:space="preserve">switching </w:t>
      </w:r>
      <w:r w:rsidR="00EB4B9E">
        <w:rPr>
          <w:sz w:val="24"/>
          <w:szCs w:val="24"/>
        </w:rPr>
        <w:t xml:space="preserve">delay </w:t>
      </w:r>
      <w:r w:rsidR="00132890">
        <w:rPr>
          <w:sz w:val="24"/>
          <w:szCs w:val="24"/>
        </w:rPr>
        <w:t>for serving cell</w:t>
      </w:r>
    </w:p>
    <w:p w14:paraId="645F4559" w14:textId="77777777" w:rsidR="00C62D90" w:rsidRDefault="00C62D90" w:rsidP="00C62D9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EC7A94">
        <w:rPr>
          <w:lang w:eastAsia="ja-JP"/>
        </w:rPr>
        <w:t>RAN4 will further discuss DCI based TCI switching delay requirements in RAN4 based on the clear decision in RAN1</w:t>
      </w:r>
    </w:p>
    <w:p w14:paraId="3F10EC72" w14:textId="29E75B83" w:rsidR="00285D4A" w:rsidRDefault="00266371" w:rsidP="00C62D9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EC7A94">
        <w:rPr>
          <w:lang w:eastAsia="ja-JP"/>
        </w:rPr>
        <w:t>RAN4 will further</w:t>
      </w:r>
      <w:r>
        <w:rPr>
          <w:lang w:eastAsia="ja-JP"/>
        </w:rPr>
        <w:t xml:space="preserve"> </w:t>
      </w:r>
      <w:r w:rsidR="002C7307">
        <w:rPr>
          <w:lang w:eastAsia="ja-JP"/>
        </w:rPr>
        <w:t xml:space="preserve">discuss </w:t>
      </w:r>
      <w:r>
        <w:rPr>
          <w:lang w:eastAsia="ja-JP"/>
        </w:rPr>
        <w:t>the</w:t>
      </w:r>
      <w:r w:rsidR="00C62D90">
        <w:rPr>
          <w:lang w:eastAsia="ja-JP"/>
        </w:rPr>
        <w:t xml:space="preserve"> </w:t>
      </w:r>
      <w:r w:rsidR="00122F38" w:rsidRPr="00CF18BD">
        <w:rPr>
          <w:lang w:eastAsia="ja-JP"/>
        </w:rPr>
        <w:t>below</w:t>
      </w:r>
      <w:r w:rsidR="00122F38">
        <w:rPr>
          <w:lang w:eastAsia="ja-JP"/>
        </w:rPr>
        <w:t xml:space="preserve"> </w:t>
      </w:r>
      <w:r w:rsidR="00C62D90">
        <w:rPr>
          <w:lang w:eastAsia="ja-JP"/>
        </w:rPr>
        <w:t>condition</w:t>
      </w:r>
      <w:r w:rsidR="00122F38">
        <w:rPr>
          <w:lang w:eastAsia="ja-JP"/>
        </w:rPr>
        <w:t>s</w:t>
      </w:r>
      <w:r w:rsidR="00C62D90">
        <w:rPr>
          <w:lang w:eastAsia="ja-JP"/>
        </w:rPr>
        <w:t xml:space="preserve"> for DCI based </w:t>
      </w:r>
      <w:r w:rsidR="00FD6E6A" w:rsidRPr="00EC7A94">
        <w:rPr>
          <w:lang w:eastAsia="ja-JP"/>
        </w:rPr>
        <w:t xml:space="preserve">switching </w:t>
      </w:r>
      <w:r w:rsidR="002C7307">
        <w:rPr>
          <w:lang w:eastAsia="ja-JP"/>
        </w:rPr>
        <w:t>requirement</w:t>
      </w:r>
      <w:r w:rsidR="00C62D90">
        <w:rPr>
          <w:lang w:eastAsia="ja-JP"/>
        </w:rPr>
        <w:t xml:space="preserve">  </w:t>
      </w:r>
    </w:p>
    <w:p w14:paraId="7DF2A2E7" w14:textId="15D6CA94" w:rsidR="00285D4A" w:rsidRPr="004C6FA6" w:rsidRDefault="00285D4A" w:rsidP="00285D4A">
      <w:pPr>
        <w:pStyle w:val="ListParagraph"/>
        <w:numPr>
          <w:ilvl w:val="1"/>
          <w:numId w:val="1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6E798A">
        <w:rPr>
          <w:rFonts w:eastAsiaTheme="minorEastAsia"/>
          <w:bCs/>
          <w:color w:val="000000" w:themeColor="text1"/>
          <w:lang w:val="en-US" w:eastAsia="zh-CN"/>
        </w:rPr>
        <w:t>DCI based TCI switch (for joint or UL TCI) requirements are defined for known TCI, target TCI in active TCI list (for joint only) and PL-RS is maintained</w:t>
      </w:r>
    </w:p>
    <w:p w14:paraId="6C26481C" w14:textId="13A94ACB" w:rsidR="00CD30AB" w:rsidRPr="00910440" w:rsidRDefault="00CD30AB" w:rsidP="00285D4A">
      <w:pPr>
        <w:pStyle w:val="ListParagraph"/>
        <w:numPr>
          <w:ilvl w:val="1"/>
          <w:numId w:val="1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>
        <w:rPr>
          <w:lang w:eastAsia="zh-CN"/>
        </w:rPr>
        <w:t>DCI-</w:t>
      </w:r>
      <w:r w:rsidRPr="000E49E0">
        <w:rPr>
          <w:lang w:eastAsia="zh-CN"/>
        </w:rPr>
        <w:t xml:space="preserve">based TCI state-pair </w:t>
      </w:r>
      <w:r>
        <w:rPr>
          <w:lang w:eastAsia="zh-CN"/>
        </w:rPr>
        <w:t>switch is not precluded</w:t>
      </w:r>
      <w:r w:rsidRPr="000E49E0">
        <w:rPr>
          <w:lang w:eastAsia="zh-CN"/>
        </w:rPr>
        <w:t>, considering such one TCI state-pair containing 1 DL TCI and 1 UL TCI</w:t>
      </w:r>
      <w:r>
        <w:rPr>
          <w:lang w:eastAsia="zh-CN"/>
        </w:rPr>
        <w:t>, and the source RSs for the 2 TCIs are different.</w:t>
      </w:r>
    </w:p>
    <w:p w14:paraId="6DD2015B" w14:textId="77777777" w:rsidR="00B34EFE" w:rsidRDefault="00B34EFE" w:rsidP="00C816E1">
      <w:pPr>
        <w:spacing w:after="120" w:line="252" w:lineRule="auto"/>
        <w:rPr>
          <w:sz w:val="24"/>
          <w:szCs w:val="24"/>
        </w:rPr>
      </w:pPr>
    </w:p>
    <w:p w14:paraId="12478CC4" w14:textId="33E185AD" w:rsidR="00910440" w:rsidRDefault="00910440" w:rsidP="00910440">
      <w:pPr>
        <w:pStyle w:val="Heading3"/>
        <w:numPr>
          <w:ilvl w:val="0"/>
          <w:numId w:val="0"/>
        </w:numPr>
        <w:rPr>
          <w:sz w:val="24"/>
          <w:szCs w:val="24"/>
        </w:rPr>
      </w:pPr>
      <w:r w:rsidRPr="00932263">
        <w:rPr>
          <w:sz w:val="24"/>
          <w:szCs w:val="24"/>
        </w:rPr>
        <w:t>Issue</w:t>
      </w:r>
      <w:r>
        <w:rPr>
          <w:sz w:val="24"/>
          <w:szCs w:val="24"/>
        </w:rPr>
        <w:t xml:space="preserve"> 5: M</w:t>
      </w:r>
      <w:r w:rsidRPr="00114006">
        <w:rPr>
          <w:sz w:val="24"/>
          <w:szCs w:val="24"/>
        </w:rPr>
        <w:t>ultiple TCI switching delay</w:t>
      </w:r>
    </w:p>
    <w:p w14:paraId="4C2AC3CC" w14:textId="47255BAD" w:rsidR="000A6A44" w:rsidRPr="00CF18BD" w:rsidRDefault="000A6A44" w:rsidP="000A6A44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CF18BD">
        <w:rPr>
          <w:lang w:eastAsia="ja-JP"/>
        </w:rPr>
        <w:t xml:space="preserve">RAN4 will </w:t>
      </w:r>
      <w:r w:rsidRPr="00CF18BD">
        <w:rPr>
          <w:lang w:eastAsia="zh-CN"/>
        </w:rPr>
        <w:t xml:space="preserve">deprioritize the </w:t>
      </w:r>
      <w:r w:rsidRPr="00CF18BD">
        <w:rPr>
          <w:lang w:eastAsia="ja-JP"/>
        </w:rPr>
        <w:t>discussion about whether to specify the requirements for multiple TCI switching delay</w:t>
      </w:r>
    </w:p>
    <w:p w14:paraId="510A5D92" w14:textId="77777777" w:rsidR="00B34EFE" w:rsidRDefault="00B34EFE" w:rsidP="00CF18BD">
      <w:pPr>
        <w:spacing w:after="120" w:line="252" w:lineRule="auto"/>
        <w:rPr>
          <w:lang w:eastAsia="ja-JP"/>
        </w:rPr>
      </w:pPr>
    </w:p>
    <w:p w14:paraId="5BAC77F7" w14:textId="5F72F8D1" w:rsidR="00910440" w:rsidRDefault="00910440" w:rsidP="00910440">
      <w:pPr>
        <w:pStyle w:val="Heading3"/>
        <w:numPr>
          <w:ilvl w:val="0"/>
          <w:numId w:val="0"/>
        </w:numPr>
        <w:rPr>
          <w:sz w:val="24"/>
          <w:szCs w:val="24"/>
        </w:rPr>
      </w:pPr>
      <w:r w:rsidRPr="00932263">
        <w:rPr>
          <w:sz w:val="24"/>
          <w:szCs w:val="24"/>
        </w:rPr>
        <w:t>Issue</w:t>
      </w:r>
      <w:r>
        <w:rPr>
          <w:sz w:val="24"/>
          <w:szCs w:val="24"/>
        </w:rPr>
        <w:t xml:space="preserve"> 6: </w:t>
      </w:r>
      <w:r w:rsidR="00624EA2">
        <w:rPr>
          <w:sz w:val="24"/>
          <w:szCs w:val="24"/>
        </w:rPr>
        <w:t>C</w:t>
      </w:r>
      <w:r w:rsidRPr="00910440">
        <w:rPr>
          <w:sz w:val="24"/>
          <w:szCs w:val="24"/>
        </w:rPr>
        <w:t>ommon TCI switching delay for CA case</w:t>
      </w:r>
    </w:p>
    <w:p w14:paraId="028317F9" w14:textId="405DB887" w:rsidR="00910440" w:rsidRDefault="00910440" w:rsidP="00910440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EC7A94">
        <w:rPr>
          <w:lang w:eastAsia="ja-JP"/>
        </w:rPr>
        <w:t>RAN4 will further discuss whether to specify the requirements for common TCI switching delay for CA cas</w:t>
      </w:r>
      <w:r>
        <w:rPr>
          <w:lang w:eastAsia="ja-JP"/>
        </w:rPr>
        <w:t>e</w:t>
      </w:r>
    </w:p>
    <w:p w14:paraId="667CE277" w14:textId="77777777" w:rsidR="00B34EFE" w:rsidRDefault="00B34EFE" w:rsidP="00CF18BD">
      <w:pPr>
        <w:spacing w:after="120" w:line="252" w:lineRule="auto"/>
        <w:rPr>
          <w:lang w:eastAsia="ja-JP"/>
        </w:rPr>
      </w:pPr>
    </w:p>
    <w:p w14:paraId="0290ADAA" w14:textId="1CA85995" w:rsidR="00FB4C90" w:rsidRPr="00BA562C" w:rsidRDefault="00FB4C90" w:rsidP="00FB4C90">
      <w:pPr>
        <w:pStyle w:val="Heading3"/>
        <w:numPr>
          <w:ilvl w:val="0"/>
          <w:numId w:val="0"/>
        </w:numPr>
        <w:rPr>
          <w:sz w:val="24"/>
          <w:szCs w:val="24"/>
        </w:rPr>
      </w:pPr>
      <w:r w:rsidRPr="00815697">
        <w:rPr>
          <w:sz w:val="24"/>
          <w:szCs w:val="24"/>
        </w:rPr>
        <w:t>Issue 7:</w:t>
      </w:r>
      <w:r>
        <w:rPr>
          <w:sz w:val="24"/>
          <w:szCs w:val="24"/>
        </w:rPr>
        <w:t xml:space="preserve"> TCI switch delay </w:t>
      </w:r>
      <w:r w:rsidRPr="00D44ACE">
        <w:rPr>
          <w:sz w:val="24"/>
          <w:szCs w:val="24"/>
        </w:rPr>
        <w:t xml:space="preserve">requirements for target TCI is associated with </w:t>
      </w:r>
      <w:r w:rsidR="00BA562C" w:rsidRPr="006865EB">
        <w:rPr>
          <w:sz w:val="24"/>
          <w:szCs w:val="24"/>
        </w:rPr>
        <w:t>non-serving cell (i.e., cell with different PCI)</w:t>
      </w:r>
    </w:p>
    <w:p w14:paraId="16959A99" w14:textId="77777777" w:rsidR="001A7DF8" w:rsidRPr="00CF18BD" w:rsidRDefault="001A7DF8" w:rsidP="00CF18B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CF18BD">
        <w:rPr>
          <w:lang w:eastAsia="ja-JP"/>
        </w:rPr>
        <w:t xml:space="preserve">Re-use existing known conditions for associated DL-RS </w:t>
      </w:r>
    </w:p>
    <w:p w14:paraId="04588AD2" w14:textId="73757D75" w:rsidR="001A7DF8" w:rsidRPr="00CF18BD" w:rsidRDefault="006816C8" w:rsidP="00CF18B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CF18BD">
        <w:rPr>
          <w:lang w:eastAsia="ja-JP"/>
        </w:rPr>
        <w:t xml:space="preserve">FFS: </w:t>
      </w:r>
      <w:r w:rsidR="001A7DF8" w:rsidRPr="00CF18BD">
        <w:rPr>
          <w:lang w:eastAsia="ja-JP"/>
        </w:rPr>
        <w:t xml:space="preserve">Re-use existing MAC-CE based TCI switching delay requirements for DL TCI switching delay requirements for PDCCH and PDSCH </w:t>
      </w:r>
    </w:p>
    <w:p w14:paraId="159F6AB9" w14:textId="405B8D8C" w:rsidR="00910440" w:rsidRDefault="001A7DF8" w:rsidP="00CF18B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CF18BD">
        <w:rPr>
          <w:lang w:eastAsia="ja-JP"/>
        </w:rPr>
        <w:t xml:space="preserve">Reuse existing MAC-CE based uplink spatial relation switching requirements for UL TCI switching delay as starting points. </w:t>
      </w:r>
    </w:p>
    <w:p w14:paraId="1351F859" w14:textId="7B91A4F2" w:rsidR="00BA562C" w:rsidRPr="00CA103B" w:rsidRDefault="004E72B0" w:rsidP="00CF18BD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lang w:eastAsia="ja-JP"/>
        </w:rPr>
      </w:pPr>
      <w:r>
        <w:rPr>
          <w:lang w:eastAsia="ja-JP"/>
        </w:rPr>
        <w:t>RAN4 f</w:t>
      </w:r>
      <w:r w:rsidR="00BA562C">
        <w:rPr>
          <w:lang w:eastAsia="ja-JP"/>
        </w:rPr>
        <w:t xml:space="preserve">urther discuss </w:t>
      </w:r>
      <w:r w:rsidR="005B1665">
        <w:rPr>
          <w:lang w:eastAsia="ja-JP"/>
        </w:rPr>
        <w:t xml:space="preserve">how to elaborate </w:t>
      </w:r>
      <w:r w:rsidR="00477CFD">
        <w:rPr>
          <w:lang w:eastAsia="ja-JP"/>
        </w:rPr>
        <w:t>the wording for “non-serving cell”</w:t>
      </w:r>
    </w:p>
    <w:sectPr w:rsidR="00BA562C" w:rsidRPr="00CA1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75133" w14:textId="77777777" w:rsidR="00C21339" w:rsidRDefault="00C21339" w:rsidP="00533B52">
      <w:pPr>
        <w:spacing w:after="0"/>
      </w:pPr>
      <w:r>
        <w:separator/>
      </w:r>
    </w:p>
  </w:endnote>
  <w:endnote w:type="continuationSeparator" w:id="0">
    <w:p w14:paraId="06643865" w14:textId="77777777" w:rsidR="00C21339" w:rsidRDefault="00C21339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180C4" w14:textId="77777777" w:rsidR="00C21339" w:rsidRDefault="00C21339" w:rsidP="00533B52">
      <w:pPr>
        <w:spacing w:after="0"/>
      </w:pPr>
      <w:r>
        <w:separator/>
      </w:r>
    </w:p>
  </w:footnote>
  <w:footnote w:type="continuationSeparator" w:id="0">
    <w:p w14:paraId="61DB56A0" w14:textId="77777777" w:rsidR="00C21339" w:rsidRDefault="00C21339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DengXian" w:eastAsia="DengXian" w:hAnsi="DengXian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8"/>
  </w:num>
  <w:num w:numId="4">
    <w:abstractNumId w:val="16"/>
  </w:num>
  <w:num w:numId="5">
    <w:abstractNumId w:val="11"/>
  </w:num>
  <w:num w:numId="6">
    <w:abstractNumId w:val="6"/>
  </w:num>
  <w:num w:numId="7">
    <w:abstractNumId w:val="13"/>
  </w:num>
  <w:num w:numId="8">
    <w:abstractNumId w:val="15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 w:numId="13">
    <w:abstractNumId w:val="8"/>
  </w:num>
  <w:num w:numId="14">
    <w:abstractNumId w:val="8"/>
  </w:num>
  <w:num w:numId="15">
    <w:abstractNumId w:val="8"/>
  </w:num>
  <w:num w:numId="16">
    <w:abstractNumId w:val="4"/>
  </w:num>
  <w:num w:numId="17">
    <w:abstractNumId w:val="1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 w:numId="26">
    <w:abstractNumId w:val="10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11D70"/>
    <w:rsid w:val="00026433"/>
    <w:rsid w:val="00030FDC"/>
    <w:rsid w:val="000312E5"/>
    <w:rsid w:val="00031D26"/>
    <w:rsid w:val="0003214F"/>
    <w:rsid w:val="000323D2"/>
    <w:rsid w:val="00044D7E"/>
    <w:rsid w:val="000537B6"/>
    <w:rsid w:val="00070DB3"/>
    <w:rsid w:val="000723F7"/>
    <w:rsid w:val="000755E2"/>
    <w:rsid w:val="00076546"/>
    <w:rsid w:val="00082208"/>
    <w:rsid w:val="000909CC"/>
    <w:rsid w:val="000A1765"/>
    <w:rsid w:val="000A198B"/>
    <w:rsid w:val="000A51E9"/>
    <w:rsid w:val="000A6A44"/>
    <w:rsid w:val="000C02EC"/>
    <w:rsid w:val="000C2C70"/>
    <w:rsid w:val="000C6F5E"/>
    <w:rsid w:val="000C6FCC"/>
    <w:rsid w:val="000E5184"/>
    <w:rsid w:val="000E5EC1"/>
    <w:rsid w:val="000F07B3"/>
    <w:rsid w:val="00101DD8"/>
    <w:rsid w:val="00102F22"/>
    <w:rsid w:val="001070C1"/>
    <w:rsid w:val="00114006"/>
    <w:rsid w:val="001141D5"/>
    <w:rsid w:val="00122F38"/>
    <w:rsid w:val="00125886"/>
    <w:rsid w:val="00132890"/>
    <w:rsid w:val="00133559"/>
    <w:rsid w:val="001345F4"/>
    <w:rsid w:val="00136D5E"/>
    <w:rsid w:val="00141056"/>
    <w:rsid w:val="00143059"/>
    <w:rsid w:val="00145F1A"/>
    <w:rsid w:val="00146F3D"/>
    <w:rsid w:val="0015066B"/>
    <w:rsid w:val="0016735E"/>
    <w:rsid w:val="0017456D"/>
    <w:rsid w:val="001A7DF8"/>
    <w:rsid w:val="001B70DB"/>
    <w:rsid w:val="001C2F93"/>
    <w:rsid w:val="001D732B"/>
    <w:rsid w:val="001E4B26"/>
    <w:rsid w:val="001E60BF"/>
    <w:rsid w:val="001F5664"/>
    <w:rsid w:val="00207B34"/>
    <w:rsid w:val="00213626"/>
    <w:rsid w:val="00220270"/>
    <w:rsid w:val="0022127C"/>
    <w:rsid w:val="00223D9F"/>
    <w:rsid w:val="0023516E"/>
    <w:rsid w:val="00235FF1"/>
    <w:rsid w:val="002526E2"/>
    <w:rsid w:val="00255EC2"/>
    <w:rsid w:val="00263FE2"/>
    <w:rsid w:val="00266371"/>
    <w:rsid w:val="00274DDE"/>
    <w:rsid w:val="002839E0"/>
    <w:rsid w:val="00285D4A"/>
    <w:rsid w:val="002940C3"/>
    <w:rsid w:val="00294218"/>
    <w:rsid w:val="0029703B"/>
    <w:rsid w:val="00297CC9"/>
    <w:rsid w:val="002B367B"/>
    <w:rsid w:val="002B6312"/>
    <w:rsid w:val="002B72F1"/>
    <w:rsid w:val="002C18A9"/>
    <w:rsid w:val="002C6D9F"/>
    <w:rsid w:val="002C7307"/>
    <w:rsid w:val="002D671E"/>
    <w:rsid w:val="002E3267"/>
    <w:rsid w:val="003135A5"/>
    <w:rsid w:val="00316497"/>
    <w:rsid w:val="00324D3E"/>
    <w:rsid w:val="00330068"/>
    <w:rsid w:val="0033115A"/>
    <w:rsid w:val="003311FB"/>
    <w:rsid w:val="00332A01"/>
    <w:rsid w:val="003527F3"/>
    <w:rsid w:val="003565DF"/>
    <w:rsid w:val="003615F7"/>
    <w:rsid w:val="00373183"/>
    <w:rsid w:val="003740B6"/>
    <w:rsid w:val="003847EE"/>
    <w:rsid w:val="003A666A"/>
    <w:rsid w:val="003A6E13"/>
    <w:rsid w:val="003B3793"/>
    <w:rsid w:val="003D16BA"/>
    <w:rsid w:val="003D6B19"/>
    <w:rsid w:val="003D7AE8"/>
    <w:rsid w:val="003E158C"/>
    <w:rsid w:val="003F524C"/>
    <w:rsid w:val="003F60D6"/>
    <w:rsid w:val="004242E9"/>
    <w:rsid w:val="00430D4A"/>
    <w:rsid w:val="00437BDE"/>
    <w:rsid w:val="00440AF7"/>
    <w:rsid w:val="00446EC6"/>
    <w:rsid w:val="0045245F"/>
    <w:rsid w:val="004555CC"/>
    <w:rsid w:val="004607FA"/>
    <w:rsid w:val="0046387C"/>
    <w:rsid w:val="00467F4D"/>
    <w:rsid w:val="004745F6"/>
    <w:rsid w:val="00476A29"/>
    <w:rsid w:val="00477CFD"/>
    <w:rsid w:val="00482280"/>
    <w:rsid w:val="004827FD"/>
    <w:rsid w:val="0048298D"/>
    <w:rsid w:val="00496386"/>
    <w:rsid w:val="00496D7A"/>
    <w:rsid w:val="0049790A"/>
    <w:rsid w:val="004B05EF"/>
    <w:rsid w:val="004B2A87"/>
    <w:rsid w:val="004B3A2B"/>
    <w:rsid w:val="004B55E2"/>
    <w:rsid w:val="004B6D26"/>
    <w:rsid w:val="004C6FA6"/>
    <w:rsid w:val="004D4D3F"/>
    <w:rsid w:val="004E4574"/>
    <w:rsid w:val="004E66E3"/>
    <w:rsid w:val="004E72B0"/>
    <w:rsid w:val="004E7AEC"/>
    <w:rsid w:val="004F1054"/>
    <w:rsid w:val="004F194C"/>
    <w:rsid w:val="004F6EFD"/>
    <w:rsid w:val="00504156"/>
    <w:rsid w:val="005166B4"/>
    <w:rsid w:val="00524112"/>
    <w:rsid w:val="005252E4"/>
    <w:rsid w:val="00527B60"/>
    <w:rsid w:val="005306C7"/>
    <w:rsid w:val="005306DA"/>
    <w:rsid w:val="00533B52"/>
    <w:rsid w:val="00540B81"/>
    <w:rsid w:val="005527CD"/>
    <w:rsid w:val="0056381C"/>
    <w:rsid w:val="005662C3"/>
    <w:rsid w:val="00570407"/>
    <w:rsid w:val="00582132"/>
    <w:rsid w:val="00582818"/>
    <w:rsid w:val="005A46DD"/>
    <w:rsid w:val="005B1665"/>
    <w:rsid w:val="005B4C7C"/>
    <w:rsid w:val="005D3121"/>
    <w:rsid w:val="005D4E99"/>
    <w:rsid w:val="005D7B67"/>
    <w:rsid w:val="005E75C5"/>
    <w:rsid w:val="005F6826"/>
    <w:rsid w:val="006010E4"/>
    <w:rsid w:val="00605388"/>
    <w:rsid w:val="0061125A"/>
    <w:rsid w:val="00612155"/>
    <w:rsid w:val="00612C6D"/>
    <w:rsid w:val="006213E9"/>
    <w:rsid w:val="00622754"/>
    <w:rsid w:val="00624EA2"/>
    <w:rsid w:val="00636310"/>
    <w:rsid w:val="00641EEC"/>
    <w:rsid w:val="0064651F"/>
    <w:rsid w:val="00647FE6"/>
    <w:rsid w:val="00651E29"/>
    <w:rsid w:val="00652C62"/>
    <w:rsid w:val="006539F9"/>
    <w:rsid w:val="00662DFC"/>
    <w:rsid w:val="00666F6F"/>
    <w:rsid w:val="00676268"/>
    <w:rsid w:val="006816C8"/>
    <w:rsid w:val="00683EF5"/>
    <w:rsid w:val="006865EB"/>
    <w:rsid w:val="00687D40"/>
    <w:rsid w:val="006A1F5A"/>
    <w:rsid w:val="006B53DF"/>
    <w:rsid w:val="006B70BC"/>
    <w:rsid w:val="006C1D4B"/>
    <w:rsid w:val="006C4AE4"/>
    <w:rsid w:val="006D2BBB"/>
    <w:rsid w:val="006D7841"/>
    <w:rsid w:val="006E4375"/>
    <w:rsid w:val="006E5261"/>
    <w:rsid w:val="006F10B3"/>
    <w:rsid w:val="00704FC2"/>
    <w:rsid w:val="0070726D"/>
    <w:rsid w:val="00712F55"/>
    <w:rsid w:val="00715657"/>
    <w:rsid w:val="00721CFA"/>
    <w:rsid w:val="00723636"/>
    <w:rsid w:val="00724F37"/>
    <w:rsid w:val="00726531"/>
    <w:rsid w:val="00737134"/>
    <w:rsid w:val="007379E2"/>
    <w:rsid w:val="00752057"/>
    <w:rsid w:val="00752EA9"/>
    <w:rsid w:val="007610BA"/>
    <w:rsid w:val="00763687"/>
    <w:rsid w:val="00765170"/>
    <w:rsid w:val="00766355"/>
    <w:rsid w:val="0077166F"/>
    <w:rsid w:val="00774DF1"/>
    <w:rsid w:val="00777CB3"/>
    <w:rsid w:val="00783BCB"/>
    <w:rsid w:val="00794746"/>
    <w:rsid w:val="007A370E"/>
    <w:rsid w:val="007B00A7"/>
    <w:rsid w:val="007C2DA2"/>
    <w:rsid w:val="007C432E"/>
    <w:rsid w:val="007D0973"/>
    <w:rsid w:val="00801C5C"/>
    <w:rsid w:val="008038DD"/>
    <w:rsid w:val="008051F5"/>
    <w:rsid w:val="00815697"/>
    <w:rsid w:val="00820A50"/>
    <w:rsid w:val="008229DB"/>
    <w:rsid w:val="008314A8"/>
    <w:rsid w:val="00841456"/>
    <w:rsid w:val="00844E44"/>
    <w:rsid w:val="008463EF"/>
    <w:rsid w:val="00861749"/>
    <w:rsid w:val="00870AEA"/>
    <w:rsid w:val="00870D18"/>
    <w:rsid w:val="00875DCF"/>
    <w:rsid w:val="0088076C"/>
    <w:rsid w:val="00882B5B"/>
    <w:rsid w:val="00886C5D"/>
    <w:rsid w:val="008A14F4"/>
    <w:rsid w:val="008A48FF"/>
    <w:rsid w:val="008B0E25"/>
    <w:rsid w:val="008B24C2"/>
    <w:rsid w:val="008B2CF3"/>
    <w:rsid w:val="008B548C"/>
    <w:rsid w:val="008C246F"/>
    <w:rsid w:val="008C763B"/>
    <w:rsid w:val="008D38DF"/>
    <w:rsid w:val="008E4089"/>
    <w:rsid w:val="00900F1A"/>
    <w:rsid w:val="00910440"/>
    <w:rsid w:val="009115B5"/>
    <w:rsid w:val="00930A41"/>
    <w:rsid w:val="00930C17"/>
    <w:rsid w:val="00930FF0"/>
    <w:rsid w:val="00932263"/>
    <w:rsid w:val="009358A3"/>
    <w:rsid w:val="009369F9"/>
    <w:rsid w:val="00936BFD"/>
    <w:rsid w:val="009463EB"/>
    <w:rsid w:val="00950835"/>
    <w:rsid w:val="00955A0C"/>
    <w:rsid w:val="00960C78"/>
    <w:rsid w:val="00963A7B"/>
    <w:rsid w:val="0097126C"/>
    <w:rsid w:val="00973C76"/>
    <w:rsid w:val="009945E2"/>
    <w:rsid w:val="0099487D"/>
    <w:rsid w:val="00994C9E"/>
    <w:rsid w:val="0099595C"/>
    <w:rsid w:val="00997CD9"/>
    <w:rsid w:val="009C150A"/>
    <w:rsid w:val="009D08AF"/>
    <w:rsid w:val="009D187C"/>
    <w:rsid w:val="009E3C99"/>
    <w:rsid w:val="009F17F5"/>
    <w:rsid w:val="009F1800"/>
    <w:rsid w:val="009F1B1F"/>
    <w:rsid w:val="009F2884"/>
    <w:rsid w:val="00A003E8"/>
    <w:rsid w:val="00A02F1F"/>
    <w:rsid w:val="00A05ABE"/>
    <w:rsid w:val="00A15B16"/>
    <w:rsid w:val="00A21052"/>
    <w:rsid w:val="00A23E5E"/>
    <w:rsid w:val="00A31799"/>
    <w:rsid w:val="00A54B52"/>
    <w:rsid w:val="00A6172B"/>
    <w:rsid w:val="00A65595"/>
    <w:rsid w:val="00A65CC1"/>
    <w:rsid w:val="00A7504C"/>
    <w:rsid w:val="00A76BA4"/>
    <w:rsid w:val="00A7793D"/>
    <w:rsid w:val="00A80035"/>
    <w:rsid w:val="00A81425"/>
    <w:rsid w:val="00A85CD7"/>
    <w:rsid w:val="00A92EB0"/>
    <w:rsid w:val="00A93716"/>
    <w:rsid w:val="00AA0C61"/>
    <w:rsid w:val="00AA4A63"/>
    <w:rsid w:val="00AA74F4"/>
    <w:rsid w:val="00AC17AD"/>
    <w:rsid w:val="00AC3CC8"/>
    <w:rsid w:val="00AD1BF6"/>
    <w:rsid w:val="00AD63AA"/>
    <w:rsid w:val="00AF5FA5"/>
    <w:rsid w:val="00AF65DE"/>
    <w:rsid w:val="00B02004"/>
    <w:rsid w:val="00B073D3"/>
    <w:rsid w:val="00B1452E"/>
    <w:rsid w:val="00B15B5D"/>
    <w:rsid w:val="00B3095B"/>
    <w:rsid w:val="00B309E5"/>
    <w:rsid w:val="00B33709"/>
    <w:rsid w:val="00B34EFE"/>
    <w:rsid w:val="00B4061C"/>
    <w:rsid w:val="00B41474"/>
    <w:rsid w:val="00B42FD7"/>
    <w:rsid w:val="00B53EFB"/>
    <w:rsid w:val="00B73261"/>
    <w:rsid w:val="00B772F6"/>
    <w:rsid w:val="00B80601"/>
    <w:rsid w:val="00B82600"/>
    <w:rsid w:val="00B858BB"/>
    <w:rsid w:val="00B93FA6"/>
    <w:rsid w:val="00BA562C"/>
    <w:rsid w:val="00BB08C9"/>
    <w:rsid w:val="00BB4111"/>
    <w:rsid w:val="00BB6872"/>
    <w:rsid w:val="00BB711A"/>
    <w:rsid w:val="00BB7455"/>
    <w:rsid w:val="00BC05A9"/>
    <w:rsid w:val="00BC1A68"/>
    <w:rsid w:val="00BC20B1"/>
    <w:rsid w:val="00BC2883"/>
    <w:rsid w:val="00BC3774"/>
    <w:rsid w:val="00BD1BE2"/>
    <w:rsid w:val="00BD4A10"/>
    <w:rsid w:val="00BD6923"/>
    <w:rsid w:val="00BE1BF2"/>
    <w:rsid w:val="00BE25BF"/>
    <w:rsid w:val="00BE41B7"/>
    <w:rsid w:val="00BE5D2C"/>
    <w:rsid w:val="00BE72CC"/>
    <w:rsid w:val="00BF2490"/>
    <w:rsid w:val="00C21339"/>
    <w:rsid w:val="00C213F9"/>
    <w:rsid w:val="00C21742"/>
    <w:rsid w:val="00C31277"/>
    <w:rsid w:val="00C32595"/>
    <w:rsid w:val="00C410BB"/>
    <w:rsid w:val="00C45E61"/>
    <w:rsid w:val="00C47B9C"/>
    <w:rsid w:val="00C571D9"/>
    <w:rsid w:val="00C61721"/>
    <w:rsid w:val="00C62D90"/>
    <w:rsid w:val="00C66100"/>
    <w:rsid w:val="00C7635A"/>
    <w:rsid w:val="00C77C90"/>
    <w:rsid w:val="00C816E1"/>
    <w:rsid w:val="00C83E9C"/>
    <w:rsid w:val="00C85D6F"/>
    <w:rsid w:val="00C86D31"/>
    <w:rsid w:val="00C97413"/>
    <w:rsid w:val="00CA103B"/>
    <w:rsid w:val="00CA5B23"/>
    <w:rsid w:val="00CA6957"/>
    <w:rsid w:val="00CC15CC"/>
    <w:rsid w:val="00CD18D4"/>
    <w:rsid w:val="00CD22DD"/>
    <w:rsid w:val="00CD30AB"/>
    <w:rsid w:val="00CD51C8"/>
    <w:rsid w:val="00CE21CB"/>
    <w:rsid w:val="00CE279D"/>
    <w:rsid w:val="00CE2D8F"/>
    <w:rsid w:val="00CE67E3"/>
    <w:rsid w:val="00CF18BD"/>
    <w:rsid w:val="00CF4459"/>
    <w:rsid w:val="00D138F9"/>
    <w:rsid w:val="00D161CC"/>
    <w:rsid w:val="00D17696"/>
    <w:rsid w:val="00D336D9"/>
    <w:rsid w:val="00D37184"/>
    <w:rsid w:val="00D422AE"/>
    <w:rsid w:val="00D42492"/>
    <w:rsid w:val="00D44ACE"/>
    <w:rsid w:val="00D44F86"/>
    <w:rsid w:val="00D52381"/>
    <w:rsid w:val="00D57557"/>
    <w:rsid w:val="00D62758"/>
    <w:rsid w:val="00D62D2F"/>
    <w:rsid w:val="00D6643E"/>
    <w:rsid w:val="00D73674"/>
    <w:rsid w:val="00D766DC"/>
    <w:rsid w:val="00D76FAC"/>
    <w:rsid w:val="00D859D5"/>
    <w:rsid w:val="00D92F67"/>
    <w:rsid w:val="00D938E9"/>
    <w:rsid w:val="00D939E8"/>
    <w:rsid w:val="00DB1B17"/>
    <w:rsid w:val="00DC0556"/>
    <w:rsid w:val="00DC584F"/>
    <w:rsid w:val="00DC5DDC"/>
    <w:rsid w:val="00DD3255"/>
    <w:rsid w:val="00DE3266"/>
    <w:rsid w:val="00DE604B"/>
    <w:rsid w:val="00DF3092"/>
    <w:rsid w:val="00E0150A"/>
    <w:rsid w:val="00E160BA"/>
    <w:rsid w:val="00E2494D"/>
    <w:rsid w:val="00E34184"/>
    <w:rsid w:val="00E34291"/>
    <w:rsid w:val="00E34FC7"/>
    <w:rsid w:val="00E37529"/>
    <w:rsid w:val="00E57430"/>
    <w:rsid w:val="00E62520"/>
    <w:rsid w:val="00E70E39"/>
    <w:rsid w:val="00E82E57"/>
    <w:rsid w:val="00E849AB"/>
    <w:rsid w:val="00E85A0E"/>
    <w:rsid w:val="00E90CE4"/>
    <w:rsid w:val="00E95C1C"/>
    <w:rsid w:val="00E97656"/>
    <w:rsid w:val="00EA36C8"/>
    <w:rsid w:val="00EB0A35"/>
    <w:rsid w:val="00EB4B16"/>
    <w:rsid w:val="00EB4B9E"/>
    <w:rsid w:val="00EB4CD9"/>
    <w:rsid w:val="00EB69D3"/>
    <w:rsid w:val="00EE213B"/>
    <w:rsid w:val="00EF29BC"/>
    <w:rsid w:val="00EF5606"/>
    <w:rsid w:val="00F02A87"/>
    <w:rsid w:val="00F10719"/>
    <w:rsid w:val="00F10ECD"/>
    <w:rsid w:val="00F1296A"/>
    <w:rsid w:val="00F12CE0"/>
    <w:rsid w:val="00F35311"/>
    <w:rsid w:val="00F36826"/>
    <w:rsid w:val="00F56542"/>
    <w:rsid w:val="00F60719"/>
    <w:rsid w:val="00F61977"/>
    <w:rsid w:val="00F64226"/>
    <w:rsid w:val="00F6487D"/>
    <w:rsid w:val="00F72D3D"/>
    <w:rsid w:val="00F8282C"/>
    <w:rsid w:val="00F87928"/>
    <w:rsid w:val="00FA6F34"/>
    <w:rsid w:val="00FB4C90"/>
    <w:rsid w:val="00FC2885"/>
    <w:rsid w:val="00FC7DD6"/>
    <w:rsid w:val="00FD28BD"/>
    <w:rsid w:val="00FD3C8C"/>
    <w:rsid w:val="00FD6E6A"/>
    <w:rsid w:val="00FE2FF0"/>
    <w:rsid w:val="00FE4129"/>
    <w:rsid w:val="00FF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456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4745F6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4745F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5F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4745F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5F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4745F6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4745F6"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745F6"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4745F6"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4745F6"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4745F6"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4745F6"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4745F6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4745F6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99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33B52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33B52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3718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37184"/>
  </w:style>
  <w:style w:type="character" w:customStyle="1" w:styleId="CommentTextChar">
    <w:name w:val="Comment Text Char"/>
    <w:basedOn w:val="DefaultParagraphFont"/>
    <w:link w:val="CommentText"/>
    <w:uiPriority w:val="99"/>
    <w:rsid w:val="00D3718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18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D7AE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1E291-8C93-4AE5-BD00-D7D6EC3F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Li, Hua</cp:lastModifiedBy>
  <cp:revision>2</cp:revision>
  <dcterms:created xsi:type="dcterms:W3CDTF">2021-11-11T15:43:00Z</dcterms:created>
  <dcterms:modified xsi:type="dcterms:W3CDTF">2021-11-11T15:43:00Z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