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R4-2119191</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cs="Arial"/>
          <w:b/>
          <w:sz w:val="24"/>
          <w:szCs w:val="24"/>
          <w:highlight w:val="none"/>
          <w:lang w:val="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spacing w:after="60"/>
        <w:ind w:left="1985" w:hanging="1985"/>
        <w:rPr>
          <w:rFonts w:hint="default" w:ascii="Arial" w:hAnsi="Arial" w:cs="Arial"/>
          <w:b/>
          <w:sz w:val="22"/>
          <w:szCs w:val="22"/>
          <w:highlight w:val="none"/>
          <w:lang w:val="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Discussion on BS Rx requirements for 52.6-71GHz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In the previous RAN4 meetings, there were some initial discussions on BS RX requirements for 60GHz and some high level agreement has been reached in WF [7]. In this contribution, we want to share some further considerations on each Rx requirements.</w:t>
      </w:r>
    </w:p>
    <w:p>
      <w:pPr>
        <w:pStyle w:val="53"/>
        <w:tabs>
          <w:tab w:val="left" w:pos="567"/>
          <w:tab w:val="clear" w:pos="1985"/>
        </w:tabs>
        <w:adjustRightInd w:val="0"/>
        <w:ind w:left="510" w:hanging="510"/>
        <w:rPr>
          <w:rFonts w:hint="default"/>
          <w:highlight w:val="none"/>
          <w:lang w:val="en-US" w:eastAsia="zh-CN"/>
        </w:rPr>
      </w:pPr>
      <w:r>
        <w:rPr>
          <w:rFonts w:hint="eastAsia"/>
          <w:highlight w:val="none"/>
        </w:rPr>
        <w:t xml:space="preserve">Discussion </w:t>
      </w:r>
      <w:bookmarkStart w:id="1" w:name="OLE_LINK20"/>
      <w:bookmarkStart w:id="2" w:name="OLE_LINK13"/>
      <w:bookmarkStart w:id="3" w:name="OLE_LINK10"/>
      <w:bookmarkStart w:id="4" w:name="OLE_LINK14"/>
    </w:p>
    <w:p>
      <w:pPr>
        <w:outlineLvl w:val="1"/>
        <w:rPr>
          <w:rFonts w:hint="eastAsia"/>
          <w:kern w:val="0"/>
          <w:sz w:val="20"/>
          <w:szCs w:val="20"/>
          <w:highlight w:val="none"/>
          <w:lang w:val="en-US" w:eastAsia="zh-CN"/>
        </w:rPr>
      </w:pPr>
      <w:r>
        <w:rPr>
          <w:rFonts w:hint="default" w:ascii="Arial" w:hAnsi="Arial" w:cs="Arial"/>
          <w:sz w:val="24"/>
          <w:szCs w:val="24"/>
          <w:highlight w:val="none"/>
          <w:lang w:val="en-US" w:eastAsia="zh-CN"/>
        </w:rPr>
        <w:t xml:space="preserve">2.1. </w:t>
      </w:r>
      <w:r>
        <w:rPr>
          <w:rFonts w:hint="default" w:ascii="Arial" w:hAnsi="Arial" w:eastAsia="Times New Roman" w:cs="Arial"/>
          <w:sz w:val="24"/>
          <w:szCs w:val="24"/>
          <w:highlight w:val="none"/>
        </w:rPr>
        <w:t>Sensitivity</w:t>
      </w:r>
      <w:r>
        <w:rPr>
          <w:rFonts w:hint="default" w:ascii="Arial" w:hAnsi="Arial" w:cs="Arial"/>
          <w:sz w:val="24"/>
          <w:szCs w:val="24"/>
          <w:highlight w:val="none"/>
          <w:lang w:val="en-US" w:eastAsia="zh-CN"/>
        </w:rPr>
        <w:t xml:space="preserve"> </w:t>
      </w:r>
      <w:r>
        <w:rPr>
          <w:rFonts w:hint="eastAsia" w:ascii="Arial" w:hAnsi="Arial" w:cs="Arial"/>
          <w:sz w:val="24"/>
          <w:szCs w:val="24"/>
          <w:highlight w:val="none"/>
          <w:lang w:val="en-US" w:eastAsia="zh-CN"/>
        </w:rPr>
        <w:t xml:space="preserve">related </w:t>
      </w:r>
      <w:r>
        <w:rPr>
          <w:rFonts w:hint="default" w:ascii="Arial" w:hAnsi="Arial" w:cs="Arial"/>
          <w:sz w:val="24"/>
          <w:szCs w:val="24"/>
          <w:highlight w:val="none"/>
          <w:lang w:val="en-US" w:eastAsia="zh-CN"/>
        </w:rPr>
        <w:t>requirements</w:t>
      </w:r>
    </w:p>
    <w:p>
      <w:p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lang w:val="en-US" w:eastAsia="zh-CN"/>
        </w:rPr>
      </w:pPr>
      <w:r>
        <w:rPr>
          <w:rFonts w:hint="eastAsia"/>
          <w:kern w:val="0"/>
          <w:sz w:val="20"/>
          <w:szCs w:val="20"/>
          <w:highlight w:val="none"/>
          <w:lang w:val="en-US" w:eastAsia="zh-CN"/>
        </w:rPr>
        <w:t>In addition, regarding whether the existing FR2 FRC could be reused, indeed we could discuss its applicability from two perspective:</w:t>
      </w:r>
    </w:p>
    <w:p>
      <w:pPr>
        <w:numPr>
          <w:ilvl w:val="0"/>
          <w:numId w:val="2"/>
        </w:numPr>
        <w:pBdr>
          <w:top w:val="none" w:color="auto" w:sz="0" w:space="0"/>
          <w:left w:val="none" w:color="auto" w:sz="0" w:space="0"/>
          <w:bottom w:val="none" w:color="auto" w:sz="0" w:space="0"/>
          <w:right w:val="none" w:color="auto" w:sz="0" w:space="0"/>
          <w:between w:val="none" w:color="auto" w:sz="0" w:space="0"/>
        </w:pBdr>
        <w:rPr>
          <w:rFonts w:hint="eastAsia"/>
          <w:kern w:val="0"/>
          <w:sz w:val="20"/>
          <w:szCs w:val="20"/>
          <w:highlight w:val="none"/>
          <w:lang w:val="en-US" w:eastAsia="zh-CN"/>
        </w:rPr>
      </w:pPr>
      <w:r>
        <w:rPr>
          <w:rFonts w:hint="eastAsia"/>
          <w:kern w:val="0"/>
          <w:sz w:val="20"/>
          <w:szCs w:val="20"/>
          <w:highlight w:val="none"/>
          <w:lang w:val="en-US" w:eastAsia="zh-CN"/>
        </w:rPr>
        <w:t>Whether the existing PT-RS configuration for PUSCH in FR2 FRC could be reused for 52.6-71GHz, even though PT-RS configuration is not used in practice in FR2 REFSENS testing, however whether this configuration is still typical for 52.6-71GHz might need more discussion. From our initial understanding, the existing PT-RS configuration is already most stringent case with LPTRS=1, therefore it could also been applied for 52.6-71GHz</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default"/>
          <w:kern w:val="0"/>
          <w:sz w:val="20"/>
          <w:szCs w:val="20"/>
          <w:highlight w:val="none"/>
          <w:lang w:val="en-US" w:eastAsia="zh-CN"/>
        </w:rPr>
      </w:pPr>
      <w:r>
        <w:rPr>
          <w:rFonts w:hint="default"/>
          <w:kern w:val="0"/>
          <w:sz w:val="20"/>
          <w:szCs w:val="20"/>
          <w:highlight w:val="none"/>
          <w:lang w:val="en-US" w:eastAsia="zh-CN"/>
        </w:rPr>
        <w:t>For FR2, following PTRS parameters: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default"/>
          <w:kern w:val="0"/>
          <w:sz w:val="20"/>
          <w:szCs w:val="20"/>
          <w:highlight w:val="none"/>
          <w:lang w:val="en-US" w:eastAsia="zh-CN"/>
        </w:rPr>
      </w:pPr>
      <w:r>
        <w:rPr>
          <w:rFonts w:hint="default"/>
          <w:kern w:val="0"/>
          <w:sz w:val="20"/>
          <w:szCs w:val="20"/>
          <w:highlight w:val="none"/>
          <w:lang w:val="en-US" w:eastAsia="zh-CN"/>
        </w:rPr>
        <w:t>K</w:t>
      </w:r>
      <w:r>
        <w:rPr>
          <w:rFonts w:hint="default"/>
          <w:kern w:val="0"/>
          <w:sz w:val="20"/>
          <w:szCs w:val="20"/>
          <w:highlight w:val="none"/>
          <w:vertAlign w:val="subscript"/>
          <w:lang w:val="en-US" w:eastAsia="zh-CN"/>
        </w:rPr>
        <w:t>PTRS</w:t>
      </w:r>
      <w:r>
        <w:rPr>
          <w:rFonts w:hint="default"/>
          <w:kern w:val="0"/>
          <w:sz w:val="20"/>
          <w:szCs w:val="20"/>
          <w:highlight w:val="none"/>
          <w:lang w:val="en-US" w:eastAsia="zh-CN"/>
        </w:rPr>
        <w:t xml:space="preserve"> : 2 (PTRS every 2 RBs)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default"/>
          <w:kern w:val="0"/>
          <w:sz w:val="20"/>
          <w:szCs w:val="20"/>
          <w:highlight w:val="none"/>
          <w:lang w:val="en-US" w:eastAsia="zh-CN"/>
        </w:rPr>
      </w:pPr>
      <w:r>
        <w:rPr>
          <w:rFonts w:hint="default"/>
          <w:kern w:val="0"/>
          <w:sz w:val="20"/>
          <w:szCs w:val="20"/>
          <w:highlight w:val="none"/>
          <w:lang w:val="en-US" w:eastAsia="zh-CN"/>
        </w:rPr>
        <w:t>L</w:t>
      </w:r>
      <w:r>
        <w:rPr>
          <w:rFonts w:hint="default"/>
          <w:kern w:val="0"/>
          <w:sz w:val="20"/>
          <w:szCs w:val="20"/>
          <w:highlight w:val="none"/>
          <w:vertAlign w:val="subscript"/>
          <w:lang w:val="en-US" w:eastAsia="zh-CN"/>
        </w:rPr>
        <w:t>PTRS</w:t>
      </w:r>
      <w:r>
        <w:rPr>
          <w:rFonts w:hint="default"/>
          <w:kern w:val="0"/>
          <w:sz w:val="20"/>
          <w:szCs w:val="20"/>
          <w:highlight w:val="none"/>
          <w:lang w:val="en-US" w:eastAsia="zh-CN"/>
        </w:rPr>
        <w:t xml:space="preserve"> : 1 (all symbols with PTRS)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ind w:firstLine="400" w:firstLineChars="200"/>
        <w:textAlignment w:val="auto"/>
        <w:rPr>
          <w:rFonts w:hint="eastAsia"/>
          <w:kern w:val="0"/>
          <w:sz w:val="20"/>
          <w:szCs w:val="20"/>
          <w:highlight w:val="none"/>
          <w:lang w:val="en-US" w:eastAsia="zh-CN"/>
        </w:rPr>
      </w:pPr>
      <w:r>
        <w:rPr>
          <w:rFonts w:hint="default"/>
          <w:kern w:val="0"/>
          <w:sz w:val="20"/>
          <w:szCs w:val="20"/>
          <w:highlight w:val="none"/>
          <w:lang w:val="en-US" w:eastAsia="zh-CN"/>
        </w:rPr>
        <w:t>No phase noise simulation, PTRS REs are not used for data</w:t>
      </w:r>
    </w:p>
    <w:p>
      <w:pPr>
        <w:numPr>
          <w:ilvl w:val="0"/>
          <w:numId w:val="2"/>
        </w:numPr>
        <w:pBdr>
          <w:top w:val="none" w:color="auto" w:sz="0" w:space="0"/>
          <w:left w:val="none" w:color="auto" w:sz="0" w:space="0"/>
          <w:bottom w:val="none" w:color="auto" w:sz="0" w:space="0"/>
          <w:right w:val="none" w:color="auto" w:sz="0" w:space="0"/>
          <w:between w:val="none" w:color="auto" w:sz="0" w:space="0"/>
        </w:pBdr>
        <w:ind w:left="0" w:leftChars="0" w:firstLine="0" w:firstLineChars="0"/>
        <w:rPr>
          <w:rFonts w:hint="eastAsia"/>
          <w:kern w:val="0"/>
          <w:sz w:val="20"/>
          <w:szCs w:val="20"/>
          <w:highlight w:val="none"/>
          <w:lang w:val="en-US" w:eastAsia="zh-CN"/>
        </w:rPr>
      </w:pPr>
      <w:r>
        <w:rPr>
          <w:rFonts w:hint="eastAsia"/>
          <w:kern w:val="0"/>
          <w:sz w:val="20"/>
          <w:szCs w:val="20"/>
          <w:highlight w:val="none"/>
          <w:lang w:val="en-US" w:eastAsia="zh-CN"/>
        </w:rPr>
        <w:t xml:space="preserve">For BW with 120kHz SCS, the existing </w:t>
      </w:r>
      <w:r>
        <w:rPr>
          <w:rFonts w:hint="eastAsia"/>
          <w:kern w:val="0"/>
          <w:sz w:val="20"/>
          <w:szCs w:val="20"/>
          <w:highlight w:val="none"/>
          <w:lang w:val="en-US" w:eastAsia="en-GB"/>
        </w:rPr>
        <w:t>G-FR2-A1-3</w:t>
      </w:r>
      <w:r>
        <w:rPr>
          <w:rFonts w:hint="eastAsia"/>
          <w:kern w:val="0"/>
          <w:sz w:val="20"/>
          <w:szCs w:val="20"/>
          <w:highlight w:val="none"/>
          <w:lang w:val="en-US" w:eastAsia="zh-CN"/>
        </w:rPr>
        <w:t xml:space="preserve"> could be reused; however for BW with 480kHz and 960kHz, new FRC for 480kHz and 960kHz should be defined. Regarding the new FRC for 480kHz and 960kHz, generally we need to wait for the conclusion of spectral utilization for 400MHz and 960KHz respectively.  </w:t>
      </w:r>
    </w:p>
    <w:p>
      <w:pPr>
        <w:numPr>
          <w:ilvl w:val="0"/>
          <w:numId w:val="0"/>
        </w:numPr>
        <w:pBdr>
          <w:top w:val="none" w:color="auto" w:sz="0" w:space="0"/>
          <w:left w:val="none" w:color="auto" w:sz="0" w:space="0"/>
          <w:bottom w:val="none" w:color="auto" w:sz="0" w:space="0"/>
          <w:right w:val="none" w:color="auto" w:sz="0" w:space="0"/>
          <w:between w:val="none" w:color="auto" w:sz="0" w:space="0"/>
        </w:pBdr>
        <w:ind w:leftChars="0"/>
        <w:rPr>
          <w:rFonts w:hint="default"/>
          <w:kern w:val="0"/>
          <w:sz w:val="20"/>
          <w:szCs w:val="20"/>
          <w:highlight w:val="none"/>
          <w:lang w:val="en-US" w:eastAsia="zh-CN"/>
        </w:rPr>
      </w:pPr>
      <w:r>
        <w:rPr>
          <w:rFonts w:hint="eastAsia"/>
          <w:b/>
          <w:bCs/>
          <w:kern w:val="0"/>
          <w:sz w:val="20"/>
          <w:szCs w:val="20"/>
          <w:highlight w:val="none"/>
          <w:lang w:val="en-US" w:eastAsia="zh-CN"/>
        </w:rPr>
        <w:t>Proposal 1</w:t>
      </w:r>
      <w:r>
        <w:rPr>
          <w:rFonts w:hint="eastAsia"/>
          <w:kern w:val="0"/>
          <w:sz w:val="20"/>
          <w:szCs w:val="20"/>
          <w:highlight w:val="none"/>
          <w:lang w:val="en-US" w:eastAsia="zh-CN"/>
        </w:rPr>
        <w:t>: the existing PT-RS configuration in FR2 FRC could also been applied for 52.6-71GHz.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xml:space="preserve">: for 480kHz and 960kHz SCS FRC, wait for the conclusion of spectral utilization of 480kHz and 960kHz. </w:t>
      </w:r>
    </w:p>
    <w:p>
      <w:pPr>
        <w:rPr>
          <w:rFonts w:hint="default" w:eastAsia="宋体"/>
          <w:highlight w:val="none"/>
          <w:lang w:val="en-US" w:eastAsia="zh-CN"/>
        </w:rPr>
      </w:pPr>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2.2. ACS/IBB requirements</w:t>
      </w:r>
    </w:p>
    <w:p>
      <w:pPr>
        <w:rPr>
          <w:rFonts w:hint="default"/>
          <w:kern w:val="0"/>
          <w:sz w:val="20"/>
          <w:szCs w:val="20"/>
          <w:highlight w:val="none"/>
          <w:lang w:val="en-US" w:eastAsia="zh-CN"/>
        </w:rPr>
      </w:pPr>
      <w:r>
        <w:rPr>
          <w:rFonts w:hint="eastAsia"/>
          <w:kern w:val="0"/>
          <w:sz w:val="20"/>
          <w:szCs w:val="20"/>
          <w:highlight w:val="none"/>
          <w:lang w:val="en-US" w:eastAsia="zh-CN"/>
        </w:rPr>
        <w:t xml:space="preserve">In the last RAN4 meeting, </w:t>
      </w:r>
      <w:r>
        <w:rPr>
          <w:rFonts w:hint="eastAsia" w:eastAsia="宋体"/>
          <w:kern w:val="0"/>
          <w:sz w:val="20"/>
          <w:szCs w:val="20"/>
          <w:highlight w:val="none"/>
          <w:lang w:val="en-US" w:eastAsia="zh-CN"/>
        </w:rPr>
        <w:t xml:space="preserve">there were some initial discussions to further evaluate coexistence performance for 60GHz </w:t>
      </w:r>
      <w:r>
        <w:rPr>
          <w:rFonts w:hint="eastAsia"/>
          <w:kern w:val="0"/>
          <w:sz w:val="20"/>
          <w:szCs w:val="20"/>
          <w:highlight w:val="none"/>
          <w:lang w:val="en-US" w:eastAsia="zh-CN"/>
        </w:rPr>
        <w:t>or</w:t>
      </w:r>
      <w:r>
        <w:rPr>
          <w:rFonts w:hint="eastAsia" w:eastAsia="宋体"/>
          <w:kern w:val="0"/>
          <w:sz w:val="20"/>
          <w:szCs w:val="20"/>
          <w:highlight w:val="none"/>
          <w:lang w:val="en-US" w:eastAsia="zh-CN"/>
        </w:rPr>
        <w:t xml:space="preserve"> whether coexistence work in TR 38.803 can be used as reference for the coexistence study for 60GHz. </w:t>
      </w:r>
      <w:r>
        <w:rPr>
          <w:rFonts w:hint="eastAsia"/>
          <w:kern w:val="0"/>
          <w:sz w:val="20"/>
          <w:szCs w:val="20"/>
          <w:highlight w:val="none"/>
          <w:lang w:val="en-US" w:eastAsia="zh-CN"/>
        </w:rPr>
        <w:t xml:space="preserve">Based on our initial simulation results in the companion contribution [9], for indoor scenario, more stringent DL ACIR and UL ACIR requirement as summarized in Table 1 and Table 2 are expected due to different power assumption and antenna configuration assumed for 52.6-71GHz, otherwise the coexistence requirement with 5% performance loss cannot been ensured, therefore we propose to follow the outcome of coexistence study in another agenda. </w:t>
      </w:r>
    </w:p>
    <w:p>
      <w:pPr>
        <w:rPr>
          <w:rFonts w:hint="default"/>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propose to follow the outcome of coexistence study of 52.6-71GHz for ACS requirement.</w:t>
      </w: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1</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DL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13.87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23.83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lang w:val="en-US" w:eastAsia="zh-CN"/>
              </w:rPr>
              <w:t xml:space="preserve">14.06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DCD8C2" w:themeFill="background2" w:themeFillShade="E5"/>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ja-JP"/>
              </w:rPr>
            </w:pPr>
            <w:r>
              <w:rPr>
                <w:rFonts w:hint="eastAsia" w:eastAsia="宋体"/>
                <w:b w:val="0"/>
                <w:bCs/>
                <w:color w:val="0000FF"/>
                <w:lang w:val="en-US" w:eastAsia="zh-CN"/>
              </w:rPr>
              <w:t xml:space="preserve">19.98 </w:t>
            </w:r>
          </w:p>
        </w:tc>
      </w:tr>
    </w:tbl>
    <w:p>
      <w:pPr>
        <w:rPr>
          <w:rFonts w:hint="default"/>
          <w:kern w:val="0"/>
          <w:sz w:val="20"/>
          <w:szCs w:val="20"/>
          <w:highlight w:val="none"/>
          <w:lang w:val="en-US" w:eastAsia="zh-CN"/>
        </w:rPr>
      </w:pPr>
    </w:p>
    <w:p>
      <w:pPr>
        <w:pBdr>
          <w:top w:val="none" w:color="auto" w:sz="0" w:space="0"/>
          <w:left w:val="none" w:color="auto" w:sz="0" w:space="0"/>
          <w:bottom w:val="none" w:color="auto" w:sz="0" w:space="0"/>
          <w:right w:val="none" w:color="auto" w:sz="0" w:space="0"/>
          <w:between w:val="none" w:color="auto" w:sz="0" w:space="0"/>
        </w:pBdr>
        <w:jc w:val="center"/>
        <w:rPr>
          <w:rFonts w:hint="default"/>
          <w:lang w:val="en-US" w:eastAsia="zh-CN"/>
        </w:rPr>
      </w:pPr>
      <w:r>
        <w:rPr>
          <w:rFonts w:hint="eastAsia" w:ascii="Arial" w:hAnsi="Arial" w:eastAsia="宋体" w:cs="Times New Roman"/>
          <w:b/>
          <w:bCs/>
          <w:kern w:val="0"/>
          <w:sz w:val="20"/>
          <w:szCs w:val="20"/>
          <w:lang w:val="en-US" w:eastAsia="zh-CN" w:bidi="ar-SA"/>
        </w:rPr>
        <w:t xml:space="preserve">Table </w:t>
      </w:r>
      <w:r>
        <w:rPr>
          <w:rFonts w:hint="eastAsia" w:ascii="Arial" w:hAnsi="Arial" w:cs="Times New Roman"/>
          <w:b/>
          <w:bCs/>
          <w:kern w:val="0"/>
          <w:sz w:val="20"/>
          <w:szCs w:val="20"/>
          <w:lang w:val="en-US" w:eastAsia="zh-CN" w:bidi="ar-SA"/>
        </w:rPr>
        <w:t>2</w:t>
      </w:r>
      <w:r>
        <w:rPr>
          <w:rFonts w:hint="eastAsia" w:ascii="Arial" w:hAnsi="Arial" w:eastAsia="宋体" w:cs="Times New Roman"/>
          <w:b/>
          <w:bCs/>
          <w:kern w:val="0"/>
          <w:sz w:val="20"/>
          <w:szCs w:val="20"/>
          <w:lang w:val="en-US" w:eastAsia="zh-CN" w:bidi="ar-SA"/>
        </w:rPr>
        <w:t xml:space="preserve">. </w:t>
      </w:r>
      <w:r>
        <w:rPr>
          <w:rFonts w:hint="eastAsia" w:ascii="Arial" w:hAnsi="Arial" w:cs="Times New Roman"/>
          <w:b/>
          <w:bCs/>
          <w:kern w:val="0"/>
          <w:sz w:val="20"/>
          <w:szCs w:val="20"/>
          <w:lang w:val="en-US" w:eastAsia="zh-CN" w:bidi="ar-SA"/>
        </w:rPr>
        <w:t>summary of required ACIR requirements for indoor UL case</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11"/>
        <w:gridCol w:w="2532"/>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101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Case </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 xml:space="preserve">Metric </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r>
              <w:rPr>
                <w:rFonts w:hint="eastAsia" w:eastAsia="宋体"/>
                <w:b w:val="0"/>
                <w:bCs/>
                <w:lang w:val="en-US" w:eastAsia="zh-CN"/>
              </w:rPr>
              <w:t>Required ACIR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60GHz</w:t>
            </w:r>
          </w:p>
          <w:p>
            <w:pPr>
              <w:pStyle w:val="32"/>
              <w:jc w:val="both"/>
              <w:rPr>
                <w:rFonts w:hint="default" w:eastAsia="宋体"/>
                <w:b w:val="0"/>
                <w:bCs/>
                <w:lang w:val="en-US" w:eastAsia="zh-CN"/>
              </w:rPr>
            </w:pPr>
            <w:r>
              <w:rPr>
                <w:rFonts w:hint="eastAsia" w:eastAsia="宋体"/>
                <w:b w:val="0"/>
                <w:bCs/>
                <w:lang w:val="en-US" w:eastAsia="zh-CN"/>
              </w:rPr>
              <w:t>100MHz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lang w:val="en-US" w:eastAsia="ja-JP"/>
              </w:rPr>
            </w:pPr>
            <w:r>
              <w:rPr>
                <w:rFonts w:hint="eastAsia" w:eastAsia="宋体"/>
                <w:b w:val="0"/>
                <w:bCs/>
                <w:lang w:val="en-US" w:eastAsia="zh-CN"/>
              </w:rPr>
              <w:t xml:space="preserve">8.10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lang w:val="en-US" w:eastAsia="ja-JP"/>
              </w:rPr>
            </w:pPr>
            <w:r>
              <w:rPr>
                <w:rFonts w:hint="eastAsia" w:eastAsia="宋体"/>
                <w:b w:val="0"/>
                <w:bCs/>
                <w:lang w:val="en-US" w:eastAsia="zh-CN"/>
              </w:rPr>
              <w:t xml:space="preserve">22.57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restart"/>
            <w:tcBorders>
              <w:top w:val="single" w:color="auto" w:sz="4" w:space="0"/>
              <w:left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70GHz</w:t>
            </w:r>
          </w:p>
          <w:p>
            <w:pPr>
              <w:pStyle w:val="32"/>
              <w:jc w:val="both"/>
              <w:rPr>
                <w:rFonts w:hint="default" w:eastAsia="宋体"/>
                <w:b w:val="0"/>
                <w:bCs/>
                <w:lang w:val="en-US" w:eastAsia="zh-CN"/>
              </w:rPr>
            </w:pPr>
            <w:r>
              <w:rPr>
                <w:rFonts w:hint="eastAsia" w:eastAsia="宋体"/>
                <w:b w:val="0"/>
                <w:bCs/>
                <w:lang w:val="en-US" w:eastAsia="zh-CN"/>
              </w:rPr>
              <w:t>400MHz</w:t>
            </w: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A</w:t>
            </w:r>
            <w:r>
              <w:rPr>
                <w:rFonts w:hint="eastAsia" w:eastAsia="宋体"/>
                <w:b w:val="0"/>
                <w:bCs/>
                <w:lang w:val="en-US" w:eastAsia="ja-JP"/>
              </w:rPr>
              <w:t>verage throughput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color w:val="0000FF"/>
                <w:lang w:val="en-US" w:eastAsia="ja-JP"/>
              </w:rPr>
            </w:pPr>
            <w:r>
              <w:rPr>
                <w:rFonts w:hint="eastAsia" w:eastAsia="宋体"/>
                <w:b w:val="0"/>
                <w:bCs/>
                <w:color w:val="0000FF"/>
                <w:lang w:val="en-US" w:eastAsia="zh-CN"/>
              </w:rPr>
              <w:t xml:space="preserve">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1011" w:type="dxa"/>
            <w:vMerge w:val="continue"/>
            <w:tcBorders>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default" w:eastAsia="宋体"/>
                <w:b w:val="0"/>
                <w:bCs/>
                <w:lang w:val="en-US" w:eastAsia="zh-CN"/>
              </w:rPr>
            </w:pPr>
          </w:p>
        </w:tc>
        <w:tc>
          <w:tcPr>
            <w:tcW w:w="253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both"/>
              <w:rPr>
                <w:rFonts w:hint="eastAsia" w:eastAsia="宋体"/>
                <w:b w:val="0"/>
                <w:bCs/>
                <w:lang w:val="en-US" w:eastAsia="zh-CN"/>
              </w:rPr>
            </w:pPr>
            <w:r>
              <w:rPr>
                <w:rFonts w:hint="eastAsia" w:eastAsia="宋体"/>
                <w:b w:val="0"/>
                <w:bCs/>
                <w:lang w:val="en-US" w:eastAsia="zh-CN"/>
              </w:rPr>
              <w:t>Cell edge through loss</w:t>
            </w:r>
          </w:p>
        </w:tc>
        <w:tc>
          <w:tcPr>
            <w:tcW w:w="129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bottom"/>
          </w:tcPr>
          <w:p>
            <w:pPr>
              <w:pStyle w:val="32"/>
              <w:jc w:val="left"/>
              <w:rPr>
                <w:rFonts w:hint="eastAsia" w:eastAsia="宋体"/>
                <w:b w:val="0"/>
                <w:bCs/>
                <w:color w:val="0000FF"/>
                <w:lang w:val="en-US" w:eastAsia="ja-JP"/>
              </w:rPr>
            </w:pPr>
            <w:r>
              <w:rPr>
                <w:rFonts w:hint="eastAsia" w:eastAsia="宋体"/>
                <w:b w:val="0"/>
                <w:bCs/>
                <w:color w:val="0000FF"/>
                <w:lang w:val="en-US" w:eastAsia="zh-CN"/>
              </w:rPr>
              <w:t>16.68</w:t>
            </w:r>
          </w:p>
        </w:tc>
      </w:tr>
    </w:tbl>
    <w:p>
      <w:pPr>
        <w:rPr>
          <w:rFonts w:hint="default" w:eastAsia="宋体"/>
          <w:kern w:val="0"/>
          <w:sz w:val="20"/>
          <w:szCs w:val="20"/>
          <w:highlight w:val="none"/>
          <w:lang w:val="en-US" w:eastAsia="zh-CN"/>
        </w:rPr>
      </w:pPr>
    </w:p>
    <w:p>
      <w:pPr>
        <w:rPr>
          <w:rFonts w:hint="eastAsia"/>
          <w:b/>
          <w:bCs/>
          <w:kern w:val="0"/>
          <w:sz w:val="20"/>
          <w:szCs w:val="20"/>
          <w:highlight w:val="none"/>
          <w:lang w:val="en-US" w:eastAsia="zh-CN"/>
        </w:rPr>
      </w:pPr>
      <w:r>
        <w:rPr>
          <w:rFonts w:hint="eastAsia"/>
          <w:kern w:val="0"/>
          <w:sz w:val="20"/>
          <w:szCs w:val="20"/>
          <w:highlight w:val="none"/>
          <w:lang w:val="en-US" w:eastAsia="zh-CN"/>
        </w:rPr>
        <w:t xml:space="preserve">In addition, for interfering signal of ACS requirement and IBB requirements, it should be updated as 100MHz instead of 50MHz since it was agreed that minimum channel bandwidth for this frequency range is 100MHz already. </w:t>
      </w:r>
    </w:p>
    <w:p>
      <w:pPr>
        <w:pStyle w:val="42"/>
        <w:rPr>
          <w:rFonts w:hint="default" w:eastAsia="宋体"/>
          <w:highlight w:val="none"/>
          <w:lang w:val="en-US" w:eastAsia="zh-CN"/>
        </w:rPr>
      </w:pPr>
      <w:r>
        <w:rPr>
          <w:highlight w:val="none"/>
        </w:rPr>
        <w:t xml:space="preserve">Table </w:t>
      </w:r>
      <w:r>
        <w:rPr>
          <w:rFonts w:eastAsia="宋体"/>
          <w:highlight w:val="none"/>
          <w:lang w:eastAsia="zh-CN"/>
        </w:rPr>
        <w:t>10.5.1.3</w:t>
      </w:r>
      <w:r>
        <w:rPr>
          <w:highlight w:val="none"/>
        </w:rPr>
        <w:t>-</w:t>
      </w:r>
      <w:r>
        <w:rPr>
          <w:rFonts w:eastAsia="宋体"/>
          <w:highlight w:val="none"/>
          <w:lang w:eastAsia="zh-CN"/>
        </w:rPr>
        <w:t>1</w:t>
      </w:r>
      <w:r>
        <w:rPr>
          <w:highlight w:val="none"/>
        </w:rPr>
        <w:t>: OTA A</w:t>
      </w:r>
      <w:r>
        <w:rPr>
          <w:rFonts w:eastAsia="宋体"/>
          <w:highlight w:val="none"/>
          <w:lang w:eastAsia="zh-CN"/>
        </w:rPr>
        <w:t xml:space="preserve">CS requirement for </w:t>
      </w:r>
      <w:r>
        <w:rPr>
          <w:rFonts w:hint="eastAsia" w:eastAsia="宋体"/>
          <w:i/>
          <w:highlight w:val="none"/>
          <w:lang w:val="en-US" w:eastAsia="zh-CN"/>
        </w:rPr>
        <w:t>60GHz</w:t>
      </w:r>
    </w:p>
    <w:tbl>
      <w:tblPr>
        <w:tblStyle w:val="21"/>
        <w:tblW w:w="7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highlight w:val="none"/>
              </w:rPr>
              <w:t>Wanted signal mean power (dBm)</w:t>
            </w:r>
          </w:p>
          <w:p>
            <w:pPr>
              <w:pStyle w:val="32"/>
              <w:tabs>
                <w:tab w:val="left" w:pos="540"/>
                <w:tab w:val="left" w:pos="1260"/>
                <w:tab w:val="left" w:pos="1800"/>
              </w:tabs>
              <w:rPr>
                <w:highlight w:val="none"/>
                <w:lang w:eastAsia="ja-JP"/>
              </w:rPr>
            </w:pPr>
          </w:p>
        </w:tc>
        <w:tc>
          <w:tcPr>
            <w:tcW w:w="328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rFonts w:cs="Arial"/>
                <w:highlight w:val="none"/>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rFonts w:hint="default" w:eastAsia="宋体"/>
                <w:highlight w:val="none"/>
                <w:lang w:val="en-US" w:eastAsia="zh-CN"/>
              </w:rPr>
            </w:pPr>
            <w:r>
              <w:rPr>
                <w:highlight w:val="none"/>
              </w:rPr>
              <w:t>100, 200, 400</w:t>
            </w:r>
            <w:r>
              <w:rPr>
                <w:rFonts w:hint="eastAsia" w:eastAsia="宋体"/>
                <w:highlight w:val="none"/>
                <w:lang w:val="en-US" w:eastAsia="zh-CN"/>
              </w:rPr>
              <w:t>,800,1200,1600,2000</w:t>
            </w:r>
          </w:p>
        </w:tc>
        <w:tc>
          <w:tcPr>
            <w:tcW w:w="1792" w:type="dxa"/>
            <w:tcBorders>
              <w:top w:val="single" w:color="auto" w:sz="4" w:space="0"/>
              <w:left w:val="single" w:color="auto" w:sz="4" w:space="0"/>
              <w:bottom w:val="single" w:color="auto" w:sz="4" w:space="0"/>
              <w:right w:val="single" w:color="auto" w:sz="4" w:space="0"/>
            </w:tcBorders>
            <w:vAlign w:val="center"/>
          </w:tcPr>
          <w:p>
            <w:pPr>
              <w:pStyle w:val="33"/>
              <w:tabs>
                <w:tab w:val="left" w:pos="540"/>
                <w:tab w:val="left" w:pos="1260"/>
                <w:tab w:val="left" w:pos="1800"/>
              </w:tabs>
              <w:rPr>
                <w:highlight w:val="none"/>
                <w:lang w:eastAsia="ja-JP"/>
              </w:rPr>
            </w:pPr>
            <w:r>
              <w:rPr>
                <w:rFonts w:cs="Arial"/>
                <w:highlight w:val="none"/>
              </w:rPr>
              <w:t>EIS</w:t>
            </w:r>
            <w:r>
              <w:rPr>
                <w:rFonts w:cs="Arial"/>
                <w:highlight w:val="none"/>
                <w:vertAlign w:val="subscript"/>
              </w:rPr>
              <w:t>REFSENS</w:t>
            </w:r>
            <w:r>
              <w:rPr>
                <w:highlight w:val="none"/>
              </w:rPr>
              <w:t xml:space="preserve"> + 6 dB </w:t>
            </w:r>
          </w:p>
        </w:tc>
        <w:tc>
          <w:tcPr>
            <w:tcW w:w="328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eastAsia="zh-CN"/>
              </w:rPr>
            </w:pPr>
            <w:r>
              <w:rPr>
                <w:rFonts w:cs="Arial"/>
                <w:highlight w:val="none"/>
              </w:rPr>
              <w:t>EIS</w:t>
            </w:r>
            <w:r>
              <w:rPr>
                <w:rFonts w:cs="Arial"/>
                <w:highlight w:val="none"/>
                <w:vertAlign w:val="subscript"/>
              </w:rPr>
              <w:t>REFSENS_50M</w:t>
            </w:r>
            <w:r>
              <w:rPr>
                <w:rFonts w:eastAsia="宋体"/>
                <w:highlight w:val="none"/>
                <w:lang w:eastAsia="zh-CN"/>
              </w:rPr>
              <w:t xml:space="preserve"> + 2</w:t>
            </w:r>
            <w:r>
              <w:rPr>
                <w:rFonts w:hint="eastAsia" w:eastAsia="宋体"/>
                <w:highlight w:val="none"/>
                <w:lang w:val="en-US" w:eastAsia="zh-CN"/>
              </w:rPr>
              <w:t>5</w:t>
            </w:r>
            <w:r>
              <w:rPr>
                <w:rFonts w:eastAsia="宋体"/>
                <w:highlight w:val="none"/>
                <w:lang w:eastAsia="zh-CN"/>
              </w:rPr>
              <w:t xml:space="preserve">.7 </w:t>
            </w:r>
            <w:r>
              <w:rPr>
                <w:rFonts w:cs="Arial"/>
                <w:highlight w:val="none"/>
              </w:rPr>
              <w:t xml:space="preserve">+ </w:t>
            </w:r>
            <w:r>
              <w:rPr>
                <w:highlight w:val="none"/>
              </w:rPr>
              <w:t>Δ</w:t>
            </w:r>
            <w:r>
              <w:rPr>
                <w:highlight w:val="none"/>
                <w:vertAlign w:val="subscript"/>
              </w:rPr>
              <w:t>FR2_REFSENS</w:t>
            </w:r>
            <w:r>
              <w:rPr>
                <w:rFonts w:eastAsia="宋体"/>
                <w:highlight w:val="non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029" w:type="dxa"/>
            <w:gridSpan w:val="3"/>
            <w:tcBorders>
              <w:top w:val="single" w:color="auto" w:sz="4" w:space="0"/>
              <w:left w:val="single" w:color="auto" w:sz="4" w:space="0"/>
              <w:bottom w:val="single" w:color="auto" w:sz="4" w:space="0"/>
              <w:right w:val="single" w:color="auto" w:sz="4" w:space="0"/>
            </w:tcBorders>
          </w:tcPr>
          <w:p>
            <w:pPr>
              <w:pStyle w:val="46"/>
              <w:rPr>
                <w:rFonts w:cs="Arial"/>
                <w:highlight w:val="none"/>
              </w:rPr>
            </w:pPr>
            <w:r>
              <w:rPr>
                <w:rFonts w:eastAsia="宋体"/>
                <w:highlight w:val="none"/>
                <w:lang w:eastAsia="zh-CN"/>
              </w:rPr>
              <w:t>NOTE 3:</w:t>
            </w:r>
            <w:r>
              <w:rPr>
                <w:rFonts w:eastAsia="宋体"/>
                <w:highlight w:val="none"/>
                <w:lang w:eastAsia="zh-CN"/>
              </w:rPr>
              <w:tab/>
            </w:r>
            <w:r>
              <w:rPr>
                <w:highlight w:val="none"/>
              </w:rPr>
              <w:t>EIS</w:t>
            </w:r>
            <w:r>
              <w:rPr>
                <w:highlight w:val="none"/>
                <w:vertAlign w:val="subscript"/>
              </w:rPr>
              <w:t>REFSENS</w:t>
            </w:r>
            <w:r>
              <w:rPr>
                <w:highlight w:val="none"/>
              </w:rPr>
              <w:t xml:space="preserve"> is given in clause 10.3.3</w:t>
            </w:r>
          </w:p>
        </w:tc>
      </w:tr>
    </w:tbl>
    <w:p>
      <w:pPr>
        <w:rPr>
          <w:highlight w:val="none"/>
        </w:rPr>
      </w:pPr>
    </w:p>
    <w:p>
      <w:pPr>
        <w:pStyle w:val="42"/>
        <w:rPr>
          <w:rFonts w:hint="default" w:eastAsia="宋体"/>
          <w:highlight w:val="none"/>
          <w:lang w:val="en-US" w:eastAsia="zh-CN"/>
        </w:rPr>
      </w:pPr>
      <w:r>
        <w:rPr>
          <w:highlight w:val="none"/>
        </w:rPr>
        <w:t xml:space="preserve">Table </w:t>
      </w:r>
      <w:r>
        <w:rPr>
          <w:rFonts w:eastAsia="宋体"/>
          <w:highlight w:val="none"/>
          <w:lang w:eastAsia="zh-CN"/>
        </w:rPr>
        <w:t>10.5.1.3</w:t>
      </w:r>
      <w:r>
        <w:rPr>
          <w:highlight w:val="none"/>
        </w:rPr>
        <w:t>-</w:t>
      </w:r>
      <w:r>
        <w:rPr>
          <w:rFonts w:eastAsia="宋体"/>
          <w:highlight w:val="none"/>
          <w:lang w:eastAsia="zh-CN"/>
        </w:rPr>
        <w:t>2</w:t>
      </w:r>
      <w:r>
        <w:rPr>
          <w:highlight w:val="none"/>
        </w:rPr>
        <w:t>: OTA A</w:t>
      </w:r>
      <w:r>
        <w:rPr>
          <w:rFonts w:eastAsia="宋体"/>
          <w:highlight w:val="none"/>
          <w:lang w:eastAsia="zh-CN"/>
        </w:rPr>
        <w:t xml:space="preserve">CS interferer frequency offset for </w:t>
      </w:r>
      <w:r>
        <w:rPr>
          <w:rFonts w:hint="eastAsia" w:eastAsia="宋体"/>
          <w:i/>
          <w:highlight w:val="none"/>
          <w:lang w:val="en-US" w:eastAsia="zh-CN"/>
        </w:rPr>
        <w:t>60GHz</w:t>
      </w:r>
    </w:p>
    <w:tbl>
      <w:tblPr>
        <w:tblStyle w:val="21"/>
        <w:tblW w:w="7182"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pPr>
              <w:pStyle w:val="32"/>
              <w:rPr>
                <w:rFonts w:eastAsia="宋体"/>
                <w:highlight w:val="none"/>
                <w:lang w:eastAsia="zh-CN"/>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2646" w:type="dxa"/>
            <w:shd w:val="clear" w:color="auto" w:fill="auto"/>
          </w:tcPr>
          <w:p>
            <w:pPr>
              <w:pStyle w:val="32"/>
              <w:rPr>
                <w:rFonts w:eastAsia="宋体"/>
                <w:highlight w:val="none"/>
                <w:lang w:eastAsia="zh-CN"/>
              </w:rPr>
            </w:pPr>
            <w:r>
              <w:rPr>
                <w:highlight w:val="none"/>
              </w:rPr>
              <w:t xml:space="preserve">Interfering signal centre frequency offset </w:t>
            </w:r>
            <w:r>
              <w:rPr>
                <w:rFonts w:cs="Arial"/>
                <w:highlight w:val="none"/>
              </w:rPr>
              <w:t xml:space="preserve">from the lower/upper </w:t>
            </w:r>
            <w:r>
              <w:rPr>
                <w:rFonts w:cs="Arial"/>
                <w:i/>
                <w:highlight w:val="none"/>
              </w:rPr>
              <w:t>Base Station RF Bandwidth</w:t>
            </w:r>
            <w:r>
              <w:rPr>
                <w:rFonts w:cs="Arial"/>
                <w:highlight w:val="none"/>
              </w:rPr>
              <w:t xml:space="preserve"> </w:t>
            </w:r>
            <w:r>
              <w:rPr>
                <w:rFonts w:cs="Arial"/>
                <w:i/>
                <w:highlight w:val="none"/>
              </w:rPr>
              <w:t>edge</w:t>
            </w:r>
            <w:r>
              <w:rPr>
                <w:rFonts w:cs="Arial"/>
                <w:highlight w:val="none"/>
              </w:rPr>
              <w:t xml:space="preserve"> or sub</w:t>
            </w:r>
            <w:r>
              <w:rPr>
                <w:rFonts w:cs="Arial"/>
                <w:i/>
                <w:highlight w:val="none"/>
              </w:rPr>
              <w:t>-block edge</w:t>
            </w:r>
            <w:r>
              <w:rPr>
                <w:rFonts w:cs="Arial"/>
                <w:highlight w:val="none"/>
              </w:rPr>
              <w:t xml:space="preserve"> inside a </w:t>
            </w:r>
            <w:r>
              <w:rPr>
                <w:rFonts w:cs="Arial"/>
                <w:i/>
                <w:highlight w:val="none"/>
              </w:rPr>
              <w:t>sub-block gap</w:t>
            </w:r>
            <w:r>
              <w:rPr>
                <w:highlight w:val="none"/>
              </w:rPr>
              <w:t xml:space="preserve"> (MHz)</w:t>
            </w:r>
          </w:p>
        </w:tc>
        <w:tc>
          <w:tcPr>
            <w:tcW w:w="2835" w:type="dxa"/>
            <w:shd w:val="clear" w:color="auto" w:fill="auto"/>
          </w:tcPr>
          <w:p>
            <w:pPr>
              <w:pStyle w:val="32"/>
              <w:rPr>
                <w:rFonts w:eastAsia="宋体"/>
                <w:highlight w:val="none"/>
                <w:lang w:eastAsia="zh-CN"/>
              </w:rPr>
            </w:pPr>
            <w:r>
              <w:rPr>
                <w:highlight w:val="non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100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restart"/>
            <w:tcBorders>
              <w:top w:val="single" w:color="auto" w:sz="4" w:space="0"/>
              <w:left w:val="single" w:color="auto" w:sz="4" w:space="0"/>
              <w:right w:val="single" w:color="auto" w:sz="4" w:space="0"/>
            </w:tcBorders>
            <w:shd w:val="clear" w:color="auto" w:fill="auto"/>
            <w:vAlign w:val="center"/>
          </w:tcPr>
          <w:p>
            <w:pPr>
              <w:pStyle w:val="33"/>
              <w:tabs>
                <w:tab w:val="left" w:pos="540"/>
                <w:tab w:val="left" w:pos="1260"/>
                <w:tab w:val="left" w:pos="1800"/>
              </w:tabs>
              <w:rPr>
                <w:rFonts w:eastAsia="宋体"/>
                <w:highlight w:val="none"/>
                <w:lang w:eastAsia="zh-CN"/>
              </w:rPr>
            </w:pPr>
            <w:r>
              <w:rPr>
                <w:rFonts w:hint="eastAsia" w:eastAsia="宋体"/>
                <w:highlight w:val="none"/>
                <w:lang w:val="en-US" w:eastAsia="zh-CN"/>
              </w:rPr>
              <w:t>10</w:t>
            </w:r>
            <w:r>
              <w:rPr>
                <w:rFonts w:eastAsia="宋体"/>
                <w:highlight w:val="none"/>
                <w:lang w:eastAsia="zh-CN"/>
              </w:rPr>
              <w:t>0</w:t>
            </w:r>
            <w:r>
              <w:rPr>
                <w:rFonts w:eastAsia="宋体"/>
                <w:highlight w:val="none"/>
                <w:lang w:val="en-US" w:eastAsia="zh-CN"/>
              </w:rPr>
              <w:t> </w:t>
            </w:r>
            <w:r>
              <w:rPr>
                <w:rFonts w:eastAsia="宋体"/>
                <w:highlight w:val="none"/>
                <w:lang w:eastAsia="zh-CN"/>
              </w:rPr>
              <w:t>MHz DFT-s-OFDM NR signal,</w:t>
            </w:r>
            <w:r>
              <w:rPr>
                <w:rFonts w:hint="eastAsia" w:eastAsia="宋体"/>
                <w:highlight w:val="none"/>
                <w:lang w:val="en-US" w:eastAsia="zh-CN"/>
              </w:rPr>
              <w:t>120</w:t>
            </w:r>
            <w:r>
              <w:rPr>
                <w:rFonts w:eastAsia="宋体"/>
                <w:highlight w:val="none"/>
                <w:lang w:eastAsia="zh-CN"/>
              </w:rPr>
              <w:t xml:space="preserve"> kHz SCS, 6</w:t>
            </w:r>
            <w:r>
              <w:rPr>
                <w:rFonts w:hint="eastAsia" w:eastAsia="宋体"/>
                <w:highlight w:val="none"/>
                <w:lang w:val="en-US" w:eastAsia="zh-CN"/>
              </w:rPr>
              <w:t>4</w:t>
            </w:r>
            <w:r>
              <w:rPr>
                <w:rFonts w:eastAsia="宋体"/>
                <w:highlight w:val="none"/>
                <w:lang w:eastAsia="zh-CN"/>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vAlign w:val="top"/>
          </w:tcPr>
          <w:p>
            <w:pPr>
              <w:pStyle w:val="33"/>
              <w:rPr>
                <w:rFonts w:ascii="Arial" w:hAnsi="Arial" w:eastAsia="宋体" w:cs="Times New Roman"/>
                <w:kern w:val="0"/>
                <w:sz w:val="18"/>
                <w:szCs w:val="20"/>
                <w:highlight w:val="none"/>
                <w:lang w:val="en-GB" w:eastAsia="zh-CN" w:bidi="ar-SA"/>
              </w:rPr>
            </w:pPr>
            <w:r>
              <w:rPr>
                <w:rFonts w:eastAsia="宋体"/>
                <w:highlight w:val="none"/>
                <w:lang w:eastAsia="zh-CN"/>
              </w:rPr>
              <w:t>400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800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1200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49.38</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1600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33"/>
              <w:rPr>
                <w:rFonts w:hint="default" w:eastAsia="宋体"/>
                <w:highlight w:val="none"/>
                <w:lang w:val="en-US" w:eastAsia="zh-CN"/>
              </w:rPr>
            </w:pPr>
            <w:r>
              <w:rPr>
                <w:rFonts w:hint="eastAsia" w:eastAsia="宋体"/>
                <w:highlight w:val="none"/>
                <w:lang w:val="en-US" w:eastAsia="zh-CN"/>
              </w:rPr>
              <w:t>2000</w:t>
            </w:r>
          </w:p>
        </w:tc>
        <w:tc>
          <w:tcPr>
            <w:tcW w:w="264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top"/>
              <w:rPr>
                <w:rFonts w:cs="Arial"/>
                <w:highlight w:val="none"/>
              </w:rPr>
            </w:pPr>
            <w:r>
              <w:rPr>
                <w:rFonts w:hint="default" w:ascii="Arial" w:hAnsi="Arial" w:eastAsia="宋体" w:cs="Arial"/>
                <w:i w:val="0"/>
                <w:color w:val="000000"/>
                <w:kern w:val="0"/>
                <w:sz w:val="18"/>
                <w:szCs w:val="18"/>
                <w:highlight w:val="none"/>
                <w:u w:val="none"/>
                <w:lang w:val="en-US" w:eastAsia="zh-CN" w:bidi="ar"/>
              </w:rPr>
              <w:t>49.34</w:t>
            </w:r>
          </w:p>
        </w:tc>
        <w:tc>
          <w:tcPr>
            <w:tcW w:w="2835" w:type="dxa"/>
            <w:vMerge w:val="continue"/>
            <w:tcBorders>
              <w:left w:val="single" w:color="auto" w:sz="4" w:space="0"/>
              <w:right w:val="single" w:color="auto" w:sz="4" w:space="0"/>
            </w:tcBorders>
            <w:shd w:val="clear" w:color="auto" w:fill="auto"/>
          </w:tcPr>
          <w:p>
            <w:pPr>
              <w:pStyle w:val="33"/>
              <w:tabs>
                <w:tab w:val="left" w:pos="540"/>
                <w:tab w:val="left" w:pos="1260"/>
                <w:tab w:val="left" w:pos="1800"/>
              </w:tabs>
              <w:rPr>
                <w:rFonts w:eastAsia="宋体"/>
                <w:highlight w:val="none"/>
                <w:lang w:eastAsia="zh-CN"/>
              </w:rPr>
            </w:pPr>
          </w:p>
        </w:tc>
      </w:tr>
    </w:tbl>
    <w:p>
      <w:pPr>
        <w:pBdr>
          <w:top w:val="none" w:color="auto" w:sz="0" w:space="0"/>
          <w:left w:val="none" w:color="auto" w:sz="0" w:space="0"/>
          <w:bottom w:val="none" w:color="auto" w:sz="0" w:space="0"/>
          <w:right w:val="none" w:color="auto" w:sz="0" w:space="0"/>
          <w:between w:val="none" w:color="auto" w:sz="0" w:space="0"/>
        </w:pBdr>
        <w:rPr>
          <w:rFonts w:hint="eastAsia"/>
          <w:b w:val="0"/>
          <w:bCs w:val="0"/>
          <w:kern w:val="0"/>
          <w:sz w:val="20"/>
          <w:szCs w:val="20"/>
          <w:highlight w:val="none"/>
          <w:lang w:val="en-US" w:eastAsia="zh-CN"/>
        </w:rPr>
      </w:pPr>
    </w:p>
    <w:p>
      <w:pPr>
        <w:rPr>
          <w:rFonts w:hint="default"/>
          <w:kern w:val="0"/>
          <w:sz w:val="20"/>
          <w:szCs w:val="20"/>
          <w:highlight w:val="none"/>
          <w:lang w:val="en-US" w:eastAsia="zh-CN"/>
        </w:rPr>
      </w:pPr>
      <w:r>
        <w:rPr>
          <w:rFonts w:hint="eastAsia"/>
          <w:kern w:val="0"/>
          <w:sz w:val="20"/>
          <w:szCs w:val="20"/>
          <w:highlight w:val="none"/>
          <w:lang w:val="en-US" w:eastAsia="zh-CN"/>
        </w:rPr>
        <w:t>It</w:t>
      </w:r>
      <w:r>
        <w:rPr>
          <w:rFonts w:hint="default"/>
          <w:kern w:val="0"/>
          <w:sz w:val="20"/>
          <w:szCs w:val="20"/>
          <w:highlight w:val="none"/>
          <w:lang w:val="en-US" w:eastAsia="zh-CN"/>
        </w:rPr>
        <w:t>’</w:t>
      </w:r>
      <w:r>
        <w:rPr>
          <w:rFonts w:hint="eastAsia"/>
          <w:kern w:val="0"/>
          <w:sz w:val="20"/>
          <w:szCs w:val="20"/>
          <w:highlight w:val="none"/>
          <w:lang w:val="en-US" w:eastAsia="zh-CN"/>
        </w:rPr>
        <w:t>s same story for IBB interfering power level, it should be better to follow the outcome of coexistence study of 52.6-71GHz.</w:t>
      </w:r>
    </w:p>
    <w:p>
      <w:pPr>
        <w:rPr>
          <w:rFonts w:hint="default"/>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propose to follow the outcome of coexistence study of 52.6-71GHz for IBB requirement;</w:t>
      </w:r>
    </w:p>
    <w:p>
      <w:pPr>
        <w:pStyle w:val="42"/>
        <w:rPr>
          <w:rFonts w:hint="default" w:eastAsia="宋体"/>
          <w:highlight w:val="none"/>
          <w:lang w:val="en-US" w:eastAsia="zh-CN"/>
        </w:rPr>
      </w:pPr>
      <w:r>
        <w:rPr>
          <w:highlight w:val="none"/>
        </w:rPr>
        <w:t xml:space="preserve">Table </w:t>
      </w:r>
      <w:r>
        <w:rPr>
          <w:rFonts w:eastAsia="宋体"/>
          <w:highlight w:val="none"/>
          <w:lang w:eastAsia="zh-CN"/>
        </w:rPr>
        <w:t>10.5.2.3</w:t>
      </w:r>
      <w:r>
        <w:rPr>
          <w:highlight w:val="none"/>
        </w:rPr>
        <w:t>-</w:t>
      </w:r>
      <w:r>
        <w:rPr>
          <w:rFonts w:eastAsia="宋体"/>
          <w:highlight w:val="none"/>
          <w:lang w:eastAsia="zh-CN"/>
        </w:rPr>
        <w:t>1</w:t>
      </w:r>
      <w:r>
        <w:rPr>
          <w:highlight w:val="none"/>
        </w:rPr>
        <w:t xml:space="preserve">: General OTA blocking requirement for </w:t>
      </w:r>
      <w:r>
        <w:rPr>
          <w:rFonts w:hint="eastAsia"/>
          <w:i/>
          <w:highlight w:val="none"/>
          <w:lang w:val="en-US" w:eastAsia="zh-CN"/>
        </w:rPr>
        <w:t>60GHz</w:t>
      </w:r>
    </w:p>
    <w:tbl>
      <w:tblPr>
        <w:tblStyle w:val="21"/>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1768"/>
        <w:gridCol w:w="1962"/>
        <w:gridCol w:w="1749"/>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i/>
                <w:highlight w:val="none"/>
              </w:rPr>
              <w:t>BS channel bandwidth</w:t>
            </w:r>
            <w:r>
              <w:rPr>
                <w:highlight w:val="none"/>
              </w:rPr>
              <w:t xml:space="preserve"> of the </w:t>
            </w:r>
            <w:r>
              <w:rPr>
                <w:i/>
                <w:highlight w:val="none"/>
              </w:rPr>
              <w:t>lowest/highest carrier</w:t>
            </w:r>
            <w:r>
              <w:rPr>
                <w:highlight w:val="none"/>
              </w:rPr>
              <w:t xml:space="preserve"> received (MHz)</w:t>
            </w:r>
          </w:p>
        </w:tc>
        <w:tc>
          <w:tcPr>
            <w:tcW w:w="1768"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highlight w:val="none"/>
              </w:rPr>
              <w:t>OTA wanted signal mean power (dBm)</w:t>
            </w:r>
          </w:p>
        </w:tc>
        <w:tc>
          <w:tcPr>
            <w:tcW w:w="1962"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rFonts w:cs="Arial"/>
                <w:highlight w:val="none"/>
              </w:rPr>
              <w:t>OTA interfering signal mean power (dBm)</w:t>
            </w:r>
          </w:p>
        </w:tc>
        <w:tc>
          <w:tcPr>
            <w:tcW w:w="174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rPr>
            </w:pPr>
            <w:r>
              <w:rPr>
                <w:highlight w:val="none"/>
              </w:rPr>
              <w:t>OTA interfering signal centre frequency offset</w:t>
            </w:r>
          </w:p>
          <w:p>
            <w:pPr>
              <w:pStyle w:val="32"/>
              <w:tabs>
                <w:tab w:val="left" w:pos="540"/>
                <w:tab w:val="left" w:pos="1260"/>
                <w:tab w:val="left" w:pos="1800"/>
              </w:tabs>
              <w:rPr>
                <w:highlight w:val="none"/>
                <w:lang w:eastAsia="ja-JP"/>
              </w:rPr>
            </w:pPr>
            <w:r>
              <w:rPr>
                <w:rFonts w:cs="Arial"/>
                <w:highlight w:val="none"/>
              </w:rPr>
              <w:t xml:space="preserve">from the lower/upper </w:t>
            </w:r>
            <w:r>
              <w:rPr>
                <w:rFonts w:cs="Arial"/>
                <w:i/>
                <w:highlight w:val="none"/>
              </w:rPr>
              <w:t>Base Station RF Bandwidth</w:t>
            </w:r>
            <w:r>
              <w:rPr>
                <w:rFonts w:cs="Arial"/>
                <w:highlight w:val="none"/>
              </w:rPr>
              <w:t xml:space="preserve"> edge or </w:t>
            </w:r>
            <w:r>
              <w:rPr>
                <w:rFonts w:cs="Arial"/>
                <w:i/>
                <w:highlight w:val="none"/>
              </w:rPr>
              <w:t>sub-block</w:t>
            </w:r>
            <w:r>
              <w:rPr>
                <w:rFonts w:cs="Arial"/>
                <w:highlight w:val="none"/>
              </w:rPr>
              <w:t xml:space="preserve"> edge inside a </w:t>
            </w:r>
            <w:r>
              <w:rPr>
                <w:rFonts w:cs="Arial"/>
                <w:i/>
                <w:highlight w:val="none"/>
              </w:rPr>
              <w:t>sub-block gap</w:t>
            </w:r>
            <w:r>
              <w:rPr>
                <w:highlight w:val="none"/>
              </w:rPr>
              <w:t xml:space="preserve"> (MHz)</w:t>
            </w:r>
          </w:p>
        </w:tc>
        <w:tc>
          <w:tcPr>
            <w:tcW w:w="2219" w:type="dxa"/>
            <w:tcBorders>
              <w:top w:val="single" w:color="auto" w:sz="4" w:space="0"/>
              <w:left w:val="single" w:color="auto" w:sz="4" w:space="0"/>
              <w:bottom w:val="single" w:color="auto" w:sz="4" w:space="0"/>
              <w:right w:val="single" w:color="auto" w:sz="4" w:space="0"/>
            </w:tcBorders>
          </w:tcPr>
          <w:p>
            <w:pPr>
              <w:pStyle w:val="32"/>
              <w:tabs>
                <w:tab w:val="left" w:pos="540"/>
                <w:tab w:val="left" w:pos="1260"/>
                <w:tab w:val="left" w:pos="1800"/>
              </w:tabs>
              <w:rPr>
                <w:highlight w:val="none"/>
                <w:lang w:eastAsia="ja-JP"/>
              </w:rPr>
            </w:pPr>
            <w:r>
              <w:rPr>
                <w:highlight w:val="none"/>
              </w:rPr>
              <w:t>Type of OTA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1"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eastAsia="zh-CN"/>
              </w:rPr>
            </w:pPr>
            <w:r>
              <w:rPr>
                <w:highlight w:val="none"/>
              </w:rPr>
              <w:t>100, 200, 400</w:t>
            </w:r>
            <w:r>
              <w:rPr>
                <w:rFonts w:hint="eastAsia" w:eastAsia="宋体"/>
                <w:highlight w:val="none"/>
                <w:lang w:val="en-US" w:eastAsia="zh-CN"/>
              </w:rPr>
              <w:t>,800,1200,1600,2000</w:t>
            </w:r>
          </w:p>
        </w:tc>
        <w:tc>
          <w:tcPr>
            <w:tcW w:w="1768"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highlight w:val="none"/>
                <w:lang w:eastAsia="ja-JP"/>
              </w:rPr>
            </w:pPr>
            <w:r>
              <w:rPr>
                <w:rFonts w:cs="Arial"/>
                <w:highlight w:val="none"/>
              </w:rPr>
              <w:t>EIS</w:t>
            </w:r>
            <w:r>
              <w:rPr>
                <w:rFonts w:cs="Arial"/>
                <w:highlight w:val="none"/>
                <w:vertAlign w:val="subscript"/>
              </w:rPr>
              <w:t>REFSENS</w:t>
            </w:r>
            <w:r>
              <w:rPr>
                <w:highlight w:val="none"/>
              </w:rPr>
              <w:t xml:space="preserve"> + 6 dB</w:t>
            </w:r>
          </w:p>
        </w:tc>
        <w:tc>
          <w:tcPr>
            <w:tcW w:w="1962"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val="sv-SE" w:eastAsia="zh-CN"/>
              </w:rPr>
            </w:pPr>
            <w:r>
              <w:rPr>
                <w:rFonts w:cs="Arial"/>
                <w:highlight w:val="none"/>
                <w:lang w:val="sv-SE"/>
              </w:rPr>
              <w:t>EIS</w:t>
            </w:r>
            <w:r>
              <w:rPr>
                <w:rFonts w:cs="Arial"/>
                <w:highlight w:val="none"/>
                <w:vertAlign w:val="subscript"/>
                <w:lang w:val="sv-SE"/>
              </w:rPr>
              <w:t>REFSENS_50M</w:t>
            </w:r>
            <w:r>
              <w:rPr>
                <w:highlight w:val="none"/>
                <w:lang w:val="sv-SE"/>
              </w:rPr>
              <w:t xml:space="preserve"> + </w:t>
            </w:r>
            <w:r>
              <w:rPr>
                <w:rFonts w:hint="eastAsia" w:eastAsia="宋体"/>
                <w:highlight w:val="none"/>
                <w:lang w:val="en-US" w:eastAsia="zh-CN"/>
              </w:rPr>
              <w:t>[</w:t>
            </w:r>
            <w:r>
              <w:rPr>
                <w:highlight w:val="none"/>
                <w:lang w:val="sv-SE"/>
              </w:rPr>
              <w:t>33</w:t>
            </w:r>
            <w:r>
              <w:rPr>
                <w:rFonts w:hint="eastAsia" w:eastAsia="宋体"/>
                <w:highlight w:val="none"/>
                <w:lang w:val="en-US" w:eastAsia="zh-CN"/>
              </w:rPr>
              <w:t>]</w:t>
            </w:r>
            <w:r>
              <w:rPr>
                <w:highlight w:val="none"/>
                <w:lang w:val="sv-SE"/>
              </w:rPr>
              <w:t xml:space="preserve"> </w:t>
            </w:r>
            <w:r>
              <w:rPr>
                <w:rFonts w:cs="Arial"/>
                <w:highlight w:val="none"/>
                <w:lang w:val="sv-SE"/>
              </w:rPr>
              <w:t xml:space="preserve">+ </w:t>
            </w:r>
            <w:r>
              <w:rPr>
                <w:highlight w:val="none"/>
              </w:rPr>
              <w:t>Δ</w:t>
            </w:r>
            <w:r>
              <w:rPr>
                <w:highlight w:val="none"/>
                <w:vertAlign w:val="subscript"/>
                <w:lang w:val="sv-SE"/>
              </w:rPr>
              <w:t>FR2_REFSENS</w:t>
            </w:r>
          </w:p>
        </w:tc>
        <w:tc>
          <w:tcPr>
            <w:tcW w:w="174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rFonts w:eastAsia="宋体"/>
                <w:highlight w:val="none"/>
                <w:lang w:eastAsia="zh-CN"/>
              </w:rPr>
            </w:pPr>
            <w:r>
              <w:rPr>
                <w:rFonts w:cs="Arial"/>
                <w:highlight w:val="none"/>
              </w:rPr>
              <w:t>±</w:t>
            </w:r>
            <w:r>
              <w:rPr>
                <w:highlight w:val="none"/>
              </w:rPr>
              <w:t>75</w:t>
            </w:r>
          </w:p>
        </w:tc>
        <w:tc>
          <w:tcPr>
            <w:tcW w:w="2219" w:type="dxa"/>
            <w:tcBorders>
              <w:top w:val="single" w:color="auto" w:sz="4" w:space="0"/>
              <w:left w:val="single" w:color="auto" w:sz="4" w:space="0"/>
              <w:bottom w:val="single" w:color="auto" w:sz="4" w:space="0"/>
              <w:right w:val="single" w:color="auto" w:sz="4" w:space="0"/>
            </w:tcBorders>
          </w:tcPr>
          <w:p>
            <w:pPr>
              <w:pStyle w:val="33"/>
              <w:tabs>
                <w:tab w:val="left" w:pos="540"/>
                <w:tab w:val="left" w:pos="1260"/>
                <w:tab w:val="left" w:pos="1800"/>
              </w:tabs>
              <w:rPr>
                <w:highlight w:val="none"/>
              </w:rPr>
            </w:pPr>
            <w:r>
              <w:rPr>
                <w:rFonts w:hint="eastAsia" w:eastAsia="宋体"/>
                <w:highlight w:val="none"/>
                <w:lang w:val="en-US" w:eastAsia="zh-CN"/>
              </w:rPr>
              <w:t>10</w:t>
            </w:r>
            <w:r>
              <w:rPr>
                <w:highlight w:val="none"/>
              </w:rPr>
              <w:t xml:space="preserve">0 MHz </w:t>
            </w:r>
            <w:r>
              <w:rPr>
                <w:highlight w:val="none"/>
                <w:lang w:val="en-US"/>
              </w:rPr>
              <w:t xml:space="preserve">DFT-s-OFDM </w:t>
            </w:r>
            <w:r>
              <w:rPr>
                <w:rFonts w:eastAsia="宋体"/>
                <w:highlight w:val="none"/>
                <w:lang w:eastAsia="zh-CN"/>
              </w:rPr>
              <w:t>NR</w:t>
            </w:r>
            <w:r>
              <w:rPr>
                <w:highlight w:val="none"/>
              </w:rPr>
              <w:t xml:space="preserve"> signal,</w:t>
            </w:r>
          </w:p>
          <w:p>
            <w:pPr>
              <w:pStyle w:val="33"/>
              <w:tabs>
                <w:tab w:val="left" w:pos="540"/>
                <w:tab w:val="left" w:pos="1260"/>
                <w:tab w:val="left" w:pos="1800"/>
              </w:tabs>
              <w:rPr>
                <w:highlight w:val="none"/>
                <w:lang w:eastAsia="ja-JP"/>
              </w:rPr>
            </w:pPr>
            <w:r>
              <w:rPr>
                <w:rFonts w:hint="eastAsia" w:eastAsia="宋体"/>
                <w:highlight w:val="none"/>
                <w:lang w:val="en-US" w:eastAsia="zh-CN"/>
              </w:rPr>
              <w:t>12</w:t>
            </w:r>
            <w:r>
              <w:rPr>
                <w:highlight w:val="none"/>
              </w:rPr>
              <w:t>0 kHz SCS</w:t>
            </w:r>
            <w:r>
              <w:rPr>
                <w:rFonts w:cs="Arial"/>
                <w:highlight w:val="none"/>
              </w:rPr>
              <w:t>,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46"/>
              <w:rPr>
                <w:highlight w:val="none"/>
              </w:rPr>
            </w:pPr>
            <w:r>
              <w:rPr>
                <w:rFonts w:eastAsia="宋体"/>
                <w:highlight w:val="none"/>
              </w:rPr>
              <w:t>NOTE:</w:t>
            </w:r>
            <w:r>
              <w:rPr>
                <w:highlight w:val="none"/>
              </w:rPr>
              <w:tab/>
            </w:r>
            <w:r>
              <w:rPr>
                <w:highlight w:val="none"/>
              </w:rPr>
              <w:t>EIS</w:t>
            </w:r>
            <w:r>
              <w:rPr>
                <w:highlight w:val="none"/>
                <w:vertAlign w:val="subscript"/>
              </w:rPr>
              <w:t>REFSENS</w:t>
            </w:r>
            <w:r>
              <w:rPr>
                <w:highlight w:val="none"/>
              </w:rPr>
              <w:t xml:space="preserve"> and EIS</w:t>
            </w:r>
            <w:r>
              <w:rPr>
                <w:highlight w:val="none"/>
                <w:vertAlign w:val="subscript"/>
              </w:rPr>
              <w:t>REFSENS_50M</w:t>
            </w:r>
            <w:r>
              <w:rPr>
                <w:highlight w:val="none"/>
              </w:rPr>
              <w:t xml:space="preserve"> are given in clause 10.3.3.</w:t>
            </w:r>
          </w:p>
        </w:tc>
      </w:tr>
    </w:tbl>
    <w:p>
      <w:pPr>
        <w:rPr>
          <w:rFonts w:hint="default"/>
          <w:highlight w:val="none"/>
          <w:lang w:val="en-US" w:eastAsia="zh-CN"/>
        </w:rPr>
      </w:pPr>
    </w:p>
    <w:p>
      <w:pPr>
        <w:outlineLvl w:val="1"/>
        <w:rPr>
          <w:rFonts w:hint="default" w:ascii="Arial" w:hAnsi="Arial" w:eastAsia="宋体" w:cs="Arial"/>
          <w:sz w:val="24"/>
          <w:szCs w:val="24"/>
          <w:highlight w:val="none"/>
          <w:lang w:val="en-US" w:eastAsia="zh-CN"/>
        </w:rPr>
      </w:pPr>
      <w:r>
        <w:rPr>
          <w:rFonts w:hint="eastAsia" w:ascii="Arial" w:hAnsi="Arial" w:eastAsia="宋体" w:cs="Arial"/>
          <w:sz w:val="24"/>
          <w:szCs w:val="24"/>
          <w:highlight w:val="none"/>
          <w:lang w:val="en-US" w:eastAsia="zh-CN"/>
        </w:rPr>
        <w:t>2.</w:t>
      </w:r>
      <w:r>
        <w:rPr>
          <w:rFonts w:hint="eastAsia" w:ascii="Arial" w:hAnsi="Arial" w:cs="Arial"/>
          <w:sz w:val="24"/>
          <w:szCs w:val="24"/>
          <w:highlight w:val="none"/>
          <w:lang w:val="en-US" w:eastAsia="zh-CN"/>
        </w:rPr>
        <w:t>4</w:t>
      </w:r>
      <w:r>
        <w:rPr>
          <w:rFonts w:hint="eastAsia" w:ascii="Arial" w:hAnsi="Arial" w:eastAsia="宋体" w:cs="Arial"/>
          <w:sz w:val="24"/>
          <w:szCs w:val="24"/>
          <w:highlight w:val="none"/>
          <w:lang w:val="en-US" w:eastAsia="zh-CN"/>
        </w:rPr>
        <w:t xml:space="preserve">. RX </w:t>
      </w:r>
      <w:r>
        <w:rPr>
          <w:rFonts w:hint="eastAsia" w:ascii="Arial" w:hAnsi="Arial" w:cs="Arial"/>
          <w:sz w:val="24"/>
          <w:szCs w:val="24"/>
          <w:highlight w:val="none"/>
          <w:lang w:val="en-US" w:eastAsia="zh-CN"/>
        </w:rPr>
        <w:t>ICS</w:t>
      </w:r>
      <w:r>
        <w:rPr>
          <w:rFonts w:hint="eastAsia" w:ascii="Arial" w:hAnsi="Arial" w:eastAsia="宋体" w:cs="Arial"/>
          <w:sz w:val="24"/>
          <w:szCs w:val="24"/>
          <w:highlight w:val="none"/>
          <w:lang w:val="en-US" w:eastAsia="zh-CN"/>
        </w:rPr>
        <w:t xml:space="preserve"> requirements</w:t>
      </w:r>
    </w:p>
    <w:p>
      <w:pPr>
        <w:rPr>
          <w:rFonts w:hint="default" w:eastAsia="Times New Roman"/>
          <w:kern w:val="0"/>
          <w:sz w:val="20"/>
          <w:szCs w:val="20"/>
          <w:highlight w:val="none"/>
          <w:lang w:val="en-US" w:eastAsia="zh-CN"/>
        </w:rPr>
      </w:pPr>
      <w:r>
        <w:rPr>
          <w:rFonts w:hint="eastAsia" w:eastAsia="Times New Roman"/>
          <w:kern w:val="0"/>
          <w:sz w:val="20"/>
          <w:szCs w:val="20"/>
          <w:highlight w:val="none"/>
          <w:lang w:val="en-US" w:eastAsia="zh-CN"/>
        </w:rPr>
        <w:t xml:space="preserve">Based on the simulation results as shown in Figure 1 and Figure 2, IoT levels are within [0-3]dB which is aligned with observed values in Rel-15 and documented in the section 10.9.3 of TR 38.803.  </w:t>
      </w:r>
    </w:p>
    <w:p>
      <w:pPr>
        <w:pBdr>
          <w:top w:val="none" w:color="auto" w:sz="0" w:space="0"/>
          <w:left w:val="none" w:color="auto" w:sz="0" w:space="0"/>
          <w:bottom w:val="none" w:color="auto" w:sz="0" w:space="0"/>
          <w:right w:val="none" w:color="auto" w:sz="0" w:space="0"/>
          <w:between w:val="none" w:color="auto" w:sz="0" w:space="0"/>
        </w:pBdr>
        <w:jc w:val="center"/>
      </w:pPr>
      <w:r>
        <w:drawing>
          <wp:inline distT="0" distB="0" distL="0" distR="0">
            <wp:extent cx="5274310" cy="3950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srcRect/>
                    <a:stretch>
                      <a:fillRect/>
                    </a:stretch>
                  </pic:blipFill>
                  <pic:spPr>
                    <a:xfrm>
                      <a:off x="0" y="0"/>
                      <a:ext cx="5274310" cy="3950399"/>
                    </a:xfrm>
                    <a:prstGeom prst="rect">
                      <a:avLst/>
                    </a:prstGeom>
                    <a:noFill/>
                    <a:ln w="9525">
                      <a:noFill/>
                      <a:miter lim="800000"/>
                      <a:headEnd/>
                      <a:tailEnd/>
                    </a:ln>
                  </pic:spPr>
                </pic:pic>
              </a:graphicData>
            </a:graphic>
          </wp:inline>
        </w:drawing>
      </w:r>
    </w:p>
    <w:p>
      <w:pPr>
        <w:numPr>
          <w:ilvl w:val="0"/>
          <w:numId w:val="0"/>
        </w:numPr>
        <w:pBdr>
          <w:top w:val="none" w:color="auto" w:sz="0" w:space="0"/>
          <w:left w:val="none" w:color="auto" w:sz="0" w:space="0"/>
          <w:bottom w:val="none" w:color="auto" w:sz="0" w:space="0"/>
          <w:right w:val="none" w:color="auto" w:sz="0" w:space="0"/>
          <w:between w:val="none" w:color="auto" w:sz="0" w:space="0"/>
        </w:pBdr>
        <w:ind w:leftChars="0"/>
        <w:jc w:val="center"/>
        <w:rPr>
          <w:rFonts w:hint="default"/>
          <w:kern w:val="0"/>
          <w:sz w:val="20"/>
          <w:szCs w:val="20"/>
          <w:highlight w:val="none"/>
          <w:lang w:val="en-US" w:eastAsia="zh-CN"/>
        </w:rPr>
      </w:pPr>
      <w:r>
        <w:rPr>
          <w:rFonts w:hint="eastAsia"/>
          <w:kern w:val="0"/>
          <w:sz w:val="20"/>
          <w:szCs w:val="20"/>
          <w:highlight w:val="none"/>
          <w:lang w:val="en-US" w:eastAsia="zh-CN"/>
        </w:rPr>
        <w:t>Figure 1. IoT level for 60GHz NR BS in indoor scenario</w:t>
      </w:r>
    </w:p>
    <w:p>
      <w:pPr>
        <w:pBdr>
          <w:top w:val="none" w:color="auto" w:sz="0" w:space="0"/>
          <w:left w:val="none" w:color="auto" w:sz="0" w:space="0"/>
          <w:bottom w:val="none" w:color="auto" w:sz="0" w:space="0"/>
          <w:right w:val="none" w:color="auto" w:sz="0" w:space="0"/>
          <w:between w:val="none" w:color="auto" w:sz="0" w:space="0"/>
        </w:pBdr>
        <w:jc w:val="center"/>
      </w:pPr>
      <w:r>
        <w:drawing>
          <wp:inline distT="0" distB="0" distL="0" distR="0">
            <wp:extent cx="5274310" cy="39503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a:stretch>
                      <a:fillRect/>
                    </a:stretch>
                  </pic:blipFill>
                  <pic:spPr>
                    <a:xfrm>
                      <a:off x="0" y="0"/>
                      <a:ext cx="5274310" cy="3950399"/>
                    </a:xfrm>
                    <a:prstGeom prst="rect">
                      <a:avLst/>
                    </a:prstGeom>
                    <a:noFill/>
                    <a:ln w="9525">
                      <a:noFill/>
                      <a:miter lim="800000"/>
                      <a:headEnd/>
                      <a:tailEnd/>
                    </a:ln>
                  </pic:spPr>
                </pic:pic>
              </a:graphicData>
            </a:graphic>
          </wp:inline>
        </w:drawing>
      </w:r>
    </w:p>
    <w:p>
      <w:pPr>
        <w:numPr>
          <w:ilvl w:val="0"/>
          <w:numId w:val="0"/>
        </w:numPr>
        <w:pBdr>
          <w:top w:val="none" w:color="auto" w:sz="0" w:space="0"/>
          <w:left w:val="none" w:color="auto" w:sz="0" w:space="0"/>
          <w:bottom w:val="none" w:color="auto" w:sz="0" w:space="0"/>
          <w:right w:val="none" w:color="auto" w:sz="0" w:space="0"/>
          <w:between w:val="none" w:color="auto" w:sz="0" w:space="0"/>
        </w:pBdr>
        <w:ind w:leftChars="0"/>
        <w:jc w:val="center"/>
        <w:rPr>
          <w:rFonts w:hint="eastAsia"/>
          <w:lang w:val="en-US" w:eastAsia="zh-CN"/>
        </w:rPr>
      </w:pPr>
      <w:r>
        <w:rPr>
          <w:rFonts w:hint="eastAsia"/>
          <w:kern w:val="0"/>
          <w:sz w:val="20"/>
          <w:szCs w:val="20"/>
          <w:highlight w:val="none"/>
          <w:lang w:val="en-US" w:eastAsia="zh-CN"/>
        </w:rPr>
        <w:t>Figure 2. IoT level for 70GHz NR BS in indoor scenario</w:t>
      </w:r>
    </w:p>
    <w:p>
      <w:pPr>
        <w:pBdr>
          <w:top w:val="none" w:color="auto" w:sz="0" w:space="0"/>
          <w:left w:val="none" w:color="auto" w:sz="0" w:space="0"/>
          <w:bottom w:val="none" w:color="auto" w:sz="0" w:space="0"/>
          <w:right w:val="none" w:color="auto" w:sz="0" w:space="0"/>
          <w:between w:val="none" w:color="auto" w:sz="0" w:space="0"/>
        </w:pBdr>
        <w:rPr>
          <w:rFonts w:hint="default"/>
          <w:b w:val="0"/>
          <w:bCs w:val="0"/>
          <w:kern w:val="2"/>
          <w:sz w:val="20"/>
          <w:szCs w:val="20"/>
          <w:highlight w:val="green"/>
          <w:lang w:val="en-US" w:eastAsia="zh-CN"/>
        </w:rPr>
      </w:pPr>
      <w:r>
        <w:rPr>
          <w:rFonts w:hint="eastAsia"/>
          <w:b/>
          <w:bCs/>
          <w:kern w:val="0"/>
          <w:sz w:val="20"/>
          <w:szCs w:val="20"/>
          <w:highlight w:val="none"/>
          <w:lang w:val="en-US" w:eastAsia="zh-CN"/>
        </w:rPr>
        <w:t>Proposal 5:</w:t>
      </w:r>
      <w:r>
        <w:rPr>
          <w:rFonts w:hint="eastAsia"/>
          <w:kern w:val="0"/>
          <w:sz w:val="20"/>
          <w:szCs w:val="20"/>
          <w:highlight w:val="none"/>
          <w:lang w:val="en-US" w:eastAsia="zh-CN"/>
        </w:rPr>
        <w:t xml:space="preserve"> to reuse 14dBc in-channel selectivity for 52.6-71GHz BS ICS requirement; </w:t>
      </w: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further</w:t>
      </w:r>
      <w:r>
        <w:rPr>
          <w:rFonts w:hint="eastAsia"/>
          <w:kern w:val="0"/>
          <w:sz w:val="20"/>
          <w:szCs w:val="20"/>
          <w:highlight w:val="none"/>
          <w:lang w:val="en-US" w:eastAsia="zh-CN"/>
        </w:rPr>
        <w:t xml:space="preserve"> considerations on each BS Rx requirements for 52.6-71GHz and some proposals and observations are made as following:</w:t>
      </w:r>
    </w:p>
    <w:p>
      <w:pPr>
        <w:numPr>
          <w:ilvl w:val="0"/>
          <w:numId w:val="0"/>
        </w:numPr>
        <w:pBdr>
          <w:top w:val="none" w:color="auto" w:sz="0" w:space="0"/>
          <w:left w:val="none" w:color="auto" w:sz="0" w:space="0"/>
          <w:bottom w:val="none" w:color="auto" w:sz="0" w:space="0"/>
          <w:right w:val="none" w:color="auto" w:sz="0" w:space="0"/>
          <w:between w:val="none" w:color="auto" w:sz="0" w:space="0"/>
        </w:pBdr>
        <w:ind w:leftChars="0"/>
        <w:rPr>
          <w:rFonts w:hint="default"/>
          <w:kern w:val="0"/>
          <w:sz w:val="20"/>
          <w:szCs w:val="20"/>
          <w:highlight w:val="none"/>
          <w:lang w:val="en-US" w:eastAsia="zh-CN"/>
        </w:rPr>
      </w:pPr>
      <w:r>
        <w:rPr>
          <w:rFonts w:hint="eastAsia"/>
          <w:b/>
          <w:bCs/>
          <w:kern w:val="0"/>
          <w:sz w:val="20"/>
          <w:szCs w:val="20"/>
          <w:highlight w:val="none"/>
          <w:lang w:val="en-US" w:eastAsia="zh-CN"/>
        </w:rPr>
        <w:t>Proposal 1</w:t>
      </w:r>
      <w:r>
        <w:rPr>
          <w:rFonts w:hint="eastAsia"/>
          <w:kern w:val="0"/>
          <w:sz w:val="20"/>
          <w:szCs w:val="20"/>
          <w:highlight w:val="none"/>
          <w:lang w:val="en-US" w:eastAsia="zh-CN"/>
        </w:rPr>
        <w:t>: the existing PT-RS configuration in FR2 FRC could also been applied for 52.6-71GHz.</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xml:space="preserve">: for 480kHz and 960kHz SCS FRC, wait for the conclusion of spectral utilization of 480kHz and 960kHz. </w:t>
      </w:r>
    </w:p>
    <w:p>
      <w:pPr>
        <w:rPr>
          <w:rFonts w:hint="default"/>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propose to follow the outcome of coexistence study of 52.6-71GHz for ACS requirement;</w:t>
      </w:r>
    </w:p>
    <w:p>
      <w:pPr>
        <w:rPr>
          <w:rFonts w:hint="eastAsia"/>
          <w:kern w:val="0"/>
          <w:sz w:val="20"/>
          <w:szCs w:val="20"/>
          <w:highlight w:val="none"/>
          <w:lang w:val="en-US" w:eastAsia="zh-CN"/>
        </w:rPr>
      </w:pPr>
      <w:r>
        <w:rPr>
          <w:rFonts w:hint="eastAsia"/>
          <w:b/>
          <w:bCs/>
          <w:kern w:val="0"/>
          <w:sz w:val="20"/>
          <w:szCs w:val="20"/>
          <w:highlight w:val="none"/>
          <w:lang w:val="en-US" w:eastAsia="zh-CN"/>
        </w:rPr>
        <w:t>Proposal 4</w:t>
      </w:r>
      <w:r>
        <w:rPr>
          <w:rFonts w:hint="eastAsia"/>
          <w:kern w:val="0"/>
          <w:sz w:val="20"/>
          <w:szCs w:val="20"/>
          <w:highlight w:val="none"/>
          <w:lang w:val="en-US" w:eastAsia="zh-CN"/>
        </w:rPr>
        <w:t>: to propose to follow the outcome of coexistence study of 52.6-71GHz for IBB requirement;</w:t>
      </w:r>
    </w:p>
    <w:p>
      <w:pPr>
        <w:pBdr>
          <w:top w:val="none" w:color="auto" w:sz="0" w:space="0"/>
          <w:left w:val="none" w:color="auto" w:sz="0" w:space="0"/>
          <w:bottom w:val="none" w:color="auto" w:sz="0" w:space="0"/>
          <w:right w:val="none" w:color="auto" w:sz="0" w:space="0"/>
          <w:between w:val="none" w:color="auto" w:sz="0" w:space="0"/>
        </w:pBdr>
        <w:rPr>
          <w:rFonts w:hint="default"/>
          <w:b w:val="0"/>
          <w:bCs w:val="0"/>
          <w:kern w:val="2"/>
          <w:sz w:val="20"/>
          <w:szCs w:val="20"/>
          <w:highlight w:val="green"/>
          <w:lang w:val="en-US" w:eastAsia="zh-CN"/>
        </w:rPr>
      </w:pPr>
      <w:r>
        <w:rPr>
          <w:rFonts w:hint="eastAsia"/>
          <w:b/>
          <w:bCs/>
          <w:kern w:val="0"/>
          <w:sz w:val="20"/>
          <w:szCs w:val="20"/>
          <w:highlight w:val="none"/>
          <w:lang w:val="en-US" w:eastAsia="zh-CN"/>
        </w:rPr>
        <w:t>Proposal 5:</w:t>
      </w:r>
      <w:r>
        <w:rPr>
          <w:rFonts w:hint="eastAsia"/>
          <w:kern w:val="0"/>
          <w:sz w:val="20"/>
          <w:szCs w:val="20"/>
          <w:highlight w:val="none"/>
          <w:lang w:val="en-US" w:eastAsia="zh-CN"/>
        </w:rPr>
        <w:t xml:space="preserve"> to reuse 14dBc in-channel selectivity for 52.6-71GHz BS ICS requirement; </w:t>
      </w:r>
    </w:p>
    <w:p>
      <w:pPr>
        <w:pStyle w:val="53"/>
        <w:tabs>
          <w:tab w:val="left" w:pos="567"/>
          <w:tab w:val="clear" w:pos="1985"/>
        </w:tabs>
        <w:adjustRightInd w:val="0"/>
        <w:ind w:left="510" w:hanging="510"/>
        <w:rPr>
          <w:highlight w:val="none"/>
        </w:rPr>
      </w:pPr>
      <w:r>
        <w:rPr>
          <w:highlight w:val="none"/>
        </w:rPr>
        <w:t>References</w:t>
      </w:r>
    </w:p>
    <w:p>
      <w:pPr>
        <w:pStyle w:val="51"/>
        <w:numPr>
          <w:ilvl w:val="0"/>
          <w:numId w:val="3"/>
        </w:numPr>
        <w:rPr>
          <w:rFonts w:hint="default"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R4-2106114</w:t>
      </w:r>
      <w:r>
        <w:rPr>
          <w:rFonts w:hint="eastAsia" w:cs="Times New Roman"/>
          <w:b w:val="0"/>
          <w:i w:val="0"/>
          <w:caps w:val="0"/>
          <w:color w:val="000000"/>
          <w:spacing w:val="0"/>
          <w:sz w:val="18"/>
          <w:szCs w:val="18"/>
          <w:highlight w:val="none"/>
          <w:shd w:val="clear" w:fill="FFFFFF"/>
          <w:lang w:val="en-US" w:eastAsia="zh-CN"/>
        </w:rPr>
        <w:t xml:space="preserve">, </w:t>
      </w:r>
      <w:r>
        <w:rPr>
          <w:rFonts w:hint="eastAsia" w:ascii="Times New Roman" w:hAnsi="Times New Roman" w:eastAsia="宋体" w:cs="Times New Roman"/>
          <w:b w:val="0"/>
          <w:i w:val="0"/>
          <w:caps w:val="0"/>
          <w:color w:val="000000"/>
          <w:spacing w:val="0"/>
          <w:sz w:val="18"/>
          <w:szCs w:val="18"/>
          <w:highlight w:val="none"/>
          <w:shd w:val="clear" w:fill="FFFFFF"/>
        </w:rPr>
        <w:t>WF on BS RF RX requirements for 52.6 – 71 GHz, approved.</w:t>
      </w:r>
    </w:p>
    <w:p>
      <w:pPr>
        <w:pStyle w:val="51"/>
        <w:numPr>
          <w:ilvl w:val="0"/>
          <w:numId w:val="3"/>
        </w:numPr>
        <w:rPr>
          <w:rFonts w:ascii="Arial" w:hAnsi="Arial" w:eastAsia="宋体" w:cs="Arial"/>
          <w:b w:val="0"/>
          <w:i w:val="0"/>
          <w:caps w:val="0"/>
          <w:color w:val="000000"/>
          <w:spacing w:val="0"/>
          <w:sz w:val="18"/>
          <w:szCs w:val="18"/>
          <w:highlight w:val="none"/>
          <w:shd w:val="clear" w:fill="FFFFFF"/>
        </w:rPr>
      </w:pPr>
      <w:r>
        <w:rPr>
          <w:rFonts w:hint="eastAsia" w:cs="Times New Roman"/>
          <w:b w:val="0"/>
          <w:i w:val="0"/>
          <w:caps w:val="0"/>
          <w:color w:val="000000"/>
          <w:spacing w:val="0"/>
          <w:sz w:val="18"/>
          <w:szCs w:val="18"/>
          <w:highlight w:val="none"/>
          <w:shd w:val="clear" w:fill="FFFFFF"/>
          <w:lang w:val="en-US" w:eastAsia="zh-CN"/>
        </w:rPr>
        <w:t>TR 38.808</w:t>
      </w:r>
    </w:p>
    <w:p>
      <w:pPr>
        <w:pStyle w:val="51"/>
        <w:numPr>
          <w:ilvl w:val="0"/>
          <w:numId w:val="3"/>
        </w:num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R4-1700302</w:t>
      </w:r>
      <w:r>
        <w:rPr>
          <w:rFonts w:hint="eastAsia" w:cs="Times New Roman"/>
          <w:sz w:val="20"/>
          <w:szCs w:val="20"/>
          <w:highlight w:val="none"/>
          <w:lang w:val="en-US" w:eastAsia="zh-CN"/>
        </w:rPr>
        <w:t>,Way forward on ACLR &amp; ACS for WP5D LS, approved.</w:t>
      </w:r>
    </w:p>
    <w:p>
      <w:pPr>
        <w:pStyle w:val="51"/>
        <w:numPr>
          <w:ilvl w:val="0"/>
          <w:numId w:val="3"/>
        </w:numPr>
        <w:rPr>
          <w:rFonts w:hint="default" w:ascii="Times New Roman" w:hAnsi="Times New Roman" w:eastAsia="宋体" w:cs="Times New Roman"/>
          <w:b w:val="0"/>
          <w:i w:val="0"/>
          <w:caps w:val="0"/>
          <w:color w:val="000000"/>
          <w:spacing w:val="0"/>
          <w:sz w:val="18"/>
          <w:szCs w:val="18"/>
          <w:highlight w:val="none"/>
          <w:shd w:val="clear" w:fill="FFFFFF"/>
        </w:rPr>
      </w:pPr>
      <w:r>
        <w:rPr>
          <w:rFonts w:hint="default" w:ascii="Times New Roman" w:hAnsi="Times New Roman" w:eastAsia="宋体" w:cs="Times New Roman"/>
          <w:b w:val="0"/>
          <w:i w:val="0"/>
          <w:caps w:val="0"/>
          <w:color w:val="000000"/>
          <w:spacing w:val="0"/>
          <w:sz w:val="18"/>
          <w:szCs w:val="18"/>
          <w:highlight w:val="none"/>
          <w:shd w:val="clear" w:fill="FFFFFF"/>
        </w:rPr>
        <w:t>R4-2108639</w:t>
      </w:r>
      <w:r>
        <w:rPr>
          <w:rFonts w:hint="eastAsia" w:cs="Times New Roman"/>
          <w:b w:val="0"/>
          <w:i w:val="0"/>
          <w:caps w:val="0"/>
          <w:color w:val="000000"/>
          <w:spacing w:val="0"/>
          <w:sz w:val="18"/>
          <w:szCs w:val="18"/>
          <w:highlight w:val="none"/>
          <w:shd w:val="clear" w:fill="FFFFFF"/>
          <w:lang w:val="en-US" w:eastAsia="zh-CN"/>
        </w:rPr>
        <w:t>,</w:t>
      </w:r>
      <w:r>
        <w:rPr>
          <w:rFonts w:hint="default" w:ascii="Times New Roman" w:hAnsi="Times New Roman" w:eastAsia="宋体" w:cs="Times New Roman"/>
          <w:b w:val="0"/>
          <w:i w:val="0"/>
          <w:caps w:val="0"/>
          <w:color w:val="000000"/>
          <w:spacing w:val="0"/>
          <w:sz w:val="18"/>
          <w:szCs w:val="18"/>
          <w:highlight w:val="none"/>
          <w:shd w:val="clear" w:fill="FFFFFF"/>
        </w:rPr>
        <w:t>WF on BS RX RF requirements for 52.6 – 71 GHz, approved</w:t>
      </w:r>
    </w:p>
    <w:p>
      <w:pPr>
        <w:pStyle w:val="51"/>
        <w:numPr>
          <w:ilvl w:val="0"/>
          <w:numId w:val="3"/>
        </w:numPr>
        <w:rPr>
          <w:rFonts w:ascii="Times New Roman" w:hAnsi="Times New Roman" w:cs="Times New Roman"/>
          <w:sz w:val="20"/>
          <w:szCs w:val="20"/>
          <w:highlight w:val="none"/>
          <w:shd w:val="clear"/>
        </w:rPr>
      </w:pPr>
      <w:r>
        <w:rPr>
          <w:rFonts w:hint="default" w:cs="Times New Roman"/>
          <w:b w:val="0"/>
          <w:i w:val="0"/>
          <w:caps w:val="0"/>
          <w:spacing w:val="0"/>
          <w:sz w:val="20"/>
          <w:szCs w:val="20"/>
          <w:highlight w:val="none"/>
          <w:shd w:val="clear"/>
          <w:lang w:val="en-US" w:eastAsia="zh-CN"/>
        </w:rPr>
        <w:t>R4-210xxx, initial coexistence simulation results for 52.6-71GHz, ZTE</w:t>
      </w:r>
    </w:p>
    <w:p>
      <w:pPr>
        <w:pStyle w:val="51"/>
        <w:numPr>
          <w:ilvl w:val="0"/>
          <w:numId w:val="3"/>
        </w:numPr>
        <w:rPr>
          <w:rFonts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R4-2107915</w:t>
      </w:r>
      <w:r>
        <w:rPr>
          <w:rFonts w:hint="eastAsia" w:cs="Times New Roman"/>
          <w:sz w:val="20"/>
          <w:szCs w:val="20"/>
          <w:highlight w:val="none"/>
          <w:shd w:val="clear"/>
          <w:lang w:val="en-US" w:eastAsia="zh-CN"/>
        </w:rPr>
        <w:t xml:space="preserve">, </w:t>
      </w:r>
      <w:r>
        <w:rPr>
          <w:rFonts w:hint="default" w:ascii="Times New Roman" w:hAnsi="Times New Roman" w:cs="Times New Roman"/>
          <w:sz w:val="20"/>
          <w:szCs w:val="20"/>
          <w:highlight w:val="none"/>
          <w:shd w:val="clear"/>
        </w:rPr>
        <w:t>WF on 60 GHz coexistence, ACLR, and ACS, approved.</w:t>
      </w:r>
    </w:p>
    <w:p>
      <w:pPr>
        <w:pStyle w:val="51"/>
        <w:numPr>
          <w:ilvl w:val="0"/>
          <w:numId w:val="3"/>
        </w:numPr>
        <w:rPr>
          <w:rFonts w:hint="default"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R4-2115644</w:t>
      </w:r>
      <w:r>
        <w:rPr>
          <w:rFonts w:hint="eastAsia" w:cs="Times New Roman"/>
          <w:sz w:val="20"/>
          <w:szCs w:val="20"/>
          <w:highlight w:val="none"/>
          <w:shd w:val="clear"/>
          <w:lang w:val="en-US" w:eastAsia="zh-CN"/>
        </w:rPr>
        <w:t xml:space="preserve">, </w:t>
      </w:r>
      <w:r>
        <w:rPr>
          <w:rFonts w:hint="default" w:ascii="Times New Roman" w:hAnsi="Times New Roman" w:cs="Times New Roman"/>
          <w:sz w:val="20"/>
          <w:szCs w:val="20"/>
          <w:highlight w:val="none"/>
          <w:shd w:val="clear"/>
        </w:rPr>
        <w:t>WF on BS Rx RF requirement</w:t>
      </w:r>
      <w:r>
        <w:rPr>
          <w:rFonts w:hint="eastAsia" w:cs="Times New Roman"/>
          <w:sz w:val="20"/>
          <w:szCs w:val="20"/>
          <w:highlight w:val="none"/>
          <w:shd w:val="clear"/>
          <w:lang w:val="en-US" w:eastAsia="zh-CN"/>
        </w:rPr>
        <w:t>, approved.</w:t>
      </w:r>
    </w:p>
    <w:p>
      <w:pPr>
        <w:pStyle w:val="51"/>
        <w:numPr>
          <w:ilvl w:val="0"/>
          <w:numId w:val="3"/>
        </w:numPr>
        <w:rPr>
          <w:rFonts w:hint="default" w:ascii="Times New Roman" w:hAnsi="Times New Roman" w:cs="Times New Roman"/>
          <w:sz w:val="20"/>
          <w:szCs w:val="20"/>
          <w:highlight w:val="none"/>
          <w:shd w:val="clear"/>
        </w:rPr>
      </w:pPr>
      <w:r>
        <w:rPr>
          <w:rFonts w:hint="default" w:ascii="Times New Roman" w:hAnsi="Times New Roman" w:cs="Times New Roman"/>
          <w:sz w:val="20"/>
          <w:szCs w:val="20"/>
          <w:highlight w:val="none"/>
          <w:shd w:val="clear"/>
        </w:rPr>
        <w:t>R4-2115643</w:t>
      </w:r>
      <w:r>
        <w:rPr>
          <w:rFonts w:hint="eastAsia" w:cs="Times New Roman"/>
          <w:sz w:val="20"/>
          <w:szCs w:val="20"/>
          <w:highlight w:val="none"/>
          <w:shd w:val="clear"/>
          <w:lang w:val="en-US" w:eastAsia="zh-CN"/>
        </w:rPr>
        <w:t>,</w:t>
      </w:r>
      <w:r>
        <w:rPr>
          <w:rFonts w:hint="default" w:ascii="Times New Roman" w:hAnsi="Times New Roman" w:cs="Times New Roman"/>
          <w:sz w:val="20"/>
          <w:szCs w:val="20"/>
          <w:highlight w:val="none"/>
          <w:shd w:val="clear"/>
        </w:rPr>
        <w:t>WF on BS Tx RF requirement</w:t>
      </w:r>
      <w:r>
        <w:rPr>
          <w:rFonts w:hint="eastAsia" w:cs="Times New Roman"/>
          <w:sz w:val="20"/>
          <w:szCs w:val="20"/>
          <w:highlight w:val="none"/>
          <w:shd w:val="clear"/>
          <w:lang w:val="en-US" w:eastAsia="zh-CN"/>
        </w:rPr>
        <w:t>, approved.</w:t>
      </w:r>
    </w:p>
    <w:p>
      <w:pPr>
        <w:pStyle w:val="51"/>
        <w:numPr>
          <w:ilvl w:val="0"/>
          <w:numId w:val="3"/>
        </w:numPr>
        <w:rPr>
          <w:rFonts w:hint="default" w:ascii="Times New Roman" w:hAnsi="Times New Roman" w:cs="Times New Roman"/>
          <w:sz w:val="20"/>
          <w:szCs w:val="20"/>
          <w:highlight w:val="none"/>
          <w:shd w:val="clear"/>
          <w:lang w:val="en-US" w:eastAsia="zh-CN"/>
        </w:rPr>
      </w:pPr>
      <w:r>
        <w:rPr>
          <w:rFonts w:hint="default" w:ascii="Times New Roman" w:hAnsi="Times New Roman" w:cs="Times New Roman"/>
          <w:sz w:val="20"/>
          <w:szCs w:val="20"/>
          <w:highlight w:val="none"/>
          <w:shd w:val="clear"/>
        </w:rPr>
        <w:t>R4-211</w:t>
      </w:r>
      <w:r>
        <w:rPr>
          <w:rFonts w:hint="eastAsia" w:cs="Times New Roman"/>
          <w:sz w:val="20"/>
          <w:szCs w:val="20"/>
          <w:highlight w:val="none"/>
          <w:shd w:val="clear"/>
          <w:lang w:val="en-US" w:eastAsia="zh-CN"/>
        </w:rPr>
        <w:t xml:space="preserve">xxx, </w:t>
      </w:r>
      <w:r>
        <w:rPr>
          <w:rFonts w:hint="eastAsia" w:ascii="Times New Roman" w:hAnsi="Times New Roman" w:cs="Times New Roman"/>
          <w:sz w:val="20"/>
          <w:szCs w:val="20"/>
          <w:highlight w:val="none"/>
          <w:shd w:val="clear"/>
          <w:lang w:val="en-US" w:eastAsia="zh-CN"/>
        </w:rPr>
        <w:t>Coexistence simulation results for 52.6-71GHz</w:t>
      </w:r>
      <w:r>
        <w:rPr>
          <w:rFonts w:hint="eastAsia" w:cs="Times New Roman"/>
          <w:sz w:val="20"/>
          <w:szCs w:val="20"/>
          <w:highlight w:val="none"/>
          <w:shd w:val="clear"/>
          <w:lang w:val="en-US" w:eastAsia="zh-CN"/>
        </w:rPr>
        <w:t>, ZTE</w:t>
      </w:r>
    </w:p>
    <w:p>
      <w:pPr>
        <w:pStyle w:val="51"/>
        <w:numPr>
          <w:ilvl w:val="0"/>
          <w:numId w:val="0"/>
        </w:numPr>
        <w:rPr>
          <w:rFonts w:hint="default" w:ascii="Times New Roman" w:hAnsi="Times New Roman" w:cs="Times New Roman"/>
          <w:sz w:val="20"/>
          <w:szCs w:val="20"/>
          <w:highlight w:val="none"/>
          <w:shd w:val="clear"/>
        </w:rPr>
      </w:pPr>
    </w:p>
    <w:p>
      <w:pPr>
        <w:pStyle w:val="51"/>
        <w:numPr>
          <w:ilvl w:val="0"/>
          <w:numId w:val="0"/>
        </w:numPr>
        <w:rPr>
          <w:rFonts w:hint="default" w:ascii="Times New Roman" w:hAnsi="Times New Roman" w:cs="Times New Roman"/>
          <w:sz w:val="20"/>
          <w:szCs w:val="20"/>
          <w:highlight w:val="none"/>
          <w:shd w:val="clear"/>
        </w:rPr>
      </w:pPr>
    </w:p>
    <w:p>
      <w:pPr>
        <w:pStyle w:val="51"/>
        <w:numPr>
          <w:ilvl w:val="0"/>
          <w:numId w:val="0"/>
        </w:numPr>
        <w:rPr>
          <w:rFonts w:ascii="Times New Roman" w:hAnsi="Times New Roman" w:cs="Times New Roman"/>
          <w:sz w:val="20"/>
          <w:szCs w:val="20"/>
          <w:highlight w:val="none"/>
          <w:shd w:val="clear"/>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3E236E9"/>
    <w:multiLevelType w:val="singleLevel"/>
    <w:tmpl w:val="13E236E9"/>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4A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816"/>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7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67D"/>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386"/>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215E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6B25D2"/>
    <w:rsid w:val="02733EB0"/>
    <w:rsid w:val="02796A37"/>
    <w:rsid w:val="027E7FD1"/>
    <w:rsid w:val="028748E0"/>
    <w:rsid w:val="02892A7A"/>
    <w:rsid w:val="029342BD"/>
    <w:rsid w:val="02B06DC0"/>
    <w:rsid w:val="02B31189"/>
    <w:rsid w:val="02B5012C"/>
    <w:rsid w:val="02C86D51"/>
    <w:rsid w:val="02CE3DD2"/>
    <w:rsid w:val="02DC6BBC"/>
    <w:rsid w:val="02E3271D"/>
    <w:rsid w:val="02E929C0"/>
    <w:rsid w:val="02F573DC"/>
    <w:rsid w:val="02F95CD1"/>
    <w:rsid w:val="030150CB"/>
    <w:rsid w:val="03186045"/>
    <w:rsid w:val="031E0FAC"/>
    <w:rsid w:val="031E4C95"/>
    <w:rsid w:val="032E4DBB"/>
    <w:rsid w:val="0331128A"/>
    <w:rsid w:val="03332CAE"/>
    <w:rsid w:val="03343BC7"/>
    <w:rsid w:val="033D4705"/>
    <w:rsid w:val="033F52A3"/>
    <w:rsid w:val="03402EB3"/>
    <w:rsid w:val="034D5654"/>
    <w:rsid w:val="0354325C"/>
    <w:rsid w:val="035C4C68"/>
    <w:rsid w:val="03651217"/>
    <w:rsid w:val="03687ADD"/>
    <w:rsid w:val="036A231E"/>
    <w:rsid w:val="03774924"/>
    <w:rsid w:val="03822F79"/>
    <w:rsid w:val="039B69FD"/>
    <w:rsid w:val="03A32E58"/>
    <w:rsid w:val="03C0647A"/>
    <w:rsid w:val="03D4427A"/>
    <w:rsid w:val="03F54B29"/>
    <w:rsid w:val="03FF3D36"/>
    <w:rsid w:val="04105E9A"/>
    <w:rsid w:val="041875C1"/>
    <w:rsid w:val="04252816"/>
    <w:rsid w:val="04376B0F"/>
    <w:rsid w:val="0444783F"/>
    <w:rsid w:val="044753DC"/>
    <w:rsid w:val="045E1DEE"/>
    <w:rsid w:val="04786ED3"/>
    <w:rsid w:val="048829D4"/>
    <w:rsid w:val="04BC324F"/>
    <w:rsid w:val="050C5E3D"/>
    <w:rsid w:val="051034CD"/>
    <w:rsid w:val="051F43BC"/>
    <w:rsid w:val="053E1AC2"/>
    <w:rsid w:val="05583DC1"/>
    <w:rsid w:val="05816D10"/>
    <w:rsid w:val="05930F73"/>
    <w:rsid w:val="05940F3F"/>
    <w:rsid w:val="0599211D"/>
    <w:rsid w:val="05B173DC"/>
    <w:rsid w:val="05B27D07"/>
    <w:rsid w:val="05B658ED"/>
    <w:rsid w:val="05BE42A5"/>
    <w:rsid w:val="05D16BC6"/>
    <w:rsid w:val="05EE3B4E"/>
    <w:rsid w:val="060C4FD6"/>
    <w:rsid w:val="060D249E"/>
    <w:rsid w:val="06111076"/>
    <w:rsid w:val="06260B4B"/>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77948"/>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D5028"/>
    <w:rsid w:val="076F4BA4"/>
    <w:rsid w:val="077F542D"/>
    <w:rsid w:val="077F5D16"/>
    <w:rsid w:val="07817B19"/>
    <w:rsid w:val="07916BE4"/>
    <w:rsid w:val="07A2728D"/>
    <w:rsid w:val="07AA3E51"/>
    <w:rsid w:val="07D835FB"/>
    <w:rsid w:val="07DD018B"/>
    <w:rsid w:val="07E014BE"/>
    <w:rsid w:val="07E85751"/>
    <w:rsid w:val="0800676F"/>
    <w:rsid w:val="08073429"/>
    <w:rsid w:val="08171593"/>
    <w:rsid w:val="0835476E"/>
    <w:rsid w:val="08367FC2"/>
    <w:rsid w:val="08410BDE"/>
    <w:rsid w:val="084E0029"/>
    <w:rsid w:val="08557BDD"/>
    <w:rsid w:val="085D6C7E"/>
    <w:rsid w:val="08611CAF"/>
    <w:rsid w:val="0865781A"/>
    <w:rsid w:val="0866133E"/>
    <w:rsid w:val="087E046C"/>
    <w:rsid w:val="08813C88"/>
    <w:rsid w:val="08942BDF"/>
    <w:rsid w:val="089852F1"/>
    <w:rsid w:val="08990610"/>
    <w:rsid w:val="089D6B7D"/>
    <w:rsid w:val="08B21918"/>
    <w:rsid w:val="08B40442"/>
    <w:rsid w:val="08B94847"/>
    <w:rsid w:val="08C14001"/>
    <w:rsid w:val="08E61B8C"/>
    <w:rsid w:val="09016732"/>
    <w:rsid w:val="09127CF4"/>
    <w:rsid w:val="092234B5"/>
    <w:rsid w:val="092C26C9"/>
    <w:rsid w:val="09353200"/>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6255E6"/>
    <w:rsid w:val="0A626407"/>
    <w:rsid w:val="0A7200B0"/>
    <w:rsid w:val="0A771CA5"/>
    <w:rsid w:val="0A843B9D"/>
    <w:rsid w:val="0A8621F2"/>
    <w:rsid w:val="0A8C711B"/>
    <w:rsid w:val="0A8F1F9F"/>
    <w:rsid w:val="0A9B6BF5"/>
    <w:rsid w:val="0AB329A9"/>
    <w:rsid w:val="0ABA55D8"/>
    <w:rsid w:val="0ACD4245"/>
    <w:rsid w:val="0AD57FD6"/>
    <w:rsid w:val="0ADD5980"/>
    <w:rsid w:val="0ADD7B55"/>
    <w:rsid w:val="0B110AC0"/>
    <w:rsid w:val="0B1157EF"/>
    <w:rsid w:val="0B1765E0"/>
    <w:rsid w:val="0B1C1D7C"/>
    <w:rsid w:val="0B22066E"/>
    <w:rsid w:val="0B2643BE"/>
    <w:rsid w:val="0B3E7077"/>
    <w:rsid w:val="0B3F2432"/>
    <w:rsid w:val="0B4B303F"/>
    <w:rsid w:val="0B4D5218"/>
    <w:rsid w:val="0B622E13"/>
    <w:rsid w:val="0B717521"/>
    <w:rsid w:val="0B884E90"/>
    <w:rsid w:val="0B892782"/>
    <w:rsid w:val="0BB2460A"/>
    <w:rsid w:val="0BB41CFB"/>
    <w:rsid w:val="0BB53F3C"/>
    <w:rsid w:val="0BC739F0"/>
    <w:rsid w:val="0BD626CE"/>
    <w:rsid w:val="0BDB5584"/>
    <w:rsid w:val="0BE17727"/>
    <w:rsid w:val="0BF427F9"/>
    <w:rsid w:val="0C0C632D"/>
    <w:rsid w:val="0C120111"/>
    <w:rsid w:val="0C37145B"/>
    <w:rsid w:val="0C3C0AB0"/>
    <w:rsid w:val="0C6038EF"/>
    <w:rsid w:val="0C603972"/>
    <w:rsid w:val="0C654C73"/>
    <w:rsid w:val="0C751214"/>
    <w:rsid w:val="0C780533"/>
    <w:rsid w:val="0C85742B"/>
    <w:rsid w:val="0C873353"/>
    <w:rsid w:val="0C8B4B61"/>
    <w:rsid w:val="0C9A4387"/>
    <w:rsid w:val="0C9D3F03"/>
    <w:rsid w:val="0CA92BAC"/>
    <w:rsid w:val="0CB471A1"/>
    <w:rsid w:val="0CB90F2E"/>
    <w:rsid w:val="0CE75BD1"/>
    <w:rsid w:val="0D0213CD"/>
    <w:rsid w:val="0D04575D"/>
    <w:rsid w:val="0D0612B8"/>
    <w:rsid w:val="0D066A9C"/>
    <w:rsid w:val="0D0714BC"/>
    <w:rsid w:val="0D193015"/>
    <w:rsid w:val="0D1A52C8"/>
    <w:rsid w:val="0D2767B5"/>
    <w:rsid w:val="0D346E85"/>
    <w:rsid w:val="0D3E327E"/>
    <w:rsid w:val="0D5552FB"/>
    <w:rsid w:val="0D57174D"/>
    <w:rsid w:val="0D5800C7"/>
    <w:rsid w:val="0D6A353C"/>
    <w:rsid w:val="0D904522"/>
    <w:rsid w:val="0D976014"/>
    <w:rsid w:val="0DA060E8"/>
    <w:rsid w:val="0DCE36F3"/>
    <w:rsid w:val="0DD621E4"/>
    <w:rsid w:val="0DDE1317"/>
    <w:rsid w:val="0DDF2FDD"/>
    <w:rsid w:val="0E0313B1"/>
    <w:rsid w:val="0E0D1A47"/>
    <w:rsid w:val="0E25399C"/>
    <w:rsid w:val="0E3217E8"/>
    <w:rsid w:val="0E387AA5"/>
    <w:rsid w:val="0E400D03"/>
    <w:rsid w:val="0E520728"/>
    <w:rsid w:val="0E5E2B07"/>
    <w:rsid w:val="0E771E51"/>
    <w:rsid w:val="0E7A2A61"/>
    <w:rsid w:val="0E8118C0"/>
    <w:rsid w:val="0E9A17E3"/>
    <w:rsid w:val="0EA11114"/>
    <w:rsid w:val="0EA35AC0"/>
    <w:rsid w:val="0EB34961"/>
    <w:rsid w:val="0EB9447E"/>
    <w:rsid w:val="0EC468A2"/>
    <w:rsid w:val="0ECC4066"/>
    <w:rsid w:val="0ECE7C5F"/>
    <w:rsid w:val="0EDF2DB1"/>
    <w:rsid w:val="0EF75D05"/>
    <w:rsid w:val="0EFE2ACB"/>
    <w:rsid w:val="0F0D240A"/>
    <w:rsid w:val="0F12247A"/>
    <w:rsid w:val="0F167D39"/>
    <w:rsid w:val="0F1D0ECD"/>
    <w:rsid w:val="0F354264"/>
    <w:rsid w:val="0F364BC2"/>
    <w:rsid w:val="0F3A630E"/>
    <w:rsid w:val="0F3B1C05"/>
    <w:rsid w:val="0F3B6AEF"/>
    <w:rsid w:val="0F455F85"/>
    <w:rsid w:val="0F49564D"/>
    <w:rsid w:val="0F4A1EDB"/>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10045EE6"/>
    <w:rsid w:val="101C339B"/>
    <w:rsid w:val="10220F60"/>
    <w:rsid w:val="1035409F"/>
    <w:rsid w:val="1037078D"/>
    <w:rsid w:val="1037404A"/>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80866"/>
    <w:rsid w:val="10FA45D2"/>
    <w:rsid w:val="11024527"/>
    <w:rsid w:val="110A4489"/>
    <w:rsid w:val="11150F62"/>
    <w:rsid w:val="111A28E5"/>
    <w:rsid w:val="1122559B"/>
    <w:rsid w:val="112F54D2"/>
    <w:rsid w:val="1133321C"/>
    <w:rsid w:val="11461F96"/>
    <w:rsid w:val="114C3CA8"/>
    <w:rsid w:val="114D3A1D"/>
    <w:rsid w:val="11576536"/>
    <w:rsid w:val="11607F73"/>
    <w:rsid w:val="117561EB"/>
    <w:rsid w:val="117824F0"/>
    <w:rsid w:val="117E2370"/>
    <w:rsid w:val="11847341"/>
    <w:rsid w:val="118E7D11"/>
    <w:rsid w:val="11AC7561"/>
    <w:rsid w:val="11AF439E"/>
    <w:rsid w:val="11B66269"/>
    <w:rsid w:val="11BA0839"/>
    <w:rsid w:val="11F267E8"/>
    <w:rsid w:val="11F427FC"/>
    <w:rsid w:val="1210456D"/>
    <w:rsid w:val="12134828"/>
    <w:rsid w:val="12143598"/>
    <w:rsid w:val="121729B6"/>
    <w:rsid w:val="122C6138"/>
    <w:rsid w:val="12322CFD"/>
    <w:rsid w:val="12396B0A"/>
    <w:rsid w:val="123A52C3"/>
    <w:rsid w:val="12431CBA"/>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384099"/>
    <w:rsid w:val="143B68D5"/>
    <w:rsid w:val="144442DA"/>
    <w:rsid w:val="144C6544"/>
    <w:rsid w:val="147E0276"/>
    <w:rsid w:val="14812D74"/>
    <w:rsid w:val="14836C15"/>
    <w:rsid w:val="14862300"/>
    <w:rsid w:val="148B2EB3"/>
    <w:rsid w:val="148C00A0"/>
    <w:rsid w:val="148E59FC"/>
    <w:rsid w:val="14A82A63"/>
    <w:rsid w:val="14AC358C"/>
    <w:rsid w:val="14B76730"/>
    <w:rsid w:val="14DE753E"/>
    <w:rsid w:val="14F51028"/>
    <w:rsid w:val="14F549EC"/>
    <w:rsid w:val="14F84F6A"/>
    <w:rsid w:val="14F92549"/>
    <w:rsid w:val="14FD4800"/>
    <w:rsid w:val="15157DF4"/>
    <w:rsid w:val="151B0462"/>
    <w:rsid w:val="151C45D8"/>
    <w:rsid w:val="15290336"/>
    <w:rsid w:val="155424D6"/>
    <w:rsid w:val="155B1745"/>
    <w:rsid w:val="155F651D"/>
    <w:rsid w:val="15655F19"/>
    <w:rsid w:val="157348EB"/>
    <w:rsid w:val="15787FE5"/>
    <w:rsid w:val="157E21FE"/>
    <w:rsid w:val="15926C53"/>
    <w:rsid w:val="15AA7A19"/>
    <w:rsid w:val="15AC5259"/>
    <w:rsid w:val="15B06B12"/>
    <w:rsid w:val="15BE3D9D"/>
    <w:rsid w:val="15D4474D"/>
    <w:rsid w:val="15D7597F"/>
    <w:rsid w:val="160A09CB"/>
    <w:rsid w:val="160C437B"/>
    <w:rsid w:val="16160429"/>
    <w:rsid w:val="161C3234"/>
    <w:rsid w:val="16327AD4"/>
    <w:rsid w:val="1641433F"/>
    <w:rsid w:val="165C4863"/>
    <w:rsid w:val="1663476A"/>
    <w:rsid w:val="166C0D1B"/>
    <w:rsid w:val="167344C7"/>
    <w:rsid w:val="16794785"/>
    <w:rsid w:val="16853FE3"/>
    <w:rsid w:val="1690258B"/>
    <w:rsid w:val="1695742C"/>
    <w:rsid w:val="169C6D32"/>
    <w:rsid w:val="169D1595"/>
    <w:rsid w:val="16A65B92"/>
    <w:rsid w:val="16AD0A57"/>
    <w:rsid w:val="16AD18F1"/>
    <w:rsid w:val="16BA18A0"/>
    <w:rsid w:val="16C41FCF"/>
    <w:rsid w:val="16DC6856"/>
    <w:rsid w:val="16E7220A"/>
    <w:rsid w:val="16F7773E"/>
    <w:rsid w:val="16FD7F89"/>
    <w:rsid w:val="170133DA"/>
    <w:rsid w:val="170259E1"/>
    <w:rsid w:val="17026088"/>
    <w:rsid w:val="170353FD"/>
    <w:rsid w:val="171053FC"/>
    <w:rsid w:val="17165436"/>
    <w:rsid w:val="17343071"/>
    <w:rsid w:val="17361739"/>
    <w:rsid w:val="17382580"/>
    <w:rsid w:val="17405D13"/>
    <w:rsid w:val="175E4288"/>
    <w:rsid w:val="176C704A"/>
    <w:rsid w:val="17844C56"/>
    <w:rsid w:val="17A30F12"/>
    <w:rsid w:val="17AD2BD5"/>
    <w:rsid w:val="17BA48D6"/>
    <w:rsid w:val="17BA63AD"/>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A4374"/>
    <w:rsid w:val="18AB1C82"/>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4B7216"/>
    <w:rsid w:val="19537076"/>
    <w:rsid w:val="195621A4"/>
    <w:rsid w:val="19564B19"/>
    <w:rsid w:val="195E2D4F"/>
    <w:rsid w:val="195F336A"/>
    <w:rsid w:val="196A0432"/>
    <w:rsid w:val="19720BF1"/>
    <w:rsid w:val="19764535"/>
    <w:rsid w:val="198374F4"/>
    <w:rsid w:val="1989194D"/>
    <w:rsid w:val="19894C83"/>
    <w:rsid w:val="19951C5F"/>
    <w:rsid w:val="19A7296F"/>
    <w:rsid w:val="19AB49F1"/>
    <w:rsid w:val="19B94DE5"/>
    <w:rsid w:val="19BB7983"/>
    <w:rsid w:val="19D76F77"/>
    <w:rsid w:val="19DA3CF9"/>
    <w:rsid w:val="19DE7440"/>
    <w:rsid w:val="1A045B87"/>
    <w:rsid w:val="1A2249E8"/>
    <w:rsid w:val="1A5F7253"/>
    <w:rsid w:val="1A725418"/>
    <w:rsid w:val="1A7A2EF9"/>
    <w:rsid w:val="1A7F4EDC"/>
    <w:rsid w:val="1A880294"/>
    <w:rsid w:val="1A8F2FDB"/>
    <w:rsid w:val="1A960E81"/>
    <w:rsid w:val="1A9A0C93"/>
    <w:rsid w:val="1AB02AE4"/>
    <w:rsid w:val="1AB359A1"/>
    <w:rsid w:val="1ABD31B9"/>
    <w:rsid w:val="1ABF3A95"/>
    <w:rsid w:val="1AC06F73"/>
    <w:rsid w:val="1AC91D4C"/>
    <w:rsid w:val="1ACE2A77"/>
    <w:rsid w:val="1AD431E8"/>
    <w:rsid w:val="1AD55B02"/>
    <w:rsid w:val="1ADA6731"/>
    <w:rsid w:val="1ADC2627"/>
    <w:rsid w:val="1AF06C95"/>
    <w:rsid w:val="1AF34AE5"/>
    <w:rsid w:val="1AF3712C"/>
    <w:rsid w:val="1AF45E17"/>
    <w:rsid w:val="1AF84C8C"/>
    <w:rsid w:val="1AFE2079"/>
    <w:rsid w:val="1B00502A"/>
    <w:rsid w:val="1B0B3B20"/>
    <w:rsid w:val="1B1613A0"/>
    <w:rsid w:val="1B1779E0"/>
    <w:rsid w:val="1B2A0175"/>
    <w:rsid w:val="1B2A7E36"/>
    <w:rsid w:val="1B324397"/>
    <w:rsid w:val="1B372EB9"/>
    <w:rsid w:val="1B40005E"/>
    <w:rsid w:val="1B4170C4"/>
    <w:rsid w:val="1B4268B4"/>
    <w:rsid w:val="1B4A7E52"/>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4F3198"/>
    <w:rsid w:val="1C561E66"/>
    <w:rsid w:val="1C6D4144"/>
    <w:rsid w:val="1C726EC3"/>
    <w:rsid w:val="1C793EB9"/>
    <w:rsid w:val="1C7F3D5F"/>
    <w:rsid w:val="1C807142"/>
    <w:rsid w:val="1C842984"/>
    <w:rsid w:val="1C9A166E"/>
    <w:rsid w:val="1CAA7318"/>
    <w:rsid w:val="1CB702E9"/>
    <w:rsid w:val="1CBE5026"/>
    <w:rsid w:val="1CF333A5"/>
    <w:rsid w:val="1D024F6E"/>
    <w:rsid w:val="1D031DDA"/>
    <w:rsid w:val="1D0B731D"/>
    <w:rsid w:val="1D2054C4"/>
    <w:rsid w:val="1D4969F4"/>
    <w:rsid w:val="1D4C117F"/>
    <w:rsid w:val="1D563E2F"/>
    <w:rsid w:val="1D5A17CD"/>
    <w:rsid w:val="1D684015"/>
    <w:rsid w:val="1D6B0924"/>
    <w:rsid w:val="1D6F79AF"/>
    <w:rsid w:val="1D8F5B72"/>
    <w:rsid w:val="1D8F6826"/>
    <w:rsid w:val="1D9C5DA0"/>
    <w:rsid w:val="1D9F462B"/>
    <w:rsid w:val="1DA265B5"/>
    <w:rsid w:val="1DEC45ED"/>
    <w:rsid w:val="1E1161CF"/>
    <w:rsid w:val="1E1D7E95"/>
    <w:rsid w:val="1E224747"/>
    <w:rsid w:val="1E304B88"/>
    <w:rsid w:val="1E3E02E7"/>
    <w:rsid w:val="1E6703B7"/>
    <w:rsid w:val="1E680B85"/>
    <w:rsid w:val="1E9D4737"/>
    <w:rsid w:val="1E9D55A8"/>
    <w:rsid w:val="1E9E37A0"/>
    <w:rsid w:val="1EA13E87"/>
    <w:rsid w:val="1EC11B39"/>
    <w:rsid w:val="1ED94E25"/>
    <w:rsid w:val="1EDB6C5F"/>
    <w:rsid w:val="1EE236F0"/>
    <w:rsid w:val="1EE6740D"/>
    <w:rsid w:val="1F141EF2"/>
    <w:rsid w:val="1F303EA7"/>
    <w:rsid w:val="1F3C6AF7"/>
    <w:rsid w:val="1F405E44"/>
    <w:rsid w:val="1F4E681F"/>
    <w:rsid w:val="1F5324C1"/>
    <w:rsid w:val="1F6833F6"/>
    <w:rsid w:val="1F7216B7"/>
    <w:rsid w:val="1F7959F4"/>
    <w:rsid w:val="1F7C19E4"/>
    <w:rsid w:val="1F83562C"/>
    <w:rsid w:val="1F9B2922"/>
    <w:rsid w:val="1FB63655"/>
    <w:rsid w:val="1FBD7AAE"/>
    <w:rsid w:val="1FBE77B2"/>
    <w:rsid w:val="1FC26AB9"/>
    <w:rsid w:val="1FD1309D"/>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035D"/>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464BF"/>
    <w:rsid w:val="217C7971"/>
    <w:rsid w:val="217D44BC"/>
    <w:rsid w:val="21986210"/>
    <w:rsid w:val="21997056"/>
    <w:rsid w:val="219B2AEE"/>
    <w:rsid w:val="219D3F2A"/>
    <w:rsid w:val="21AB77F7"/>
    <w:rsid w:val="21BF03BC"/>
    <w:rsid w:val="21BF480E"/>
    <w:rsid w:val="21D06D34"/>
    <w:rsid w:val="21D52CEC"/>
    <w:rsid w:val="21FF71D8"/>
    <w:rsid w:val="22035799"/>
    <w:rsid w:val="2209399D"/>
    <w:rsid w:val="22101F8E"/>
    <w:rsid w:val="2225227E"/>
    <w:rsid w:val="22461AAA"/>
    <w:rsid w:val="224E39DE"/>
    <w:rsid w:val="224E74D0"/>
    <w:rsid w:val="227F5037"/>
    <w:rsid w:val="228534D7"/>
    <w:rsid w:val="228A008B"/>
    <w:rsid w:val="229460F4"/>
    <w:rsid w:val="229A7E25"/>
    <w:rsid w:val="229C6584"/>
    <w:rsid w:val="22AA0362"/>
    <w:rsid w:val="22B059F5"/>
    <w:rsid w:val="22B06BDB"/>
    <w:rsid w:val="22BD504B"/>
    <w:rsid w:val="22D40DC8"/>
    <w:rsid w:val="22D61781"/>
    <w:rsid w:val="22E95A8D"/>
    <w:rsid w:val="22EF2816"/>
    <w:rsid w:val="22F017B2"/>
    <w:rsid w:val="22F97E5B"/>
    <w:rsid w:val="22FA647A"/>
    <w:rsid w:val="22FC4C61"/>
    <w:rsid w:val="23050940"/>
    <w:rsid w:val="230B07F6"/>
    <w:rsid w:val="23143B37"/>
    <w:rsid w:val="231637F9"/>
    <w:rsid w:val="23230E78"/>
    <w:rsid w:val="232670CF"/>
    <w:rsid w:val="232C27B2"/>
    <w:rsid w:val="233027B0"/>
    <w:rsid w:val="23415924"/>
    <w:rsid w:val="23546EB1"/>
    <w:rsid w:val="23572E7E"/>
    <w:rsid w:val="235924CA"/>
    <w:rsid w:val="23592D87"/>
    <w:rsid w:val="236D4F13"/>
    <w:rsid w:val="2376443E"/>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34ED"/>
    <w:rsid w:val="251E0656"/>
    <w:rsid w:val="252053F9"/>
    <w:rsid w:val="25254218"/>
    <w:rsid w:val="25467DBB"/>
    <w:rsid w:val="25473E3C"/>
    <w:rsid w:val="256343AC"/>
    <w:rsid w:val="256D672B"/>
    <w:rsid w:val="256F1C33"/>
    <w:rsid w:val="257F18B5"/>
    <w:rsid w:val="25805FF5"/>
    <w:rsid w:val="258C4B0C"/>
    <w:rsid w:val="258F15BB"/>
    <w:rsid w:val="259231BD"/>
    <w:rsid w:val="25A77DD4"/>
    <w:rsid w:val="25BB6C64"/>
    <w:rsid w:val="25C97301"/>
    <w:rsid w:val="25CD7961"/>
    <w:rsid w:val="25D64403"/>
    <w:rsid w:val="26023D72"/>
    <w:rsid w:val="260B255C"/>
    <w:rsid w:val="26217848"/>
    <w:rsid w:val="262E20E8"/>
    <w:rsid w:val="262E34C1"/>
    <w:rsid w:val="2640682F"/>
    <w:rsid w:val="26510DB8"/>
    <w:rsid w:val="26667EB2"/>
    <w:rsid w:val="266B1FB8"/>
    <w:rsid w:val="267E518B"/>
    <w:rsid w:val="26872779"/>
    <w:rsid w:val="269B3F13"/>
    <w:rsid w:val="26A4288C"/>
    <w:rsid w:val="26AA10DC"/>
    <w:rsid w:val="26B6478F"/>
    <w:rsid w:val="26BA59F2"/>
    <w:rsid w:val="26C36DE5"/>
    <w:rsid w:val="26C9404D"/>
    <w:rsid w:val="26E92B22"/>
    <w:rsid w:val="26F054D7"/>
    <w:rsid w:val="26F40E3F"/>
    <w:rsid w:val="26F40EBD"/>
    <w:rsid w:val="26FA2DE3"/>
    <w:rsid w:val="27222699"/>
    <w:rsid w:val="272A3F42"/>
    <w:rsid w:val="273216D6"/>
    <w:rsid w:val="273D1CBA"/>
    <w:rsid w:val="27450038"/>
    <w:rsid w:val="274A7B1A"/>
    <w:rsid w:val="275439E1"/>
    <w:rsid w:val="276320D7"/>
    <w:rsid w:val="279408D2"/>
    <w:rsid w:val="279A2ED3"/>
    <w:rsid w:val="27B02558"/>
    <w:rsid w:val="27B91021"/>
    <w:rsid w:val="27C06D17"/>
    <w:rsid w:val="27E852C3"/>
    <w:rsid w:val="27FE4240"/>
    <w:rsid w:val="280008FF"/>
    <w:rsid w:val="28050D91"/>
    <w:rsid w:val="281035C6"/>
    <w:rsid w:val="28255041"/>
    <w:rsid w:val="283A1E3E"/>
    <w:rsid w:val="284543A1"/>
    <w:rsid w:val="28553E1D"/>
    <w:rsid w:val="285C1E48"/>
    <w:rsid w:val="28750CA2"/>
    <w:rsid w:val="28821314"/>
    <w:rsid w:val="28AD2029"/>
    <w:rsid w:val="28B220F4"/>
    <w:rsid w:val="28C075A4"/>
    <w:rsid w:val="28C33C7D"/>
    <w:rsid w:val="28DA6C60"/>
    <w:rsid w:val="28DB0A30"/>
    <w:rsid w:val="28F33F0D"/>
    <w:rsid w:val="28F638CC"/>
    <w:rsid w:val="28F95F71"/>
    <w:rsid w:val="290753B9"/>
    <w:rsid w:val="291712DF"/>
    <w:rsid w:val="29192BE8"/>
    <w:rsid w:val="291C432F"/>
    <w:rsid w:val="291C4FD6"/>
    <w:rsid w:val="292A375F"/>
    <w:rsid w:val="293067E3"/>
    <w:rsid w:val="29316984"/>
    <w:rsid w:val="293310A0"/>
    <w:rsid w:val="2938092A"/>
    <w:rsid w:val="293966D9"/>
    <w:rsid w:val="2946144E"/>
    <w:rsid w:val="294A5BC8"/>
    <w:rsid w:val="29504176"/>
    <w:rsid w:val="29614C64"/>
    <w:rsid w:val="296B20A7"/>
    <w:rsid w:val="297D1A8B"/>
    <w:rsid w:val="29830015"/>
    <w:rsid w:val="29981CF5"/>
    <w:rsid w:val="29A4634A"/>
    <w:rsid w:val="29A84DD1"/>
    <w:rsid w:val="29AA2390"/>
    <w:rsid w:val="29B85AFC"/>
    <w:rsid w:val="29BB74AF"/>
    <w:rsid w:val="29CD2270"/>
    <w:rsid w:val="29CF5498"/>
    <w:rsid w:val="29D22D87"/>
    <w:rsid w:val="29EB2636"/>
    <w:rsid w:val="29F26903"/>
    <w:rsid w:val="2A0F7591"/>
    <w:rsid w:val="2A3B063B"/>
    <w:rsid w:val="2A447D8F"/>
    <w:rsid w:val="2A477F01"/>
    <w:rsid w:val="2A49761F"/>
    <w:rsid w:val="2A4C74B8"/>
    <w:rsid w:val="2A500712"/>
    <w:rsid w:val="2A627A42"/>
    <w:rsid w:val="2A630308"/>
    <w:rsid w:val="2A676AD0"/>
    <w:rsid w:val="2A687AA6"/>
    <w:rsid w:val="2A770CC7"/>
    <w:rsid w:val="2A7B1C04"/>
    <w:rsid w:val="2A8437F5"/>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3806"/>
    <w:rsid w:val="2B5B7165"/>
    <w:rsid w:val="2B611B55"/>
    <w:rsid w:val="2B686C09"/>
    <w:rsid w:val="2B8A43BC"/>
    <w:rsid w:val="2B8B34AB"/>
    <w:rsid w:val="2B914C5E"/>
    <w:rsid w:val="2BB44220"/>
    <w:rsid w:val="2BB61EA7"/>
    <w:rsid w:val="2BBA6EF5"/>
    <w:rsid w:val="2BC03979"/>
    <w:rsid w:val="2BC41961"/>
    <w:rsid w:val="2BC941AF"/>
    <w:rsid w:val="2BDC02CD"/>
    <w:rsid w:val="2BE044B3"/>
    <w:rsid w:val="2BEC4F7F"/>
    <w:rsid w:val="2BF01DD3"/>
    <w:rsid w:val="2BF02C47"/>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15DFA"/>
    <w:rsid w:val="2C9A28D3"/>
    <w:rsid w:val="2CBC4209"/>
    <w:rsid w:val="2CCB109D"/>
    <w:rsid w:val="2CDA4FDA"/>
    <w:rsid w:val="2CDC7091"/>
    <w:rsid w:val="2CFD5C64"/>
    <w:rsid w:val="2D0128E8"/>
    <w:rsid w:val="2D0E231B"/>
    <w:rsid w:val="2D1A1A6B"/>
    <w:rsid w:val="2D1A3529"/>
    <w:rsid w:val="2D1A4915"/>
    <w:rsid w:val="2D306B85"/>
    <w:rsid w:val="2D400A9F"/>
    <w:rsid w:val="2D516304"/>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4B3DA8"/>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3B8F"/>
    <w:rsid w:val="2F4530B9"/>
    <w:rsid w:val="2F4B7821"/>
    <w:rsid w:val="2F526911"/>
    <w:rsid w:val="2F612D64"/>
    <w:rsid w:val="2F712CF7"/>
    <w:rsid w:val="2F7645B8"/>
    <w:rsid w:val="2F793C81"/>
    <w:rsid w:val="2F805714"/>
    <w:rsid w:val="2F8E5F5C"/>
    <w:rsid w:val="2FA21231"/>
    <w:rsid w:val="2FAD4759"/>
    <w:rsid w:val="2FCA0967"/>
    <w:rsid w:val="2FD256B3"/>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E8723E"/>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27F44"/>
    <w:rsid w:val="31C85770"/>
    <w:rsid w:val="31CA5CF8"/>
    <w:rsid w:val="31CB26CD"/>
    <w:rsid w:val="31D06A52"/>
    <w:rsid w:val="31F20023"/>
    <w:rsid w:val="31FA7AEE"/>
    <w:rsid w:val="31FB60C5"/>
    <w:rsid w:val="3209100C"/>
    <w:rsid w:val="32226597"/>
    <w:rsid w:val="3238698E"/>
    <w:rsid w:val="324968A9"/>
    <w:rsid w:val="324F1DD8"/>
    <w:rsid w:val="32563157"/>
    <w:rsid w:val="32581F23"/>
    <w:rsid w:val="32666821"/>
    <w:rsid w:val="326B7BBB"/>
    <w:rsid w:val="327A3DD6"/>
    <w:rsid w:val="327E6AD8"/>
    <w:rsid w:val="32946A84"/>
    <w:rsid w:val="32B145E6"/>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E330B"/>
    <w:rsid w:val="337F446B"/>
    <w:rsid w:val="339902E6"/>
    <w:rsid w:val="33A156DE"/>
    <w:rsid w:val="33B70359"/>
    <w:rsid w:val="33BA1B32"/>
    <w:rsid w:val="33C032CE"/>
    <w:rsid w:val="33E20DF0"/>
    <w:rsid w:val="34087429"/>
    <w:rsid w:val="340B5F03"/>
    <w:rsid w:val="341315B5"/>
    <w:rsid w:val="34147AA7"/>
    <w:rsid w:val="341C7B90"/>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14DB5"/>
    <w:rsid w:val="34B51A96"/>
    <w:rsid w:val="34C800BD"/>
    <w:rsid w:val="34D47C8A"/>
    <w:rsid w:val="34DB0CAC"/>
    <w:rsid w:val="34E96A96"/>
    <w:rsid w:val="34E972FC"/>
    <w:rsid w:val="34FF2166"/>
    <w:rsid w:val="35086B54"/>
    <w:rsid w:val="351C075B"/>
    <w:rsid w:val="35333FF2"/>
    <w:rsid w:val="353C75ED"/>
    <w:rsid w:val="353E791E"/>
    <w:rsid w:val="354008AB"/>
    <w:rsid w:val="354C4714"/>
    <w:rsid w:val="354C7B38"/>
    <w:rsid w:val="354F28B8"/>
    <w:rsid w:val="35562F9E"/>
    <w:rsid w:val="355D687A"/>
    <w:rsid w:val="356579E8"/>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164FC"/>
    <w:rsid w:val="3602050E"/>
    <w:rsid w:val="36101A49"/>
    <w:rsid w:val="361A2F27"/>
    <w:rsid w:val="36265F04"/>
    <w:rsid w:val="36297754"/>
    <w:rsid w:val="36366347"/>
    <w:rsid w:val="363F4D43"/>
    <w:rsid w:val="365F765A"/>
    <w:rsid w:val="36627C0A"/>
    <w:rsid w:val="36693B36"/>
    <w:rsid w:val="366B0AAA"/>
    <w:rsid w:val="366D49A8"/>
    <w:rsid w:val="36752210"/>
    <w:rsid w:val="36922B55"/>
    <w:rsid w:val="36980619"/>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4E71A6"/>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46A78"/>
    <w:rsid w:val="393544DD"/>
    <w:rsid w:val="393962EC"/>
    <w:rsid w:val="39457868"/>
    <w:rsid w:val="394935B8"/>
    <w:rsid w:val="394C557A"/>
    <w:rsid w:val="3952190F"/>
    <w:rsid w:val="395753F2"/>
    <w:rsid w:val="395C5A03"/>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7A245F"/>
    <w:rsid w:val="3A8B3C77"/>
    <w:rsid w:val="3A9A224E"/>
    <w:rsid w:val="3A9C1F8C"/>
    <w:rsid w:val="3A9D2551"/>
    <w:rsid w:val="3AA15A8E"/>
    <w:rsid w:val="3AA97F70"/>
    <w:rsid w:val="3ABF42F5"/>
    <w:rsid w:val="3AC15B24"/>
    <w:rsid w:val="3ACA1E5F"/>
    <w:rsid w:val="3AFD37D0"/>
    <w:rsid w:val="3B016EE9"/>
    <w:rsid w:val="3B075C4E"/>
    <w:rsid w:val="3B333CFE"/>
    <w:rsid w:val="3B3A132E"/>
    <w:rsid w:val="3B456D7F"/>
    <w:rsid w:val="3B4F7735"/>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9E5F11"/>
    <w:rsid w:val="3DA1130D"/>
    <w:rsid w:val="3DB17297"/>
    <w:rsid w:val="3DCD6921"/>
    <w:rsid w:val="3DCE0050"/>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04ACA"/>
    <w:rsid w:val="3ED671CD"/>
    <w:rsid w:val="3EDA1970"/>
    <w:rsid w:val="3EE14A57"/>
    <w:rsid w:val="3EE21263"/>
    <w:rsid w:val="3EFB258B"/>
    <w:rsid w:val="3F144192"/>
    <w:rsid w:val="3F217DDA"/>
    <w:rsid w:val="3F384992"/>
    <w:rsid w:val="3F441B08"/>
    <w:rsid w:val="3F4A4087"/>
    <w:rsid w:val="3F5361F5"/>
    <w:rsid w:val="3F952814"/>
    <w:rsid w:val="3FA41C63"/>
    <w:rsid w:val="3FAB3D87"/>
    <w:rsid w:val="3FAB41A2"/>
    <w:rsid w:val="3FAE47F6"/>
    <w:rsid w:val="3FE210C1"/>
    <w:rsid w:val="3FEB1C22"/>
    <w:rsid w:val="3FEB1D33"/>
    <w:rsid w:val="3FF44FD5"/>
    <w:rsid w:val="400A1CFC"/>
    <w:rsid w:val="401E145A"/>
    <w:rsid w:val="40400533"/>
    <w:rsid w:val="405A424E"/>
    <w:rsid w:val="406B6CE3"/>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0C0621"/>
    <w:rsid w:val="412506DF"/>
    <w:rsid w:val="41304351"/>
    <w:rsid w:val="413B1BAB"/>
    <w:rsid w:val="414F41D7"/>
    <w:rsid w:val="414F7876"/>
    <w:rsid w:val="415A0FEF"/>
    <w:rsid w:val="41653B51"/>
    <w:rsid w:val="416C15E7"/>
    <w:rsid w:val="416E039C"/>
    <w:rsid w:val="41800377"/>
    <w:rsid w:val="418A1895"/>
    <w:rsid w:val="418B26ED"/>
    <w:rsid w:val="418D0CE3"/>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2FE215A"/>
    <w:rsid w:val="43112BE5"/>
    <w:rsid w:val="431B56C6"/>
    <w:rsid w:val="431C7B04"/>
    <w:rsid w:val="432E5E21"/>
    <w:rsid w:val="433C41B8"/>
    <w:rsid w:val="433D2335"/>
    <w:rsid w:val="433F459E"/>
    <w:rsid w:val="43445D4A"/>
    <w:rsid w:val="43476354"/>
    <w:rsid w:val="435F2D04"/>
    <w:rsid w:val="4363090C"/>
    <w:rsid w:val="436A2192"/>
    <w:rsid w:val="438B6310"/>
    <w:rsid w:val="439C3431"/>
    <w:rsid w:val="439D0E7C"/>
    <w:rsid w:val="43A26A83"/>
    <w:rsid w:val="43CF2447"/>
    <w:rsid w:val="43D67A91"/>
    <w:rsid w:val="43E21F58"/>
    <w:rsid w:val="43E30134"/>
    <w:rsid w:val="43E35EF0"/>
    <w:rsid w:val="43F76F69"/>
    <w:rsid w:val="43FC0DB2"/>
    <w:rsid w:val="442F07CA"/>
    <w:rsid w:val="44373147"/>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244BE"/>
    <w:rsid w:val="459F2381"/>
    <w:rsid w:val="45A663F1"/>
    <w:rsid w:val="45B64B84"/>
    <w:rsid w:val="45E526A6"/>
    <w:rsid w:val="45E826B2"/>
    <w:rsid w:val="45E9423E"/>
    <w:rsid w:val="45EF7955"/>
    <w:rsid w:val="45F4334C"/>
    <w:rsid w:val="46466453"/>
    <w:rsid w:val="4662020E"/>
    <w:rsid w:val="466244F1"/>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64932"/>
    <w:rsid w:val="46CD1F17"/>
    <w:rsid w:val="46CF28DE"/>
    <w:rsid w:val="46D67289"/>
    <w:rsid w:val="46DD1D17"/>
    <w:rsid w:val="46E1018C"/>
    <w:rsid w:val="46E53AB0"/>
    <w:rsid w:val="46F37479"/>
    <w:rsid w:val="46FC2FE8"/>
    <w:rsid w:val="47033281"/>
    <w:rsid w:val="47065799"/>
    <w:rsid w:val="47073BE8"/>
    <w:rsid w:val="47333B1B"/>
    <w:rsid w:val="47351654"/>
    <w:rsid w:val="473D0BD8"/>
    <w:rsid w:val="47457188"/>
    <w:rsid w:val="47555092"/>
    <w:rsid w:val="47666951"/>
    <w:rsid w:val="47683159"/>
    <w:rsid w:val="479D7800"/>
    <w:rsid w:val="47B079D0"/>
    <w:rsid w:val="47B47DC2"/>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C848BC"/>
    <w:rsid w:val="48D9514F"/>
    <w:rsid w:val="48DC218B"/>
    <w:rsid w:val="48F447F8"/>
    <w:rsid w:val="49075A63"/>
    <w:rsid w:val="490933FA"/>
    <w:rsid w:val="49224F55"/>
    <w:rsid w:val="49241D45"/>
    <w:rsid w:val="4935171C"/>
    <w:rsid w:val="49366254"/>
    <w:rsid w:val="49432B91"/>
    <w:rsid w:val="494502AA"/>
    <w:rsid w:val="494A12C6"/>
    <w:rsid w:val="495C3370"/>
    <w:rsid w:val="496409A2"/>
    <w:rsid w:val="49707759"/>
    <w:rsid w:val="49715E0F"/>
    <w:rsid w:val="49927DFC"/>
    <w:rsid w:val="4995554E"/>
    <w:rsid w:val="499B3646"/>
    <w:rsid w:val="499C3504"/>
    <w:rsid w:val="49A43EE6"/>
    <w:rsid w:val="49AB3DB8"/>
    <w:rsid w:val="49B4201A"/>
    <w:rsid w:val="49B96AF0"/>
    <w:rsid w:val="49C20C6C"/>
    <w:rsid w:val="49CE0C89"/>
    <w:rsid w:val="49D93C20"/>
    <w:rsid w:val="49DA3FD3"/>
    <w:rsid w:val="4A0573EC"/>
    <w:rsid w:val="4A06116C"/>
    <w:rsid w:val="4A070E8E"/>
    <w:rsid w:val="4A09499E"/>
    <w:rsid w:val="4A096C36"/>
    <w:rsid w:val="4A381BA6"/>
    <w:rsid w:val="4A3926E2"/>
    <w:rsid w:val="4A4172CE"/>
    <w:rsid w:val="4A43236C"/>
    <w:rsid w:val="4A4A176A"/>
    <w:rsid w:val="4A4D1B2E"/>
    <w:rsid w:val="4A6C0FC7"/>
    <w:rsid w:val="4A6D7FF3"/>
    <w:rsid w:val="4A7413BF"/>
    <w:rsid w:val="4A7D09F3"/>
    <w:rsid w:val="4A7F0E00"/>
    <w:rsid w:val="4A840EFE"/>
    <w:rsid w:val="4AA75186"/>
    <w:rsid w:val="4ABC0CF4"/>
    <w:rsid w:val="4AC4256B"/>
    <w:rsid w:val="4AC860DD"/>
    <w:rsid w:val="4AD162A8"/>
    <w:rsid w:val="4AD25C89"/>
    <w:rsid w:val="4AD768C6"/>
    <w:rsid w:val="4AF00DC0"/>
    <w:rsid w:val="4AF902F5"/>
    <w:rsid w:val="4AF94D42"/>
    <w:rsid w:val="4B0078B7"/>
    <w:rsid w:val="4B376E2E"/>
    <w:rsid w:val="4B385AE2"/>
    <w:rsid w:val="4B53122B"/>
    <w:rsid w:val="4B705844"/>
    <w:rsid w:val="4B7224D0"/>
    <w:rsid w:val="4B7A3C96"/>
    <w:rsid w:val="4B7D4F5D"/>
    <w:rsid w:val="4B82716C"/>
    <w:rsid w:val="4B8A2918"/>
    <w:rsid w:val="4B8E03BA"/>
    <w:rsid w:val="4B901807"/>
    <w:rsid w:val="4B973B0C"/>
    <w:rsid w:val="4B9B25E4"/>
    <w:rsid w:val="4BAD4CA2"/>
    <w:rsid w:val="4BC456EF"/>
    <w:rsid w:val="4BC647B0"/>
    <w:rsid w:val="4BDF4B49"/>
    <w:rsid w:val="4BE57E16"/>
    <w:rsid w:val="4BE819D0"/>
    <w:rsid w:val="4BE8649D"/>
    <w:rsid w:val="4C0236B4"/>
    <w:rsid w:val="4C192F75"/>
    <w:rsid w:val="4C1E085C"/>
    <w:rsid w:val="4C20259F"/>
    <w:rsid w:val="4C2A5771"/>
    <w:rsid w:val="4C2C4418"/>
    <w:rsid w:val="4C312ECF"/>
    <w:rsid w:val="4C3A4874"/>
    <w:rsid w:val="4C422CA7"/>
    <w:rsid w:val="4C5035A1"/>
    <w:rsid w:val="4C5F0B5D"/>
    <w:rsid w:val="4C64471A"/>
    <w:rsid w:val="4C77619E"/>
    <w:rsid w:val="4C860543"/>
    <w:rsid w:val="4C880367"/>
    <w:rsid w:val="4C8C716F"/>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A111C"/>
    <w:rsid w:val="4D3F4840"/>
    <w:rsid w:val="4D410392"/>
    <w:rsid w:val="4D427BBD"/>
    <w:rsid w:val="4D570519"/>
    <w:rsid w:val="4D5C5732"/>
    <w:rsid w:val="4D656800"/>
    <w:rsid w:val="4D705706"/>
    <w:rsid w:val="4D891158"/>
    <w:rsid w:val="4D8B34C7"/>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CD01A7"/>
    <w:rsid w:val="4ED21D53"/>
    <w:rsid w:val="4EE4117D"/>
    <w:rsid w:val="4EE61722"/>
    <w:rsid w:val="4EE86D63"/>
    <w:rsid w:val="4EEC3838"/>
    <w:rsid w:val="4EEE11A3"/>
    <w:rsid w:val="4EFA78B0"/>
    <w:rsid w:val="4EFE4EC2"/>
    <w:rsid w:val="4EFF3444"/>
    <w:rsid w:val="4F0441E5"/>
    <w:rsid w:val="4F075A64"/>
    <w:rsid w:val="4F155F27"/>
    <w:rsid w:val="4F1A238F"/>
    <w:rsid w:val="4F264DF3"/>
    <w:rsid w:val="4F3D4163"/>
    <w:rsid w:val="4F50208E"/>
    <w:rsid w:val="4F584C20"/>
    <w:rsid w:val="4F7278C6"/>
    <w:rsid w:val="4F823D55"/>
    <w:rsid w:val="4F85034E"/>
    <w:rsid w:val="4F9775BC"/>
    <w:rsid w:val="4F983E33"/>
    <w:rsid w:val="4F9B5328"/>
    <w:rsid w:val="4FAB3627"/>
    <w:rsid w:val="4FB40C2C"/>
    <w:rsid w:val="4FBA52BE"/>
    <w:rsid w:val="4FBB5569"/>
    <w:rsid w:val="4FBF1E32"/>
    <w:rsid w:val="4FC803AA"/>
    <w:rsid w:val="4FD365FC"/>
    <w:rsid w:val="4FD62D61"/>
    <w:rsid w:val="4FDC6418"/>
    <w:rsid w:val="4FE15781"/>
    <w:rsid w:val="4FE3603D"/>
    <w:rsid w:val="4FF3706E"/>
    <w:rsid w:val="4FF5506D"/>
    <w:rsid w:val="4FF82C19"/>
    <w:rsid w:val="4FFF3806"/>
    <w:rsid w:val="50046739"/>
    <w:rsid w:val="50095827"/>
    <w:rsid w:val="50100572"/>
    <w:rsid w:val="50186BF6"/>
    <w:rsid w:val="501D3D62"/>
    <w:rsid w:val="50236D98"/>
    <w:rsid w:val="502B3674"/>
    <w:rsid w:val="502C4247"/>
    <w:rsid w:val="502D25A0"/>
    <w:rsid w:val="50347D28"/>
    <w:rsid w:val="503D5373"/>
    <w:rsid w:val="504261AC"/>
    <w:rsid w:val="5059498C"/>
    <w:rsid w:val="505F1426"/>
    <w:rsid w:val="50607726"/>
    <w:rsid w:val="506309DB"/>
    <w:rsid w:val="50752AF6"/>
    <w:rsid w:val="508431ED"/>
    <w:rsid w:val="509F1AB5"/>
    <w:rsid w:val="50A355DD"/>
    <w:rsid w:val="50B139BD"/>
    <w:rsid w:val="50BC25BD"/>
    <w:rsid w:val="50BD1498"/>
    <w:rsid w:val="50BE1B1D"/>
    <w:rsid w:val="50C51F05"/>
    <w:rsid w:val="50C65E30"/>
    <w:rsid w:val="50D228CF"/>
    <w:rsid w:val="50E63519"/>
    <w:rsid w:val="50ED76FB"/>
    <w:rsid w:val="51131870"/>
    <w:rsid w:val="51186B87"/>
    <w:rsid w:val="51187610"/>
    <w:rsid w:val="512A5CDE"/>
    <w:rsid w:val="51375EB3"/>
    <w:rsid w:val="513853CC"/>
    <w:rsid w:val="51392D77"/>
    <w:rsid w:val="513F081D"/>
    <w:rsid w:val="514C1E16"/>
    <w:rsid w:val="51556F97"/>
    <w:rsid w:val="515A64E3"/>
    <w:rsid w:val="515C30A6"/>
    <w:rsid w:val="5161698E"/>
    <w:rsid w:val="517C7EB0"/>
    <w:rsid w:val="517F00BC"/>
    <w:rsid w:val="5195533B"/>
    <w:rsid w:val="519B519C"/>
    <w:rsid w:val="519D2F03"/>
    <w:rsid w:val="51A1385A"/>
    <w:rsid w:val="51BE2EAE"/>
    <w:rsid w:val="51C32DF8"/>
    <w:rsid w:val="51DA5890"/>
    <w:rsid w:val="51EE7B3E"/>
    <w:rsid w:val="51F473EF"/>
    <w:rsid w:val="51F96848"/>
    <w:rsid w:val="52073487"/>
    <w:rsid w:val="521C5D43"/>
    <w:rsid w:val="521D7ED7"/>
    <w:rsid w:val="5239194F"/>
    <w:rsid w:val="52612620"/>
    <w:rsid w:val="526A546C"/>
    <w:rsid w:val="52790FD9"/>
    <w:rsid w:val="528C5E23"/>
    <w:rsid w:val="52962E96"/>
    <w:rsid w:val="529F0D9B"/>
    <w:rsid w:val="52C60EA3"/>
    <w:rsid w:val="52CA3D8F"/>
    <w:rsid w:val="52CD21D8"/>
    <w:rsid w:val="52CF0A4A"/>
    <w:rsid w:val="52DD5B35"/>
    <w:rsid w:val="52DF42EC"/>
    <w:rsid w:val="52E427EA"/>
    <w:rsid w:val="52E933CE"/>
    <w:rsid w:val="52EF0051"/>
    <w:rsid w:val="52FC1C88"/>
    <w:rsid w:val="53112C1D"/>
    <w:rsid w:val="53155215"/>
    <w:rsid w:val="531621BA"/>
    <w:rsid w:val="531D0F10"/>
    <w:rsid w:val="531F319F"/>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B51AC2"/>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365F1"/>
    <w:rsid w:val="54B62C99"/>
    <w:rsid w:val="54DF688B"/>
    <w:rsid w:val="54E95643"/>
    <w:rsid w:val="550E6C32"/>
    <w:rsid w:val="55242C68"/>
    <w:rsid w:val="554E0863"/>
    <w:rsid w:val="555737A6"/>
    <w:rsid w:val="555953EB"/>
    <w:rsid w:val="55611FED"/>
    <w:rsid w:val="556C1CC4"/>
    <w:rsid w:val="55712540"/>
    <w:rsid w:val="5577741D"/>
    <w:rsid w:val="558126EC"/>
    <w:rsid w:val="55883669"/>
    <w:rsid w:val="558A44CE"/>
    <w:rsid w:val="559537DA"/>
    <w:rsid w:val="55A27C85"/>
    <w:rsid w:val="55B403DD"/>
    <w:rsid w:val="55C0140E"/>
    <w:rsid w:val="55CF48E7"/>
    <w:rsid w:val="55D0342A"/>
    <w:rsid w:val="55D849A1"/>
    <w:rsid w:val="55E31A15"/>
    <w:rsid w:val="55E5367A"/>
    <w:rsid w:val="55F03258"/>
    <w:rsid w:val="56214A7B"/>
    <w:rsid w:val="562E1F90"/>
    <w:rsid w:val="56373380"/>
    <w:rsid w:val="563B616D"/>
    <w:rsid w:val="56436207"/>
    <w:rsid w:val="566510CB"/>
    <w:rsid w:val="567215D4"/>
    <w:rsid w:val="56786B34"/>
    <w:rsid w:val="567A6CC0"/>
    <w:rsid w:val="567D540A"/>
    <w:rsid w:val="568D0940"/>
    <w:rsid w:val="56927DA4"/>
    <w:rsid w:val="56A04928"/>
    <w:rsid w:val="56A50EBB"/>
    <w:rsid w:val="56AD339E"/>
    <w:rsid w:val="56B16CBD"/>
    <w:rsid w:val="56B8020E"/>
    <w:rsid w:val="56B96F66"/>
    <w:rsid w:val="56BE75C0"/>
    <w:rsid w:val="56C71CAD"/>
    <w:rsid w:val="56CE5F20"/>
    <w:rsid w:val="56D20B58"/>
    <w:rsid w:val="56DA3EBA"/>
    <w:rsid w:val="56E33383"/>
    <w:rsid w:val="56ED5E03"/>
    <w:rsid w:val="56F508A4"/>
    <w:rsid w:val="56FB0134"/>
    <w:rsid w:val="56FC3D3B"/>
    <w:rsid w:val="57012351"/>
    <w:rsid w:val="57095761"/>
    <w:rsid w:val="5718006E"/>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D4409"/>
    <w:rsid w:val="585328D1"/>
    <w:rsid w:val="58590DD2"/>
    <w:rsid w:val="586E1447"/>
    <w:rsid w:val="5878285F"/>
    <w:rsid w:val="587E2D46"/>
    <w:rsid w:val="588509DD"/>
    <w:rsid w:val="58953B9F"/>
    <w:rsid w:val="58957A8C"/>
    <w:rsid w:val="589C0BA1"/>
    <w:rsid w:val="589F18E4"/>
    <w:rsid w:val="58A26665"/>
    <w:rsid w:val="58B156C4"/>
    <w:rsid w:val="58B8443B"/>
    <w:rsid w:val="58BC4002"/>
    <w:rsid w:val="58CA785A"/>
    <w:rsid w:val="58DB456A"/>
    <w:rsid w:val="58E909DD"/>
    <w:rsid w:val="58EB1C90"/>
    <w:rsid w:val="58F57D12"/>
    <w:rsid w:val="59241C32"/>
    <w:rsid w:val="59267EF0"/>
    <w:rsid w:val="59421F7E"/>
    <w:rsid w:val="59424509"/>
    <w:rsid w:val="594935F2"/>
    <w:rsid w:val="59573852"/>
    <w:rsid w:val="595748B2"/>
    <w:rsid w:val="595C0946"/>
    <w:rsid w:val="59604A5E"/>
    <w:rsid w:val="59642A7A"/>
    <w:rsid w:val="596B249E"/>
    <w:rsid w:val="596D32B4"/>
    <w:rsid w:val="59774D3E"/>
    <w:rsid w:val="599148CE"/>
    <w:rsid w:val="59A24ED6"/>
    <w:rsid w:val="59AF0514"/>
    <w:rsid w:val="59B64AF3"/>
    <w:rsid w:val="59B6531E"/>
    <w:rsid w:val="59B75E8A"/>
    <w:rsid w:val="59BC0F73"/>
    <w:rsid w:val="59BD2911"/>
    <w:rsid w:val="59BE1CC3"/>
    <w:rsid w:val="59C13A26"/>
    <w:rsid w:val="59CB4DE6"/>
    <w:rsid w:val="59D80915"/>
    <w:rsid w:val="59D906FD"/>
    <w:rsid w:val="59DA6C9E"/>
    <w:rsid w:val="59E11C9B"/>
    <w:rsid w:val="59EB0D06"/>
    <w:rsid w:val="59F511B7"/>
    <w:rsid w:val="59FF2F18"/>
    <w:rsid w:val="5A0640DE"/>
    <w:rsid w:val="5A1215B1"/>
    <w:rsid w:val="5A1855C0"/>
    <w:rsid w:val="5A1D0AF2"/>
    <w:rsid w:val="5A1F5196"/>
    <w:rsid w:val="5A227353"/>
    <w:rsid w:val="5A2D0557"/>
    <w:rsid w:val="5A340B09"/>
    <w:rsid w:val="5A3F3527"/>
    <w:rsid w:val="5A440B9D"/>
    <w:rsid w:val="5A5128C3"/>
    <w:rsid w:val="5A575C31"/>
    <w:rsid w:val="5A5C7772"/>
    <w:rsid w:val="5A6336A1"/>
    <w:rsid w:val="5A6B7C88"/>
    <w:rsid w:val="5A73612A"/>
    <w:rsid w:val="5A90223F"/>
    <w:rsid w:val="5A991629"/>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033B3"/>
    <w:rsid w:val="5B532679"/>
    <w:rsid w:val="5B5B64C5"/>
    <w:rsid w:val="5B5D71A8"/>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0C211E"/>
    <w:rsid w:val="5C1832F4"/>
    <w:rsid w:val="5C1A3044"/>
    <w:rsid w:val="5C463908"/>
    <w:rsid w:val="5C5E033F"/>
    <w:rsid w:val="5C6875EE"/>
    <w:rsid w:val="5C6F12DC"/>
    <w:rsid w:val="5C7534B9"/>
    <w:rsid w:val="5CB170DE"/>
    <w:rsid w:val="5CC43404"/>
    <w:rsid w:val="5CC93DAE"/>
    <w:rsid w:val="5CD31EE3"/>
    <w:rsid w:val="5CE1654F"/>
    <w:rsid w:val="5D072BC8"/>
    <w:rsid w:val="5D076525"/>
    <w:rsid w:val="5D0A3A75"/>
    <w:rsid w:val="5D1E6B76"/>
    <w:rsid w:val="5D210D2E"/>
    <w:rsid w:val="5D2B5629"/>
    <w:rsid w:val="5D2E45E5"/>
    <w:rsid w:val="5D315CEB"/>
    <w:rsid w:val="5D3B59DF"/>
    <w:rsid w:val="5D473075"/>
    <w:rsid w:val="5D5830EC"/>
    <w:rsid w:val="5D5864DB"/>
    <w:rsid w:val="5D73393B"/>
    <w:rsid w:val="5D784379"/>
    <w:rsid w:val="5D7B3457"/>
    <w:rsid w:val="5D8B2715"/>
    <w:rsid w:val="5D915AFD"/>
    <w:rsid w:val="5D930ED4"/>
    <w:rsid w:val="5D9F7C74"/>
    <w:rsid w:val="5DAE2E8C"/>
    <w:rsid w:val="5DAE7F34"/>
    <w:rsid w:val="5DB65502"/>
    <w:rsid w:val="5DFB7543"/>
    <w:rsid w:val="5E00720B"/>
    <w:rsid w:val="5E012896"/>
    <w:rsid w:val="5E0A6049"/>
    <w:rsid w:val="5E156B70"/>
    <w:rsid w:val="5E21165A"/>
    <w:rsid w:val="5E226508"/>
    <w:rsid w:val="5E54270A"/>
    <w:rsid w:val="5E5A786A"/>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04075"/>
    <w:rsid w:val="5F57147C"/>
    <w:rsid w:val="5F646936"/>
    <w:rsid w:val="5F764A5E"/>
    <w:rsid w:val="5F7D66DE"/>
    <w:rsid w:val="5F810033"/>
    <w:rsid w:val="5F8C52DB"/>
    <w:rsid w:val="5F9340C2"/>
    <w:rsid w:val="5F966692"/>
    <w:rsid w:val="5FA00A10"/>
    <w:rsid w:val="5FA4374A"/>
    <w:rsid w:val="5FA4380A"/>
    <w:rsid w:val="5FB25387"/>
    <w:rsid w:val="5FC53509"/>
    <w:rsid w:val="5FD20829"/>
    <w:rsid w:val="5FFE6C22"/>
    <w:rsid w:val="60000309"/>
    <w:rsid w:val="600A1A34"/>
    <w:rsid w:val="600B6B90"/>
    <w:rsid w:val="600C3224"/>
    <w:rsid w:val="600F6605"/>
    <w:rsid w:val="60143AD3"/>
    <w:rsid w:val="60281FCD"/>
    <w:rsid w:val="60282246"/>
    <w:rsid w:val="60361BF9"/>
    <w:rsid w:val="60374F33"/>
    <w:rsid w:val="603771DA"/>
    <w:rsid w:val="606D4E56"/>
    <w:rsid w:val="60734371"/>
    <w:rsid w:val="6085543E"/>
    <w:rsid w:val="60885F4F"/>
    <w:rsid w:val="60907882"/>
    <w:rsid w:val="609517E9"/>
    <w:rsid w:val="609A2B73"/>
    <w:rsid w:val="60B30419"/>
    <w:rsid w:val="60BA0952"/>
    <w:rsid w:val="60C5483E"/>
    <w:rsid w:val="60C867C5"/>
    <w:rsid w:val="60D3354A"/>
    <w:rsid w:val="60DA2498"/>
    <w:rsid w:val="60DB0800"/>
    <w:rsid w:val="60DE0DB6"/>
    <w:rsid w:val="60E54273"/>
    <w:rsid w:val="60F46839"/>
    <w:rsid w:val="61067A64"/>
    <w:rsid w:val="610C7D1D"/>
    <w:rsid w:val="6112529A"/>
    <w:rsid w:val="611F0B09"/>
    <w:rsid w:val="61200AAF"/>
    <w:rsid w:val="612D2321"/>
    <w:rsid w:val="61421C60"/>
    <w:rsid w:val="61455CF4"/>
    <w:rsid w:val="616E223F"/>
    <w:rsid w:val="616F4360"/>
    <w:rsid w:val="61751F59"/>
    <w:rsid w:val="617C28AF"/>
    <w:rsid w:val="617D11C0"/>
    <w:rsid w:val="617E6703"/>
    <w:rsid w:val="61925C83"/>
    <w:rsid w:val="61963257"/>
    <w:rsid w:val="619C38B4"/>
    <w:rsid w:val="61A4486B"/>
    <w:rsid w:val="61B33DDF"/>
    <w:rsid w:val="61BB4A1B"/>
    <w:rsid w:val="61BC23E5"/>
    <w:rsid w:val="61D21120"/>
    <w:rsid w:val="61DB7751"/>
    <w:rsid w:val="61E728F9"/>
    <w:rsid w:val="61F3667F"/>
    <w:rsid w:val="61FB110C"/>
    <w:rsid w:val="620B2B74"/>
    <w:rsid w:val="62185165"/>
    <w:rsid w:val="62460FCD"/>
    <w:rsid w:val="62467E70"/>
    <w:rsid w:val="62480FF0"/>
    <w:rsid w:val="624B14C1"/>
    <w:rsid w:val="62630C6B"/>
    <w:rsid w:val="627301E8"/>
    <w:rsid w:val="627D115A"/>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5B7D3C"/>
    <w:rsid w:val="646C4EF1"/>
    <w:rsid w:val="64706C6F"/>
    <w:rsid w:val="648B777B"/>
    <w:rsid w:val="64937D17"/>
    <w:rsid w:val="6494650D"/>
    <w:rsid w:val="649611D3"/>
    <w:rsid w:val="649A6134"/>
    <w:rsid w:val="649D2569"/>
    <w:rsid w:val="64A41669"/>
    <w:rsid w:val="64A51362"/>
    <w:rsid w:val="64A55A03"/>
    <w:rsid w:val="64B125F0"/>
    <w:rsid w:val="64B453B1"/>
    <w:rsid w:val="64BE5702"/>
    <w:rsid w:val="64CF05E4"/>
    <w:rsid w:val="64D93F02"/>
    <w:rsid w:val="64EA4517"/>
    <w:rsid w:val="64FC561C"/>
    <w:rsid w:val="64FE0E31"/>
    <w:rsid w:val="651A5C6A"/>
    <w:rsid w:val="651C38DB"/>
    <w:rsid w:val="65204394"/>
    <w:rsid w:val="6522790C"/>
    <w:rsid w:val="653E30BA"/>
    <w:rsid w:val="653E78B1"/>
    <w:rsid w:val="65403733"/>
    <w:rsid w:val="655754CB"/>
    <w:rsid w:val="655E2D72"/>
    <w:rsid w:val="65611E60"/>
    <w:rsid w:val="656171FC"/>
    <w:rsid w:val="6570700F"/>
    <w:rsid w:val="657F0CE6"/>
    <w:rsid w:val="65833C4F"/>
    <w:rsid w:val="658B37B6"/>
    <w:rsid w:val="658D4A39"/>
    <w:rsid w:val="659C17EE"/>
    <w:rsid w:val="65B40820"/>
    <w:rsid w:val="65BD3777"/>
    <w:rsid w:val="65C32ABF"/>
    <w:rsid w:val="65D70270"/>
    <w:rsid w:val="66032E7B"/>
    <w:rsid w:val="66053581"/>
    <w:rsid w:val="660A19B0"/>
    <w:rsid w:val="661002E8"/>
    <w:rsid w:val="661026AA"/>
    <w:rsid w:val="661177DB"/>
    <w:rsid w:val="66265B2E"/>
    <w:rsid w:val="663D054E"/>
    <w:rsid w:val="66460692"/>
    <w:rsid w:val="666503F2"/>
    <w:rsid w:val="666F5EBF"/>
    <w:rsid w:val="6679372B"/>
    <w:rsid w:val="667B3C56"/>
    <w:rsid w:val="66844CDD"/>
    <w:rsid w:val="66936450"/>
    <w:rsid w:val="66980BF6"/>
    <w:rsid w:val="66B35222"/>
    <w:rsid w:val="66B81454"/>
    <w:rsid w:val="66BE1292"/>
    <w:rsid w:val="66BF76F1"/>
    <w:rsid w:val="66CD47E0"/>
    <w:rsid w:val="66DA3497"/>
    <w:rsid w:val="66DC5BF8"/>
    <w:rsid w:val="66E173F9"/>
    <w:rsid w:val="66E3226C"/>
    <w:rsid w:val="66E611A7"/>
    <w:rsid w:val="66EC287F"/>
    <w:rsid w:val="66EC5E36"/>
    <w:rsid w:val="66F17695"/>
    <w:rsid w:val="67015515"/>
    <w:rsid w:val="67181932"/>
    <w:rsid w:val="672A4901"/>
    <w:rsid w:val="67441B08"/>
    <w:rsid w:val="67510C8A"/>
    <w:rsid w:val="67513E69"/>
    <w:rsid w:val="675A17FE"/>
    <w:rsid w:val="676E1585"/>
    <w:rsid w:val="677E2FA1"/>
    <w:rsid w:val="67836FB1"/>
    <w:rsid w:val="67854D6A"/>
    <w:rsid w:val="678A44B2"/>
    <w:rsid w:val="678C1D52"/>
    <w:rsid w:val="67901F4B"/>
    <w:rsid w:val="67973403"/>
    <w:rsid w:val="67A67078"/>
    <w:rsid w:val="67AC341B"/>
    <w:rsid w:val="67B0696C"/>
    <w:rsid w:val="67B74EAA"/>
    <w:rsid w:val="67C149C0"/>
    <w:rsid w:val="67C7427D"/>
    <w:rsid w:val="67CA7967"/>
    <w:rsid w:val="67CC38C5"/>
    <w:rsid w:val="67CC6D2B"/>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8FE3B95"/>
    <w:rsid w:val="690C5E8F"/>
    <w:rsid w:val="691B307E"/>
    <w:rsid w:val="692A195D"/>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04F3B"/>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7F6643"/>
    <w:rsid w:val="6A8C3EFF"/>
    <w:rsid w:val="6A9371B0"/>
    <w:rsid w:val="6A937D23"/>
    <w:rsid w:val="6A9B5915"/>
    <w:rsid w:val="6A9B7735"/>
    <w:rsid w:val="6AA258AD"/>
    <w:rsid w:val="6AB45A03"/>
    <w:rsid w:val="6ABE4FFD"/>
    <w:rsid w:val="6ACE4933"/>
    <w:rsid w:val="6AD2064F"/>
    <w:rsid w:val="6AD6142A"/>
    <w:rsid w:val="6AE26C27"/>
    <w:rsid w:val="6AED013C"/>
    <w:rsid w:val="6AF159FF"/>
    <w:rsid w:val="6AF63F29"/>
    <w:rsid w:val="6B285741"/>
    <w:rsid w:val="6B340EF1"/>
    <w:rsid w:val="6B3D06AC"/>
    <w:rsid w:val="6B444BB7"/>
    <w:rsid w:val="6B4B2C3B"/>
    <w:rsid w:val="6B5B0A52"/>
    <w:rsid w:val="6B5B7218"/>
    <w:rsid w:val="6B5D2504"/>
    <w:rsid w:val="6B686E86"/>
    <w:rsid w:val="6B6C560D"/>
    <w:rsid w:val="6B846AF2"/>
    <w:rsid w:val="6B95396B"/>
    <w:rsid w:val="6BBB00B1"/>
    <w:rsid w:val="6BBD3E9D"/>
    <w:rsid w:val="6BC03721"/>
    <w:rsid w:val="6BC55B54"/>
    <w:rsid w:val="6BCC01D5"/>
    <w:rsid w:val="6BCF2DCA"/>
    <w:rsid w:val="6BDD0493"/>
    <w:rsid w:val="6BDE54AC"/>
    <w:rsid w:val="6BE068F6"/>
    <w:rsid w:val="6BF229CE"/>
    <w:rsid w:val="6BF25C39"/>
    <w:rsid w:val="6C06150E"/>
    <w:rsid w:val="6C155F31"/>
    <w:rsid w:val="6C206E21"/>
    <w:rsid w:val="6C263A06"/>
    <w:rsid w:val="6C375FAB"/>
    <w:rsid w:val="6C3A624E"/>
    <w:rsid w:val="6C3F4795"/>
    <w:rsid w:val="6C431738"/>
    <w:rsid w:val="6C505966"/>
    <w:rsid w:val="6C5D04BB"/>
    <w:rsid w:val="6C5D2B1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0832CF"/>
    <w:rsid w:val="6D180D47"/>
    <w:rsid w:val="6D274676"/>
    <w:rsid w:val="6D2F4B50"/>
    <w:rsid w:val="6D385ED1"/>
    <w:rsid w:val="6D3B5923"/>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265EB"/>
    <w:rsid w:val="6E035B81"/>
    <w:rsid w:val="6E0F0D37"/>
    <w:rsid w:val="6E0F320E"/>
    <w:rsid w:val="6E131686"/>
    <w:rsid w:val="6E141217"/>
    <w:rsid w:val="6E1B4CD0"/>
    <w:rsid w:val="6E2A0DD8"/>
    <w:rsid w:val="6E376A3A"/>
    <w:rsid w:val="6E3F1C0F"/>
    <w:rsid w:val="6E567CD0"/>
    <w:rsid w:val="6E575BA4"/>
    <w:rsid w:val="6E633CB5"/>
    <w:rsid w:val="6E72570E"/>
    <w:rsid w:val="6EAB29FB"/>
    <w:rsid w:val="6EB32B7F"/>
    <w:rsid w:val="6EB46F18"/>
    <w:rsid w:val="6EB63507"/>
    <w:rsid w:val="6EBD4DFF"/>
    <w:rsid w:val="6EC73357"/>
    <w:rsid w:val="6ED266F7"/>
    <w:rsid w:val="6EE939F2"/>
    <w:rsid w:val="6EED427F"/>
    <w:rsid w:val="6F021829"/>
    <w:rsid w:val="6F28474F"/>
    <w:rsid w:val="6F350882"/>
    <w:rsid w:val="6F384951"/>
    <w:rsid w:val="6F607895"/>
    <w:rsid w:val="6F61040C"/>
    <w:rsid w:val="6F6776E1"/>
    <w:rsid w:val="6F702CF5"/>
    <w:rsid w:val="6F7E1B78"/>
    <w:rsid w:val="6F9C5D71"/>
    <w:rsid w:val="6FA3781E"/>
    <w:rsid w:val="6FAF5C06"/>
    <w:rsid w:val="6FB80EE8"/>
    <w:rsid w:val="6FBA2B03"/>
    <w:rsid w:val="6FD36624"/>
    <w:rsid w:val="6FE53444"/>
    <w:rsid w:val="6FEC4532"/>
    <w:rsid w:val="6FF1528E"/>
    <w:rsid w:val="70015038"/>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CF3906"/>
    <w:rsid w:val="70D91094"/>
    <w:rsid w:val="70DB76EF"/>
    <w:rsid w:val="70E47264"/>
    <w:rsid w:val="710B03C6"/>
    <w:rsid w:val="71121177"/>
    <w:rsid w:val="712D2ADB"/>
    <w:rsid w:val="712D4159"/>
    <w:rsid w:val="71346CB6"/>
    <w:rsid w:val="7136388E"/>
    <w:rsid w:val="71397D34"/>
    <w:rsid w:val="714200B6"/>
    <w:rsid w:val="71431855"/>
    <w:rsid w:val="7143374A"/>
    <w:rsid w:val="715117C4"/>
    <w:rsid w:val="71536701"/>
    <w:rsid w:val="715D365A"/>
    <w:rsid w:val="715D7038"/>
    <w:rsid w:val="716A160C"/>
    <w:rsid w:val="716B5F96"/>
    <w:rsid w:val="71747EDF"/>
    <w:rsid w:val="718B3A9F"/>
    <w:rsid w:val="71936186"/>
    <w:rsid w:val="71A52C96"/>
    <w:rsid w:val="71AF2F66"/>
    <w:rsid w:val="71B118B1"/>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5530C"/>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124EF"/>
    <w:rsid w:val="73343997"/>
    <w:rsid w:val="73370B0A"/>
    <w:rsid w:val="733C723A"/>
    <w:rsid w:val="733C7C6A"/>
    <w:rsid w:val="73634D11"/>
    <w:rsid w:val="736411CC"/>
    <w:rsid w:val="73690216"/>
    <w:rsid w:val="736A02D8"/>
    <w:rsid w:val="73893467"/>
    <w:rsid w:val="738A36E1"/>
    <w:rsid w:val="73912A81"/>
    <w:rsid w:val="739B1EFF"/>
    <w:rsid w:val="73A16D22"/>
    <w:rsid w:val="73B1400F"/>
    <w:rsid w:val="73BA064C"/>
    <w:rsid w:val="73BB3C6E"/>
    <w:rsid w:val="73CE1997"/>
    <w:rsid w:val="73D11932"/>
    <w:rsid w:val="73DE1AB7"/>
    <w:rsid w:val="73EC7C9D"/>
    <w:rsid w:val="7407051F"/>
    <w:rsid w:val="741076D1"/>
    <w:rsid w:val="74215D04"/>
    <w:rsid w:val="742A0965"/>
    <w:rsid w:val="742D6DB6"/>
    <w:rsid w:val="744642D9"/>
    <w:rsid w:val="744C2D8A"/>
    <w:rsid w:val="74522D94"/>
    <w:rsid w:val="74775754"/>
    <w:rsid w:val="74B06962"/>
    <w:rsid w:val="74B32215"/>
    <w:rsid w:val="74C46840"/>
    <w:rsid w:val="74C976F2"/>
    <w:rsid w:val="74D575AA"/>
    <w:rsid w:val="74D71DDE"/>
    <w:rsid w:val="74DA7956"/>
    <w:rsid w:val="74E11F86"/>
    <w:rsid w:val="74FB509B"/>
    <w:rsid w:val="74FB6035"/>
    <w:rsid w:val="750934A8"/>
    <w:rsid w:val="750A15E4"/>
    <w:rsid w:val="752B3381"/>
    <w:rsid w:val="7531582F"/>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5F92C22"/>
    <w:rsid w:val="7600209C"/>
    <w:rsid w:val="760049B0"/>
    <w:rsid w:val="76070A73"/>
    <w:rsid w:val="76250B12"/>
    <w:rsid w:val="762D70E7"/>
    <w:rsid w:val="7630359D"/>
    <w:rsid w:val="763B42FB"/>
    <w:rsid w:val="763D4BE9"/>
    <w:rsid w:val="763F1F92"/>
    <w:rsid w:val="76412422"/>
    <w:rsid w:val="76424474"/>
    <w:rsid w:val="76437632"/>
    <w:rsid w:val="76451CD6"/>
    <w:rsid w:val="76452780"/>
    <w:rsid w:val="764F7670"/>
    <w:rsid w:val="76587361"/>
    <w:rsid w:val="76690632"/>
    <w:rsid w:val="767469E2"/>
    <w:rsid w:val="76775F0B"/>
    <w:rsid w:val="767C376B"/>
    <w:rsid w:val="767E2DAC"/>
    <w:rsid w:val="76894819"/>
    <w:rsid w:val="768D57E3"/>
    <w:rsid w:val="76932317"/>
    <w:rsid w:val="76B153BA"/>
    <w:rsid w:val="76C72CA0"/>
    <w:rsid w:val="76ED0EF4"/>
    <w:rsid w:val="76F2295F"/>
    <w:rsid w:val="76F50A9F"/>
    <w:rsid w:val="76FD2D1D"/>
    <w:rsid w:val="77187F65"/>
    <w:rsid w:val="77271048"/>
    <w:rsid w:val="7729766A"/>
    <w:rsid w:val="772D35A6"/>
    <w:rsid w:val="773A62B8"/>
    <w:rsid w:val="77422DC5"/>
    <w:rsid w:val="774B3934"/>
    <w:rsid w:val="77570E77"/>
    <w:rsid w:val="77681155"/>
    <w:rsid w:val="777B5F51"/>
    <w:rsid w:val="777D53E6"/>
    <w:rsid w:val="77847A56"/>
    <w:rsid w:val="778F0D7D"/>
    <w:rsid w:val="778F49BD"/>
    <w:rsid w:val="77966F4C"/>
    <w:rsid w:val="779C6347"/>
    <w:rsid w:val="77A31525"/>
    <w:rsid w:val="77A75021"/>
    <w:rsid w:val="77B4796D"/>
    <w:rsid w:val="77B806D6"/>
    <w:rsid w:val="77B8689C"/>
    <w:rsid w:val="77C2510C"/>
    <w:rsid w:val="77C833A2"/>
    <w:rsid w:val="78036043"/>
    <w:rsid w:val="7813374F"/>
    <w:rsid w:val="781838FF"/>
    <w:rsid w:val="781B3886"/>
    <w:rsid w:val="782E0F62"/>
    <w:rsid w:val="78316382"/>
    <w:rsid w:val="78375EBD"/>
    <w:rsid w:val="784151EC"/>
    <w:rsid w:val="78555549"/>
    <w:rsid w:val="787659AD"/>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90174F"/>
    <w:rsid w:val="79A15149"/>
    <w:rsid w:val="79A37CCA"/>
    <w:rsid w:val="79BF2784"/>
    <w:rsid w:val="79C24EDF"/>
    <w:rsid w:val="79C95AED"/>
    <w:rsid w:val="79E004EE"/>
    <w:rsid w:val="79E12ED9"/>
    <w:rsid w:val="79E352FF"/>
    <w:rsid w:val="79E9023D"/>
    <w:rsid w:val="79ED6701"/>
    <w:rsid w:val="79FA109A"/>
    <w:rsid w:val="79FB2D0B"/>
    <w:rsid w:val="7A052E17"/>
    <w:rsid w:val="7A0F1525"/>
    <w:rsid w:val="7A24033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F3543A"/>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595DE5"/>
    <w:rsid w:val="7C610C91"/>
    <w:rsid w:val="7C613AEC"/>
    <w:rsid w:val="7C734075"/>
    <w:rsid w:val="7C815D2A"/>
    <w:rsid w:val="7C831756"/>
    <w:rsid w:val="7CA34F94"/>
    <w:rsid w:val="7CA67728"/>
    <w:rsid w:val="7CB62523"/>
    <w:rsid w:val="7CE70935"/>
    <w:rsid w:val="7CF84A31"/>
    <w:rsid w:val="7CFC44C2"/>
    <w:rsid w:val="7D013B39"/>
    <w:rsid w:val="7D0826CA"/>
    <w:rsid w:val="7D130509"/>
    <w:rsid w:val="7D182D5A"/>
    <w:rsid w:val="7D1946C0"/>
    <w:rsid w:val="7D21286D"/>
    <w:rsid w:val="7D2A5CCB"/>
    <w:rsid w:val="7D401CAA"/>
    <w:rsid w:val="7D4E195B"/>
    <w:rsid w:val="7D64087E"/>
    <w:rsid w:val="7D7A555A"/>
    <w:rsid w:val="7D7F5298"/>
    <w:rsid w:val="7D811243"/>
    <w:rsid w:val="7D8362BA"/>
    <w:rsid w:val="7D9342FF"/>
    <w:rsid w:val="7DAB10BD"/>
    <w:rsid w:val="7DD7657D"/>
    <w:rsid w:val="7DF464FC"/>
    <w:rsid w:val="7DFB2B0A"/>
    <w:rsid w:val="7E006A11"/>
    <w:rsid w:val="7E054F9B"/>
    <w:rsid w:val="7E1C55F3"/>
    <w:rsid w:val="7E2E7D3F"/>
    <w:rsid w:val="7E347694"/>
    <w:rsid w:val="7E3B4055"/>
    <w:rsid w:val="7E3B5911"/>
    <w:rsid w:val="7E495416"/>
    <w:rsid w:val="7E497873"/>
    <w:rsid w:val="7E573082"/>
    <w:rsid w:val="7E750E81"/>
    <w:rsid w:val="7E7F5DCA"/>
    <w:rsid w:val="7E9044A6"/>
    <w:rsid w:val="7E922E52"/>
    <w:rsid w:val="7E9B5C66"/>
    <w:rsid w:val="7E9E7334"/>
    <w:rsid w:val="7EA87297"/>
    <w:rsid w:val="7EB56059"/>
    <w:rsid w:val="7EB73383"/>
    <w:rsid w:val="7EC22792"/>
    <w:rsid w:val="7EC57DB4"/>
    <w:rsid w:val="7ECE0CB8"/>
    <w:rsid w:val="7ED55364"/>
    <w:rsid w:val="7ED61FF8"/>
    <w:rsid w:val="7EDE52DA"/>
    <w:rsid w:val="7EEB1AD7"/>
    <w:rsid w:val="7EEC4A0C"/>
    <w:rsid w:val="7EEF5C7E"/>
    <w:rsid w:val="7EF72BC9"/>
    <w:rsid w:val="7EFA4392"/>
    <w:rsid w:val="7F057503"/>
    <w:rsid w:val="7F085E6E"/>
    <w:rsid w:val="7F090A0E"/>
    <w:rsid w:val="7F0C0396"/>
    <w:rsid w:val="7F0F0634"/>
    <w:rsid w:val="7F160CCE"/>
    <w:rsid w:val="7F18438A"/>
    <w:rsid w:val="7F1F60CC"/>
    <w:rsid w:val="7F314300"/>
    <w:rsid w:val="7F3B01C9"/>
    <w:rsid w:val="7F4B52CF"/>
    <w:rsid w:val="7F562103"/>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2021-10-22T16:35:57Z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