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101-e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R4-2119188</w:t>
      </w:r>
      <w:bookmarkStart w:id="4" w:name="_GoBack"/>
      <w:bookmarkEnd w:id="4"/>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w:t>
      </w:r>
      <w:r>
        <w:rPr>
          <w:rFonts w:hint="eastAsia" w:ascii="Arial" w:hAnsi="Arial" w:cs="Arial"/>
          <w:b/>
          <w:sz w:val="24"/>
          <w:szCs w:val="24"/>
          <w:vertAlign w:val="superscript"/>
          <w:lang w:val="en-US" w:eastAsia="zh-CN"/>
        </w:rPr>
        <w:t xml:space="preserve">st </w:t>
      </w:r>
      <w:r>
        <w:rPr>
          <w:rFonts w:hint="eastAsia" w:ascii="Arial" w:hAnsi="Arial" w:cs="Arial"/>
          <w:b/>
          <w:sz w:val="24"/>
          <w:szCs w:val="24"/>
          <w:vertAlign w:val="baseline"/>
          <w:lang w:val="en-US" w:eastAsia="zh-CN"/>
        </w:rPr>
        <w:t>Nov</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16.2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 on system parameters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eastAsiaTheme="minorEastAsia"/>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previous RAN4 meetings, there were some extensive discussions on how to specify the channel bandwidth for 52.6-71GHz and different aspects from spectrum availability, maximum FFT size supported and coexistence with other RAT, therefore in this contribution, we want to share some further considerations on that.</w:t>
      </w:r>
    </w:p>
    <w:p>
      <w:pPr>
        <w:pStyle w:val="28"/>
        <w:ind w:left="357" w:hanging="357"/>
      </w:pPr>
      <w:r>
        <w:rPr>
          <w:rFonts w:hint="eastAsia"/>
          <w:lang w:val="en-US"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Channelization</w:t>
      </w:r>
      <w:r>
        <w:rPr>
          <w:rFonts w:hint="default" w:ascii="Arial" w:hAnsi="Arial" w:cs="Arial"/>
          <w:sz w:val="28"/>
          <w:szCs w:val="28"/>
          <w:lang w:val="en-US" w:eastAsia="zh-CN"/>
        </w:rPr>
        <w:t xml:space="preserve"> </w:t>
      </w:r>
    </w:p>
    <w:p>
      <w:pPr>
        <w:numPr>
          <w:ilvl w:val="0"/>
          <w:numId w:val="0"/>
        </w:numPr>
        <w:pBdr>
          <w:bottom w:val="single" w:color="auto" w:sz="4" w:space="0"/>
        </w:pBdr>
        <w:spacing w:after="160" w:line="259"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the previous RAN4 meetings, there were extensive discussions on channelization for 52.6-71GHz and it was encouraged to further discuss this issue between Option 1C and option 1D: </w:t>
      </w:r>
    </w:p>
    <w:p>
      <w:pPr>
        <w:pStyle w:val="23"/>
        <w:numPr>
          <w:ilvl w:val="1"/>
          <w:numId w:val="2"/>
        </w:numPr>
        <w:rPr>
          <w:sz w:val="20"/>
          <w:szCs w:val="20"/>
        </w:rPr>
      </w:pPr>
      <w:r>
        <w:rPr>
          <w:sz w:val="20"/>
          <w:szCs w:val="20"/>
        </w:rPr>
        <w:t>Option 1C: No IEEE 802.11ad/ay alignment and floating channelization (Nokia, Ericsson, ZTE, Xiaomi, OPPO, CMCC, Huawei)</w:t>
      </w:r>
    </w:p>
    <w:p>
      <w:pPr>
        <w:pStyle w:val="23"/>
        <w:numPr>
          <w:ilvl w:val="1"/>
          <w:numId w:val="2"/>
        </w:numPr>
        <w:rPr>
          <w:sz w:val="20"/>
          <w:szCs w:val="20"/>
        </w:rPr>
      </w:pPr>
      <w:r>
        <w:rPr>
          <w:sz w:val="20"/>
          <w:szCs w:val="20"/>
        </w:rPr>
        <w:t xml:space="preserve">Option 1D: Hybrid between IEEE and no IEEE alignment with fixed channelization depending on max spectrum utilization and better coexistence (Intel, Charter, CATT, Sony, MTK, QCOM) </w:t>
      </w:r>
    </w:p>
    <w:p>
      <w:pPr>
        <w:numPr>
          <w:ilvl w:val="0"/>
          <w:numId w:val="0"/>
        </w:numPr>
        <w:pBdr>
          <w:top w:val="single" w:color="auto" w:sz="4" w:space="0"/>
        </w:pBd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provided the initial system level simulation results to check the impacts of the NR channelization aligned or misaligned with 802.11ad channelization in 52.6-71 GHz.</w:t>
      </w:r>
      <w:r>
        <w:rPr>
          <w:rFonts w:hint="eastAsia" w:ascii="Times New Roman" w:hAnsi="Times New Roman" w:cs="Times New Roman"/>
          <w:sz w:val="20"/>
          <w:szCs w:val="20"/>
          <w:highlight w:val="none"/>
          <w:lang w:val="en-US" w:eastAsia="zh-CN"/>
        </w:rPr>
        <w:t xml:space="preserve"> As shown in Figure 1, the downlink throughput of Operator A/B at both low load and medium load are evaluated. Operator A in aligned case is represented by the red bar and the blue bar and Operator A in misaligned case is represented by the yellow bar and the purple bar. </w:t>
      </w:r>
    </w:p>
    <w:p>
      <w:pPr>
        <w:spacing w:line="360" w:lineRule="auto"/>
        <w:jc w:val="center"/>
        <w:rPr>
          <w:lang w:eastAsia="zh-CN"/>
        </w:rPr>
      </w:pPr>
      <w:r>
        <w:rPr>
          <w:rFonts w:hint="eastAsia"/>
          <w:lang w:eastAsia="zh-CN"/>
        </w:rPr>
        <w:drawing>
          <wp:inline distT="0" distB="0" distL="114300" distR="114300">
            <wp:extent cx="3599815" cy="2520315"/>
            <wp:effectExtent l="0" t="0" r="635" b="13335"/>
            <wp:docPr id="13" name="图片 13" descr="2"/>
            <wp:cNvGraphicFramePr/>
            <a:graphic xmlns:a="http://schemas.openxmlformats.org/drawingml/2006/main">
              <a:graphicData uri="http://schemas.openxmlformats.org/drawingml/2006/picture">
                <pic:pic xmlns:pic="http://schemas.openxmlformats.org/drawingml/2006/picture">
                  <pic:nvPicPr>
                    <pic:cNvPr id="13" name="图片 13" descr="2"/>
                    <pic:cNvPicPr/>
                  </pic:nvPicPr>
                  <pic:blipFill>
                    <a:blip r:embed="rId4"/>
                    <a:stretch>
                      <a:fillRect/>
                    </a:stretch>
                  </pic:blipFill>
                  <pic:spPr>
                    <a:xfrm>
                      <a:off x="0" y="0"/>
                      <a:ext cx="3599815" cy="2520315"/>
                    </a:xfrm>
                    <a:prstGeom prst="rect">
                      <a:avLst/>
                    </a:prstGeom>
                  </pic:spPr>
                </pic:pic>
              </a:graphicData>
            </a:graphic>
          </wp:inline>
        </w:drawing>
      </w:r>
    </w:p>
    <w:p>
      <w:pPr>
        <w:numPr>
          <w:ilvl w:val="0"/>
          <w:numId w:val="0"/>
        </w:numPr>
        <w:spacing w:after="160" w:line="259" w:lineRule="auto"/>
        <w:jc w:val="center"/>
        <w:rPr>
          <w:rFonts w:hint="eastAsia"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Figure 1</w:t>
      </w:r>
      <w:r>
        <w:rPr>
          <w:rFonts w:hint="eastAsia" w:ascii="Times New Roman" w:hAnsi="Times New Roman" w:cs="Times New Roman"/>
          <w:sz w:val="20"/>
          <w:szCs w:val="20"/>
          <w:lang w:val="en-US" w:eastAsia="zh-CN"/>
        </w:rPr>
        <w:t>. DL mean user throughput</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can be shown that, in terms of user throughput with different traffic loads</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performance of Operator A in misaligned cases is comparable to the aligned cases.</w:t>
      </w:r>
    </w:p>
    <w:p>
      <w:pPr>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726" w:hanging="363"/>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Misaligned Case A shows similar performance with misaligned Case B.</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sz w:val="20"/>
          <w:szCs w:val="20"/>
          <w:lang w:val="en-US" w:eastAsia="zh-CN"/>
        </w:rPr>
        <w:t>Based on the above simulation results provided, we don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t see the necessity of  keeping channelization alignment with IEEE channels. In addition, option 1C could provide more channelization flexibility for practical deployment and it also accommodate the carriers aligned with IEEE channels if necessary since this should be one super set of channelization.</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1: </w:t>
      </w:r>
      <w:r>
        <w:rPr>
          <w:rFonts w:hint="eastAsia" w:ascii="Times New Roman" w:hAnsi="Times New Roman" w:cs="Times New Roman"/>
          <w:sz w:val="20"/>
          <w:szCs w:val="20"/>
          <w:lang w:val="en-US" w:eastAsia="zh-CN"/>
        </w:rPr>
        <w:t>support the option 1C for 52.6-71GHz channelization.</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2.2 Channel raster </w:t>
      </w:r>
    </w:p>
    <w:p>
      <w:pPr>
        <w:pStyle w:val="35"/>
        <w:rPr>
          <w:rFonts w:hint="default" w:eastAsia="宋体"/>
          <w:kern w:val="0"/>
          <w:sz w:val="20"/>
          <w:szCs w:val="20"/>
          <w:lang w:val="en-US" w:eastAsia="zh-CN"/>
        </w:rPr>
      </w:pPr>
      <w:r>
        <w:rPr>
          <w:rFonts w:hint="eastAsia"/>
          <w:kern w:val="0"/>
          <w:sz w:val="20"/>
          <w:szCs w:val="20"/>
          <w:lang w:val="en-US" w:eastAsia="zh-CN"/>
        </w:rPr>
        <w:t xml:space="preserve">The principle of SCS based channel raster should be also applied for licensed operation of 52.6-71GHz for better spectrum utilization, and for unlicensed operation of 52.6-71GHz, whether fixed channel raster as NR-U Band n46 and n96, this might need further discussions where 960kHz SCS based raster could be considered. This channel raster could be per basis if there are no consensus or common group between licensed band and unlicensed band. </w:t>
      </w:r>
    </w:p>
    <w:p>
      <w:pPr>
        <w:numPr>
          <w:ilvl w:val="0"/>
          <w:numId w:val="0"/>
        </w:numPr>
        <w:spacing w:after="160" w:line="259" w:lineRule="auto"/>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ascii="Times New Roman" w:hAnsi="Times New Roman" w:cs="Times New Roman"/>
          <w:b w:val="0"/>
          <w:bCs w:val="0"/>
          <w:sz w:val="20"/>
          <w:szCs w:val="20"/>
          <w:lang w:val="en-US" w:eastAsia="zh-CN"/>
        </w:rPr>
        <w:t xml:space="preserve">120kHz channel raster should be applied for licensed operation of 52.6-71GHz. </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Spectrum utilization  </w:t>
      </w:r>
    </w:p>
    <w:p>
      <w:pPr>
        <w:pStyle w:val="35"/>
        <w:pBdr>
          <w:bottom w:val="single" w:color="000000" w:sz="4" w:space="0"/>
        </w:pBdr>
        <w:rPr>
          <w:rFonts w:hint="eastAsia"/>
          <w:kern w:val="0"/>
          <w:sz w:val="20"/>
          <w:szCs w:val="20"/>
          <w:lang w:val="en-US" w:eastAsia="zh-CN"/>
        </w:rPr>
      </w:pPr>
      <w:r>
        <w:rPr>
          <w:rFonts w:hint="eastAsia"/>
          <w:kern w:val="0"/>
          <w:sz w:val="20"/>
          <w:szCs w:val="20"/>
          <w:lang w:val="en-US" w:eastAsia="zh-CN"/>
        </w:rPr>
        <w:t>For the spectrum utilization , since this is related with emission mask and in-band emission requirement, all of the above requirements are still under the discussion, therefore we also propose to postpone the discussions of SU for 60GHz;</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b/>
          <w:bCs/>
          <w:kern w:val="0"/>
          <w:sz w:val="20"/>
          <w:szCs w:val="20"/>
          <w:lang w:val="en-US" w:eastAsia="zh-CN"/>
        </w:rPr>
      </w:pPr>
      <w:r>
        <w:rPr>
          <w:rFonts w:hint="eastAsia"/>
          <w:b/>
          <w:bCs/>
          <w:kern w:val="0"/>
          <w:sz w:val="20"/>
          <w:szCs w:val="20"/>
          <w:lang w:val="en-US" w:eastAsia="zh-CN"/>
        </w:rPr>
        <w:t>Option 1:</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120 kHz SCS: Keep the same max SU from FR2, i.e., 95 %</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480/960 kHz SCS: Provide the SU in range, i.e., [85 – 95] %</w:t>
      </w:r>
    </w:p>
    <w:p>
      <w:pPr>
        <w:pStyle w:val="35"/>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b/>
          <w:bCs/>
          <w:kern w:val="0"/>
          <w:sz w:val="20"/>
          <w:szCs w:val="20"/>
          <w:lang w:val="en-US" w:eastAsia="zh-CN"/>
        </w:rPr>
      </w:pPr>
      <w:r>
        <w:rPr>
          <w:rFonts w:hint="eastAsia"/>
          <w:b/>
          <w:bCs/>
          <w:kern w:val="0"/>
          <w:sz w:val="20"/>
          <w:szCs w:val="20"/>
          <w:lang w:val="en-US" w:eastAsia="zh-CN"/>
        </w:rPr>
        <w:t>Option 2:</w:t>
      </w:r>
    </w:p>
    <w:p>
      <w:pPr>
        <w:pStyle w:val="35"/>
        <w:keepNext w:val="0"/>
        <w:keepLines w:val="0"/>
        <w:pageBreakBefore w:val="0"/>
        <w:widowControl w:val="0"/>
        <w:pBdr>
          <w:bottom w:val="single" w:color="000000" w:sz="4" w:space="0"/>
        </w:pBdr>
        <w:kinsoku/>
        <w:wordWrap/>
        <w:overflowPunct/>
        <w:topLinePunct w:val="0"/>
        <w:autoSpaceDE/>
        <w:autoSpaceDN/>
        <w:bidi w:val="0"/>
        <w:adjustRightInd/>
        <w:snapToGrid/>
        <w:spacing w:after="0" w:line="260" w:lineRule="auto"/>
        <w:textAlignment w:val="auto"/>
        <w:rPr>
          <w:rFonts w:hint="eastAsia"/>
          <w:kern w:val="0"/>
          <w:sz w:val="20"/>
          <w:szCs w:val="20"/>
          <w:lang w:val="en-US" w:eastAsia="zh-CN"/>
        </w:rPr>
      </w:pPr>
      <w:r>
        <w:rPr>
          <w:rFonts w:hint="eastAsia"/>
          <w:kern w:val="0"/>
          <w:sz w:val="20"/>
          <w:szCs w:val="20"/>
          <w:lang w:val="en-US" w:eastAsia="zh-CN"/>
        </w:rPr>
        <w:t>For 120/480/960 kHz SCS: Provide the SU in range, i.e., [85 – 95] %</w:t>
      </w:r>
    </w:p>
    <w:p>
      <w:pPr>
        <w:pStyle w:val="35"/>
        <w:rPr>
          <w:rFonts w:hint="default" w:ascii="Times New Roman" w:hAnsi="Times New Roman" w:cs="Times New Roman"/>
          <w:b w:val="0"/>
          <w:bCs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postpone the discussion of spectral utilization for 60GHz until there are clear agreement on emission mask and in-band emission requirements;</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2.4 Sync raster </w:t>
      </w:r>
    </w:p>
    <w:p>
      <w:pPr>
        <w:pStyle w:val="35"/>
        <w:rPr>
          <w:rFonts w:hint="default" w:eastAsia="宋体"/>
          <w:kern w:val="0"/>
          <w:sz w:val="20"/>
          <w:szCs w:val="20"/>
          <w:highlight w:val="yellow"/>
          <w:lang w:val="en-US" w:eastAsia="zh-CN"/>
        </w:rPr>
      </w:pPr>
      <w:r>
        <w:rPr>
          <w:rFonts w:hint="eastAsia"/>
          <w:kern w:val="0"/>
          <w:sz w:val="20"/>
          <w:szCs w:val="20"/>
          <w:lang w:val="en-US" w:eastAsia="zh-CN"/>
        </w:rPr>
        <w:t>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rFonts w:hint="eastAsia"/>
          <w:kern w:val="0"/>
          <w:sz w:val="20"/>
          <w:szCs w:val="20"/>
          <w:lang w:val="en-US" w:eastAsia="zh-CN"/>
        </w:rPr>
        <w:t xml:space="preserve">would be </w:t>
      </w:r>
      <w:r>
        <w:rPr>
          <w:kern w:val="0"/>
          <w:sz w:val="20"/>
          <w:szCs w:val="20"/>
        </w:rPr>
        <w:t>most likely</w:t>
      </w:r>
      <w:r>
        <w:rPr>
          <w:rFonts w:hint="eastAsia"/>
          <w:kern w:val="0"/>
          <w:sz w:val="20"/>
          <w:szCs w:val="20"/>
          <w:lang w:val="en-US" w:eastAsia="zh-CN"/>
        </w:rPr>
        <w:t xml:space="preserve"> </w:t>
      </w:r>
      <w:r>
        <w:rPr>
          <w:rFonts w:hint="eastAsia"/>
          <w:kern w:val="0"/>
          <w:sz w:val="20"/>
          <w:szCs w:val="20"/>
        </w:rPr>
        <w:t>different from that of FR2.</w:t>
      </w:r>
      <w:r>
        <w:rPr>
          <w:rFonts w:hint="eastAsia"/>
          <w:kern w:val="0"/>
          <w:sz w:val="20"/>
          <w:szCs w:val="20"/>
          <w:lang w:val="en-US" w:eastAsia="zh-CN"/>
        </w:rPr>
        <w:t xml:space="preserve"> In addition, in the previous RAN1#106e meeting, SSB SCS for 52.6-71GHz was approved as 120kHz and 480kHz, based on the BWconfig, SSB SCS, channel raster and guard band for minimum channel bandwidth 100MHz and 400MHz, the based on the general formula for sync raster calculation, then sync raster for 52.6-71GHz could be derived as following:</w:t>
      </w:r>
    </w:p>
    <w:p>
      <w:pPr>
        <w:pStyle w:val="35"/>
        <w:jc w:val="center"/>
        <w:rPr>
          <w:rFonts w:hint="eastAsia"/>
          <w:kern w:val="0"/>
          <w:sz w:val="20"/>
          <w:szCs w:val="20"/>
          <w:vertAlign w:val="subscript"/>
        </w:rPr>
      </w:pPr>
      <w:r>
        <w:rPr>
          <w:rFonts w:hint="eastAsia"/>
          <w:b/>
          <w:bCs/>
          <w:kern w:val="0"/>
          <w:sz w:val="20"/>
          <w:szCs w:val="20"/>
          <w:lang w:val="en-US" w:eastAsia="zh-CN"/>
        </w:rPr>
        <w:t>M</w:t>
      </w:r>
      <w:r>
        <w:rPr>
          <w:rFonts w:hint="eastAsia"/>
          <w:b/>
          <w:bCs/>
          <w:kern w:val="0"/>
          <w:sz w:val="20"/>
          <w:szCs w:val="20"/>
        </w:rPr>
        <w:t>aximum sync raster</w:t>
      </w:r>
      <w:r>
        <w:rPr>
          <w:rFonts w:hint="eastAsia"/>
          <w:kern w:val="0"/>
          <w:sz w:val="20"/>
          <w:szCs w:val="20"/>
        </w:rPr>
        <w:t>&lt;=BW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35"/>
        <w:rPr>
          <w:rFonts w:hint="default"/>
          <w:kern w:val="0"/>
          <w:sz w:val="20"/>
          <w:szCs w:val="20"/>
          <w:lang w:val="en-US" w:eastAsia="zh-CN"/>
        </w:rPr>
      </w:pPr>
      <w:r>
        <w:rPr>
          <w:rFonts w:hint="eastAsia"/>
          <w:kern w:val="0"/>
          <w:sz w:val="20"/>
          <w:szCs w:val="20"/>
          <w:lang w:val="en-US" w:eastAsia="zh-CN"/>
        </w:rPr>
        <w:t>Similar as done for band n79 with increasing step size, this approach might be also feasible for 52.6-71GHz since 17.28MHz is also multiple of 120kHz and 480kHz PRB bandwidth.</w:t>
      </w:r>
    </w:p>
    <w:p>
      <w:pPr>
        <w:numPr>
          <w:ilvl w:val="0"/>
          <w:numId w:val="0"/>
        </w:numPr>
        <w:spacing w:after="160" w:line="259" w:lineRule="auto"/>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4</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define sync raster as 17.28MHz  for 52.6-71GHz with step size 2 for 100MHz and step size 8 for 400MHz;</w:t>
      </w:r>
    </w:p>
    <w:p>
      <w:pPr>
        <w:pStyle w:val="28"/>
        <w:ind w:left="357" w:hanging="357"/>
      </w:pPr>
      <w:r>
        <w:rPr>
          <w:rFonts w:hint="eastAsia"/>
          <w:lang w:val="en-US" w:eastAsia="zh-CN"/>
        </w:rPr>
        <w:t>Conclusion</w:t>
      </w:r>
    </w:p>
    <w:p>
      <w:p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want to share more further understandings on the system parameters for 52.6-71GHz and proposals and observations are made as following:</w:t>
      </w:r>
    </w:p>
    <w:p>
      <w:pPr>
        <w:keepNext w:val="0"/>
        <w:keepLines w:val="0"/>
        <w:pageBreakBefore w:val="0"/>
        <w:widowControl/>
        <w:numPr>
          <w:ilvl w:val="0"/>
          <w:numId w:val="0"/>
        </w:numPr>
        <w:kinsoku/>
        <w:wordWrap/>
        <w:overflowPunct/>
        <w:topLinePunct w:val="0"/>
        <w:autoSpaceDE/>
        <w:autoSpaceDN/>
        <w:bidi w:val="0"/>
        <w:adjustRightInd/>
        <w:snapToGrid/>
        <w:spacing w:after="0" w:line="259"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1: </w:t>
      </w:r>
      <w:r>
        <w:rPr>
          <w:rFonts w:hint="eastAsia" w:ascii="Times New Roman" w:hAnsi="Times New Roman" w:cs="Times New Roman"/>
          <w:sz w:val="20"/>
          <w:szCs w:val="20"/>
          <w:lang w:val="en-US" w:eastAsia="zh-CN"/>
        </w:rPr>
        <w:t>support the option 1C for 52.6-71GHz channelization.</w:t>
      </w:r>
    </w:p>
    <w:p>
      <w:pPr>
        <w:keepNext w:val="0"/>
        <w:keepLines w:val="0"/>
        <w:pageBreakBefore w:val="0"/>
        <w:numPr>
          <w:ilvl w:val="0"/>
          <w:numId w:val="0"/>
        </w:numPr>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Proposal 2: </w:t>
      </w:r>
      <w:r>
        <w:rPr>
          <w:rFonts w:hint="eastAsia" w:ascii="Times New Roman" w:hAnsi="Times New Roman" w:cs="Times New Roman"/>
          <w:b w:val="0"/>
          <w:bCs w:val="0"/>
          <w:sz w:val="20"/>
          <w:szCs w:val="20"/>
          <w:lang w:val="en-US" w:eastAsia="zh-CN"/>
        </w:rPr>
        <w:t xml:space="preserve">120kHz channel raster should be applied for licensed operation of 52.6-71GHz. </w:t>
      </w:r>
    </w:p>
    <w:p>
      <w:pPr>
        <w:pStyle w:val="35"/>
        <w:keepNext w:val="0"/>
        <w:keepLines w:val="0"/>
        <w:pageBreakBefore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b w:val="0"/>
          <w:bCs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postpone the discussion of spectral utilization for 60GHz until there are clear agreement on emission mask and in-band emission requirements;</w:t>
      </w:r>
    </w:p>
    <w:p>
      <w:pPr>
        <w:numPr>
          <w:ilvl w:val="0"/>
          <w:numId w:val="0"/>
        </w:numPr>
        <w:spacing w:after="160" w:line="259" w:lineRule="auto"/>
        <w:jc w:val="left"/>
        <w:rPr>
          <w:rFonts w:hint="eastAsia" w:ascii="Times New Roman" w:hAnsi="Times New Roman" w:cs="Times New Roman"/>
          <w:sz w:val="20"/>
          <w:szCs w:val="20"/>
          <w:lang w:val="en-US" w:eastAsia="zh-CN"/>
        </w:rPr>
      </w:pPr>
      <w:r>
        <w:rPr>
          <w:rFonts w:hint="eastAsia" w:ascii="Times New Roman" w:hAnsi="Times New Roman" w:cs="Times New Roman"/>
          <w:b/>
          <w:bCs/>
          <w:sz w:val="20"/>
          <w:szCs w:val="20"/>
          <w:lang w:val="en-US" w:eastAsia="zh-CN"/>
        </w:rPr>
        <w:t>Proposal 4</w:t>
      </w:r>
      <w:r>
        <w:rPr>
          <w:rFonts w:hint="eastAsia" w:ascii="Times New Roman" w:hAnsi="Times New Roman" w:cs="Times New Roman"/>
          <w:b w:val="0"/>
          <w:bCs w:val="0"/>
          <w:sz w:val="20"/>
          <w:szCs w:val="20"/>
          <w:lang w:val="en-US" w:eastAsia="zh-CN"/>
        </w:rPr>
        <w:t>:</w:t>
      </w:r>
      <w:r>
        <w:rPr>
          <w:rFonts w:hint="eastAsia" w:ascii="Times New Roman" w:hAnsi="Times New Roman" w:cs="Times New Roman"/>
          <w:b/>
          <w:bCs/>
          <w:sz w:val="20"/>
          <w:szCs w:val="20"/>
          <w:lang w:val="en-US" w:eastAsia="zh-CN"/>
        </w:rPr>
        <w:t xml:space="preserve"> </w:t>
      </w:r>
      <w:r>
        <w:rPr>
          <w:rFonts w:hint="eastAsia" w:ascii="Times New Roman" w:hAnsi="Times New Roman" w:cs="Times New Roman"/>
          <w:b w:val="0"/>
          <w:bCs w:val="0"/>
          <w:sz w:val="20"/>
          <w:szCs w:val="20"/>
          <w:lang w:val="en-US" w:eastAsia="zh-CN"/>
        </w:rPr>
        <w:t>to define sync raster as 17.28MHz  for 52.6-71GHz with step size 2 for 100MHz and step size 8 for 400MHz;</w:t>
      </w:r>
    </w:p>
    <w:p>
      <w:pPr>
        <w:pStyle w:val="28"/>
        <w:ind w:left="357" w:hanging="357"/>
      </w:pPr>
      <w:r>
        <w:rPr>
          <w:rFonts w:hint="eastAsia"/>
          <w:lang w:val="en-US" w:eastAsia="zh-CN"/>
        </w:rPr>
        <w:t>Reference</w:t>
      </w:r>
    </w:p>
    <w:p>
      <w:pPr>
        <w:numPr>
          <w:ilvl w:val="0"/>
          <w:numId w:val="4"/>
        </w:numPr>
        <w:spacing w:after="120"/>
        <w:ind w:left="1985" w:hanging="1985"/>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R4-2103374,TP to TR 38.808: Numerology and Channel Bandwidths, Ericsson, approved.</w:t>
      </w:r>
    </w:p>
    <w:p>
      <w:pPr>
        <w:numPr>
          <w:ilvl w:val="0"/>
          <w:numId w:val="4"/>
        </w:numPr>
        <w:spacing w:after="120"/>
        <w:ind w:left="1985" w:hanging="1985"/>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zh-CN" w:eastAsia="zh-CN"/>
        </w:rPr>
        <w:t>R1-2100079</w:t>
      </w:r>
      <w:r>
        <w:rPr>
          <w:rFonts w:hint="eastAsia" w:ascii="Times New Roman" w:hAnsi="Times New Roman" w:cs="Times New Roman"/>
          <w:sz w:val="20"/>
          <w:szCs w:val="20"/>
          <w:lang w:val="en-US" w:eastAsia="zh-CN"/>
        </w:rPr>
        <w:t>,Evaluation results for 52.6 to 71GHz, ZTE</w:t>
      </w:r>
    </w:p>
    <w:p>
      <w:pPr>
        <w:numPr>
          <w:ilvl w:val="0"/>
          <w:numId w:val="4"/>
        </w:numPr>
        <w:spacing w:after="120"/>
        <w:ind w:left="1985" w:hanging="1985"/>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R4-2107997</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WF on [145] NR_ext_to_71GHz_Part1, approved.</w:t>
      </w:r>
    </w:p>
    <w:p>
      <w:pPr>
        <w:numPr>
          <w:ilvl w:val="0"/>
          <w:numId w:val="4"/>
        </w:numPr>
        <w:spacing w:after="120"/>
        <w:ind w:left="1985" w:hanging="1985"/>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R4-2114988</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WF on [137] NR_ext_to_71GHz_Part1</w:t>
      </w:r>
      <w:r>
        <w:rPr>
          <w:rFonts w:hint="eastAsia" w:ascii="Times New Roman" w:hAnsi="Times New Roman" w:cs="Times New Roman"/>
          <w:sz w:val="20"/>
          <w:szCs w:val="20"/>
          <w:lang w:val="en-US" w:eastAsia="zh-CN"/>
        </w:rPr>
        <w:t>, Intel, approved.</w:t>
      </w:r>
    </w:p>
    <w:p>
      <w:pPr>
        <w:numPr>
          <w:ilvl w:val="0"/>
          <w:numId w:val="0"/>
        </w:numPr>
        <w:spacing w:after="120"/>
        <w:ind w:leftChars="0"/>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C7D6F"/>
    <w:multiLevelType w:val="multilevel"/>
    <w:tmpl w:val="210C7D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CE235FE"/>
    <w:multiLevelType w:val="singleLevel"/>
    <w:tmpl w:val="5CE235FE"/>
    <w:lvl w:ilvl="0" w:tentative="0">
      <w:start w:val="1"/>
      <w:numFmt w:val="decimal"/>
      <w:suff w:val="space"/>
      <w:lvlText w:val="[%1]"/>
      <w:lvlJc w:val="left"/>
    </w:lvl>
  </w:abstractNum>
  <w:abstractNum w:abstractNumId="2">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C843543"/>
    <w:multiLevelType w:val="multilevel"/>
    <w:tmpl w:val="6C843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等线"/>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等线"/>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等线"/>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77DE8"/>
    <w:rsid w:val="00287C3E"/>
    <w:rsid w:val="002C1256"/>
    <w:rsid w:val="002E3CF4"/>
    <w:rsid w:val="00327E6C"/>
    <w:rsid w:val="00383D11"/>
    <w:rsid w:val="003B04FB"/>
    <w:rsid w:val="003C474A"/>
    <w:rsid w:val="00486D3A"/>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778AA"/>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72530"/>
    <w:rsid w:val="00F54A4B"/>
    <w:rsid w:val="00F8093B"/>
    <w:rsid w:val="00FD0B27"/>
    <w:rsid w:val="010B484E"/>
    <w:rsid w:val="011F2F24"/>
    <w:rsid w:val="015E6924"/>
    <w:rsid w:val="0197601A"/>
    <w:rsid w:val="01A65967"/>
    <w:rsid w:val="01A9493D"/>
    <w:rsid w:val="01B23C7A"/>
    <w:rsid w:val="01B31AB6"/>
    <w:rsid w:val="01EC722D"/>
    <w:rsid w:val="02060B01"/>
    <w:rsid w:val="02366A56"/>
    <w:rsid w:val="023B6B96"/>
    <w:rsid w:val="02412FA9"/>
    <w:rsid w:val="0250155B"/>
    <w:rsid w:val="026B16F4"/>
    <w:rsid w:val="028A04A8"/>
    <w:rsid w:val="028C7527"/>
    <w:rsid w:val="029617D9"/>
    <w:rsid w:val="02B051C7"/>
    <w:rsid w:val="02D115CF"/>
    <w:rsid w:val="02D53AE2"/>
    <w:rsid w:val="02D730FF"/>
    <w:rsid w:val="03274C7D"/>
    <w:rsid w:val="032E52C5"/>
    <w:rsid w:val="035D654A"/>
    <w:rsid w:val="035E0BAA"/>
    <w:rsid w:val="0384401B"/>
    <w:rsid w:val="03A53295"/>
    <w:rsid w:val="043E2712"/>
    <w:rsid w:val="04497420"/>
    <w:rsid w:val="04504130"/>
    <w:rsid w:val="045A52BD"/>
    <w:rsid w:val="045E05B4"/>
    <w:rsid w:val="04A63856"/>
    <w:rsid w:val="04B61819"/>
    <w:rsid w:val="04F82E8F"/>
    <w:rsid w:val="053B3CDA"/>
    <w:rsid w:val="056156D7"/>
    <w:rsid w:val="058F1907"/>
    <w:rsid w:val="05912EC2"/>
    <w:rsid w:val="05C84DFD"/>
    <w:rsid w:val="05D86D23"/>
    <w:rsid w:val="05DF72AC"/>
    <w:rsid w:val="05EA65F3"/>
    <w:rsid w:val="05F601AF"/>
    <w:rsid w:val="060106B3"/>
    <w:rsid w:val="060E5BF5"/>
    <w:rsid w:val="0610298E"/>
    <w:rsid w:val="062A4E4D"/>
    <w:rsid w:val="062B5503"/>
    <w:rsid w:val="06423291"/>
    <w:rsid w:val="0675264F"/>
    <w:rsid w:val="06764A52"/>
    <w:rsid w:val="06A378CE"/>
    <w:rsid w:val="06AC22A1"/>
    <w:rsid w:val="06BC57B1"/>
    <w:rsid w:val="07001B69"/>
    <w:rsid w:val="07035C48"/>
    <w:rsid w:val="071D6776"/>
    <w:rsid w:val="072B542B"/>
    <w:rsid w:val="0746506F"/>
    <w:rsid w:val="0747465C"/>
    <w:rsid w:val="07C84095"/>
    <w:rsid w:val="07EE4F66"/>
    <w:rsid w:val="07F05D66"/>
    <w:rsid w:val="08007F6C"/>
    <w:rsid w:val="08047EF5"/>
    <w:rsid w:val="0832678E"/>
    <w:rsid w:val="084D6F16"/>
    <w:rsid w:val="08720720"/>
    <w:rsid w:val="08753982"/>
    <w:rsid w:val="08917577"/>
    <w:rsid w:val="08BE52F7"/>
    <w:rsid w:val="08FE47BF"/>
    <w:rsid w:val="091F71E7"/>
    <w:rsid w:val="094B1FBC"/>
    <w:rsid w:val="09633366"/>
    <w:rsid w:val="096A56B8"/>
    <w:rsid w:val="099E1B53"/>
    <w:rsid w:val="09BE1B7F"/>
    <w:rsid w:val="09D639F3"/>
    <w:rsid w:val="09E75B71"/>
    <w:rsid w:val="0A0F048C"/>
    <w:rsid w:val="0A154DBC"/>
    <w:rsid w:val="0A557EC4"/>
    <w:rsid w:val="0AC44F75"/>
    <w:rsid w:val="0B0D502B"/>
    <w:rsid w:val="0B187B6D"/>
    <w:rsid w:val="0B65266F"/>
    <w:rsid w:val="0B7C60E1"/>
    <w:rsid w:val="0B885B07"/>
    <w:rsid w:val="0BF312F3"/>
    <w:rsid w:val="0BFD5751"/>
    <w:rsid w:val="0C2C69B2"/>
    <w:rsid w:val="0C37692A"/>
    <w:rsid w:val="0C513E07"/>
    <w:rsid w:val="0CD42460"/>
    <w:rsid w:val="0D0103DD"/>
    <w:rsid w:val="0D2313B6"/>
    <w:rsid w:val="0D4B3E85"/>
    <w:rsid w:val="0D584E99"/>
    <w:rsid w:val="0D63739B"/>
    <w:rsid w:val="0D646B1C"/>
    <w:rsid w:val="0D901731"/>
    <w:rsid w:val="0DCB266D"/>
    <w:rsid w:val="0DF375C7"/>
    <w:rsid w:val="0DF479B9"/>
    <w:rsid w:val="0E0F1749"/>
    <w:rsid w:val="0E103B2E"/>
    <w:rsid w:val="0E147F5D"/>
    <w:rsid w:val="0E200AE9"/>
    <w:rsid w:val="0E5B090F"/>
    <w:rsid w:val="0E713039"/>
    <w:rsid w:val="0E975B83"/>
    <w:rsid w:val="0EFB2A8B"/>
    <w:rsid w:val="0F00462F"/>
    <w:rsid w:val="0F4A40B0"/>
    <w:rsid w:val="0F56745C"/>
    <w:rsid w:val="0F95455A"/>
    <w:rsid w:val="0F964F69"/>
    <w:rsid w:val="0F9B7E21"/>
    <w:rsid w:val="0FA74CB9"/>
    <w:rsid w:val="0FA76D4B"/>
    <w:rsid w:val="0FED1C74"/>
    <w:rsid w:val="0FEE1D9F"/>
    <w:rsid w:val="10304397"/>
    <w:rsid w:val="10477AB6"/>
    <w:rsid w:val="104B0A3D"/>
    <w:rsid w:val="10560892"/>
    <w:rsid w:val="10A3734F"/>
    <w:rsid w:val="10A3793A"/>
    <w:rsid w:val="10B1451D"/>
    <w:rsid w:val="10C96A3D"/>
    <w:rsid w:val="10D56BFF"/>
    <w:rsid w:val="10D7558F"/>
    <w:rsid w:val="10ED53A3"/>
    <w:rsid w:val="10F15B46"/>
    <w:rsid w:val="11143882"/>
    <w:rsid w:val="111E51CD"/>
    <w:rsid w:val="114429B1"/>
    <w:rsid w:val="11571A01"/>
    <w:rsid w:val="115D5D19"/>
    <w:rsid w:val="116956E8"/>
    <w:rsid w:val="116E5C05"/>
    <w:rsid w:val="119975E6"/>
    <w:rsid w:val="11B54A14"/>
    <w:rsid w:val="11B555E3"/>
    <w:rsid w:val="11FB453F"/>
    <w:rsid w:val="120E2C95"/>
    <w:rsid w:val="12413694"/>
    <w:rsid w:val="12557B9D"/>
    <w:rsid w:val="125813C6"/>
    <w:rsid w:val="127D4D14"/>
    <w:rsid w:val="12EF1D14"/>
    <w:rsid w:val="1306035B"/>
    <w:rsid w:val="131C0120"/>
    <w:rsid w:val="13347D6C"/>
    <w:rsid w:val="1339095B"/>
    <w:rsid w:val="134A50F6"/>
    <w:rsid w:val="1355293B"/>
    <w:rsid w:val="13AC0A7F"/>
    <w:rsid w:val="13C660C1"/>
    <w:rsid w:val="13E20D0E"/>
    <w:rsid w:val="141F3042"/>
    <w:rsid w:val="14435FB2"/>
    <w:rsid w:val="147352A6"/>
    <w:rsid w:val="147F73D4"/>
    <w:rsid w:val="149156DA"/>
    <w:rsid w:val="14C36162"/>
    <w:rsid w:val="14DB6530"/>
    <w:rsid w:val="14DD571E"/>
    <w:rsid w:val="14E1201E"/>
    <w:rsid w:val="14EC230C"/>
    <w:rsid w:val="14FC3D3F"/>
    <w:rsid w:val="152C720E"/>
    <w:rsid w:val="15502B44"/>
    <w:rsid w:val="15B0270B"/>
    <w:rsid w:val="15D62E11"/>
    <w:rsid w:val="15E34C4A"/>
    <w:rsid w:val="160B4DE0"/>
    <w:rsid w:val="161179A7"/>
    <w:rsid w:val="16141DF1"/>
    <w:rsid w:val="163368C0"/>
    <w:rsid w:val="164B76F9"/>
    <w:rsid w:val="1661730A"/>
    <w:rsid w:val="167F5408"/>
    <w:rsid w:val="168121C6"/>
    <w:rsid w:val="16B67E2E"/>
    <w:rsid w:val="16BA3B8D"/>
    <w:rsid w:val="16C30031"/>
    <w:rsid w:val="16D373E2"/>
    <w:rsid w:val="16D51E73"/>
    <w:rsid w:val="170E18E1"/>
    <w:rsid w:val="171D4598"/>
    <w:rsid w:val="171E73B9"/>
    <w:rsid w:val="17480112"/>
    <w:rsid w:val="17487C93"/>
    <w:rsid w:val="174E56B4"/>
    <w:rsid w:val="17751D02"/>
    <w:rsid w:val="17766C48"/>
    <w:rsid w:val="178D1E2B"/>
    <w:rsid w:val="17A64466"/>
    <w:rsid w:val="17FE46F6"/>
    <w:rsid w:val="17FE4A8D"/>
    <w:rsid w:val="180B674F"/>
    <w:rsid w:val="1835144B"/>
    <w:rsid w:val="184274EC"/>
    <w:rsid w:val="184A08DE"/>
    <w:rsid w:val="18513FAD"/>
    <w:rsid w:val="18756484"/>
    <w:rsid w:val="189F6A61"/>
    <w:rsid w:val="18A2447E"/>
    <w:rsid w:val="18A62FD6"/>
    <w:rsid w:val="18D8528B"/>
    <w:rsid w:val="18E21ABA"/>
    <w:rsid w:val="18E35EDF"/>
    <w:rsid w:val="190004B4"/>
    <w:rsid w:val="190F735C"/>
    <w:rsid w:val="1918542A"/>
    <w:rsid w:val="192247FB"/>
    <w:rsid w:val="192A7A76"/>
    <w:rsid w:val="193B0232"/>
    <w:rsid w:val="19550874"/>
    <w:rsid w:val="196B0C16"/>
    <w:rsid w:val="19973FAC"/>
    <w:rsid w:val="19DB5CB9"/>
    <w:rsid w:val="19E54FE8"/>
    <w:rsid w:val="19F42E3B"/>
    <w:rsid w:val="19FE48AC"/>
    <w:rsid w:val="1A167283"/>
    <w:rsid w:val="1A1F50AD"/>
    <w:rsid w:val="1A2A3ED6"/>
    <w:rsid w:val="1A6D0F36"/>
    <w:rsid w:val="1A7E1E7C"/>
    <w:rsid w:val="1ACF3083"/>
    <w:rsid w:val="1AD45518"/>
    <w:rsid w:val="1AFD19AB"/>
    <w:rsid w:val="1B05645E"/>
    <w:rsid w:val="1B074673"/>
    <w:rsid w:val="1B167875"/>
    <w:rsid w:val="1B284D48"/>
    <w:rsid w:val="1B5F65E5"/>
    <w:rsid w:val="1B7539A1"/>
    <w:rsid w:val="1B8537FB"/>
    <w:rsid w:val="1B8B39A2"/>
    <w:rsid w:val="1BA05BC9"/>
    <w:rsid w:val="1BDE4DD4"/>
    <w:rsid w:val="1BE60B0A"/>
    <w:rsid w:val="1BE73906"/>
    <w:rsid w:val="1BFC11F5"/>
    <w:rsid w:val="1C187644"/>
    <w:rsid w:val="1C211ADE"/>
    <w:rsid w:val="1C345DA5"/>
    <w:rsid w:val="1C615B9C"/>
    <w:rsid w:val="1CB311C5"/>
    <w:rsid w:val="1CB40473"/>
    <w:rsid w:val="1CCD7219"/>
    <w:rsid w:val="1CDA1FC5"/>
    <w:rsid w:val="1CE819CE"/>
    <w:rsid w:val="1CF5135A"/>
    <w:rsid w:val="1D3B40F8"/>
    <w:rsid w:val="1D4110F7"/>
    <w:rsid w:val="1D437361"/>
    <w:rsid w:val="1D7E7319"/>
    <w:rsid w:val="1D8263AC"/>
    <w:rsid w:val="1DB00214"/>
    <w:rsid w:val="1DD678F3"/>
    <w:rsid w:val="1DD973E1"/>
    <w:rsid w:val="1DE00B9B"/>
    <w:rsid w:val="1DF51C5D"/>
    <w:rsid w:val="1E0C698A"/>
    <w:rsid w:val="1E5529DB"/>
    <w:rsid w:val="1E660EA8"/>
    <w:rsid w:val="1E9B1753"/>
    <w:rsid w:val="1EB178B6"/>
    <w:rsid w:val="1EC809DB"/>
    <w:rsid w:val="1EC950F1"/>
    <w:rsid w:val="1ECB50D6"/>
    <w:rsid w:val="1ED56E58"/>
    <w:rsid w:val="1ED75EBD"/>
    <w:rsid w:val="1EDC767F"/>
    <w:rsid w:val="1EE21C50"/>
    <w:rsid w:val="1EEA6814"/>
    <w:rsid w:val="1EF93BE8"/>
    <w:rsid w:val="1EFF3E03"/>
    <w:rsid w:val="1F665C58"/>
    <w:rsid w:val="1F6A262F"/>
    <w:rsid w:val="1F784E33"/>
    <w:rsid w:val="1FA01395"/>
    <w:rsid w:val="1FA54AD2"/>
    <w:rsid w:val="1FB31B36"/>
    <w:rsid w:val="1FB757FE"/>
    <w:rsid w:val="1FDA0448"/>
    <w:rsid w:val="1FF11DE7"/>
    <w:rsid w:val="2007051C"/>
    <w:rsid w:val="20142881"/>
    <w:rsid w:val="201B6190"/>
    <w:rsid w:val="202956D5"/>
    <w:rsid w:val="204B50CB"/>
    <w:rsid w:val="20A13DFB"/>
    <w:rsid w:val="20A8256E"/>
    <w:rsid w:val="20BB67D7"/>
    <w:rsid w:val="20CB3F2D"/>
    <w:rsid w:val="20D03FFA"/>
    <w:rsid w:val="20FC3C85"/>
    <w:rsid w:val="21176377"/>
    <w:rsid w:val="2158099E"/>
    <w:rsid w:val="215D5844"/>
    <w:rsid w:val="217E0FAF"/>
    <w:rsid w:val="2187092C"/>
    <w:rsid w:val="21C53534"/>
    <w:rsid w:val="21C54831"/>
    <w:rsid w:val="21C93940"/>
    <w:rsid w:val="21E91AA5"/>
    <w:rsid w:val="21EC770F"/>
    <w:rsid w:val="22260F68"/>
    <w:rsid w:val="22305865"/>
    <w:rsid w:val="227E4F7F"/>
    <w:rsid w:val="22856798"/>
    <w:rsid w:val="22A62E07"/>
    <w:rsid w:val="22C866CF"/>
    <w:rsid w:val="235620AA"/>
    <w:rsid w:val="23624274"/>
    <w:rsid w:val="23656354"/>
    <w:rsid w:val="236C5A40"/>
    <w:rsid w:val="238E7B53"/>
    <w:rsid w:val="23B2002A"/>
    <w:rsid w:val="23BB1348"/>
    <w:rsid w:val="23E67EEE"/>
    <w:rsid w:val="23E74337"/>
    <w:rsid w:val="23EC06EE"/>
    <w:rsid w:val="23F71FB1"/>
    <w:rsid w:val="24495D82"/>
    <w:rsid w:val="24517AC2"/>
    <w:rsid w:val="246C24C7"/>
    <w:rsid w:val="2490229D"/>
    <w:rsid w:val="24BE3E87"/>
    <w:rsid w:val="250462F2"/>
    <w:rsid w:val="25311E94"/>
    <w:rsid w:val="253B08C9"/>
    <w:rsid w:val="25495FB2"/>
    <w:rsid w:val="257148FD"/>
    <w:rsid w:val="25763F6A"/>
    <w:rsid w:val="257A14D4"/>
    <w:rsid w:val="25915232"/>
    <w:rsid w:val="25A80232"/>
    <w:rsid w:val="25B43E6C"/>
    <w:rsid w:val="25FA0E5B"/>
    <w:rsid w:val="26267A5A"/>
    <w:rsid w:val="2640763E"/>
    <w:rsid w:val="26410861"/>
    <w:rsid w:val="264A0ADC"/>
    <w:rsid w:val="26782832"/>
    <w:rsid w:val="2681761D"/>
    <w:rsid w:val="268ECCE7"/>
    <w:rsid w:val="269D233A"/>
    <w:rsid w:val="26C4117D"/>
    <w:rsid w:val="26C55077"/>
    <w:rsid w:val="26C67DCA"/>
    <w:rsid w:val="26D22FFA"/>
    <w:rsid w:val="277B7F45"/>
    <w:rsid w:val="279E0C94"/>
    <w:rsid w:val="27A46F3F"/>
    <w:rsid w:val="27B3298E"/>
    <w:rsid w:val="27C25739"/>
    <w:rsid w:val="27D04DEC"/>
    <w:rsid w:val="27D42F58"/>
    <w:rsid w:val="27DB768B"/>
    <w:rsid w:val="28205C76"/>
    <w:rsid w:val="28435B7F"/>
    <w:rsid w:val="28600B66"/>
    <w:rsid w:val="286605A5"/>
    <w:rsid w:val="28A052DD"/>
    <w:rsid w:val="28A83FC2"/>
    <w:rsid w:val="28DD7362"/>
    <w:rsid w:val="28E77B78"/>
    <w:rsid w:val="294009BC"/>
    <w:rsid w:val="297437D3"/>
    <w:rsid w:val="297E1138"/>
    <w:rsid w:val="29AD51F1"/>
    <w:rsid w:val="29DE78DA"/>
    <w:rsid w:val="29FF6359"/>
    <w:rsid w:val="2A2D2281"/>
    <w:rsid w:val="2A393165"/>
    <w:rsid w:val="2A3E5CE0"/>
    <w:rsid w:val="2A564B1A"/>
    <w:rsid w:val="2A59345D"/>
    <w:rsid w:val="2A8F0811"/>
    <w:rsid w:val="2ABA77D6"/>
    <w:rsid w:val="2AC361B8"/>
    <w:rsid w:val="2AD77BDD"/>
    <w:rsid w:val="2AE55060"/>
    <w:rsid w:val="2AF8028F"/>
    <w:rsid w:val="2B0F458A"/>
    <w:rsid w:val="2B14184F"/>
    <w:rsid w:val="2B1A7123"/>
    <w:rsid w:val="2B323216"/>
    <w:rsid w:val="2B5070C3"/>
    <w:rsid w:val="2B5349DD"/>
    <w:rsid w:val="2B5615F8"/>
    <w:rsid w:val="2B56490D"/>
    <w:rsid w:val="2B691AAF"/>
    <w:rsid w:val="2B960E47"/>
    <w:rsid w:val="2B9724D3"/>
    <w:rsid w:val="2BB01B2D"/>
    <w:rsid w:val="2BCE230D"/>
    <w:rsid w:val="2BD21092"/>
    <w:rsid w:val="2BD23359"/>
    <w:rsid w:val="2BDF56D0"/>
    <w:rsid w:val="2C4F302F"/>
    <w:rsid w:val="2C544974"/>
    <w:rsid w:val="2C5D01B4"/>
    <w:rsid w:val="2C8C386A"/>
    <w:rsid w:val="2C8F03EE"/>
    <w:rsid w:val="2D1113E7"/>
    <w:rsid w:val="2D204926"/>
    <w:rsid w:val="2D5E10AC"/>
    <w:rsid w:val="2D83307B"/>
    <w:rsid w:val="2D906714"/>
    <w:rsid w:val="2D92748D"/>
    <w:rsid w:val="2D9F2933"/>
    <w:rsid w:val="2DA33F06"/>
    <w:rsid w:val="2DAC49D4"/>
    <w:rsid w:val="2DD4561F"/>
    <w:rsid w:val="2DDE6AD5"/>
    <w:rsid w:val="2DFA0861"/>
    <w:rsid w:val="2E165FC8"/>
    <w:rsid w:val="2E59507C"/>
    <w:rsid w:val="2ECE6823"/>
    <w:rsid w:val="2F3D1AB7"/>
    <w:rsid w:val="2F534FBA"/>
    <w:rsid w:val="2F5770A3"/>
    <w:rsid w:val="2F736200"/>
    <w:rsid w:val="2FB31D1D"/>
    <w:rsid w:val="2FCB06FD"/>
    <w:rsid w:val="30192DDA"/>
    <w:rsid w:val="30246510"/>
    <w:rsid w:val="30461A18"/>
    <w:rsid w:val="30554803"/>
    <w:rsid w:val="30AC0E10"/>
    <w:rsid w:val="30BD1FF5"/>
    <w:rsid w:val="31274871"/>
    <w:rsid w:val="313679C0"/>
    <w:rsid w:val="31460E9D"/>
    <w:rsid w:val="317B7F9A"/>
    <w:rsid w:val="318A7926"/>
    <w:rsid w:val="318C2B0A"/>
    <w:rsid w:val="31A51C61"/>
    <w:rsid w:val="31B75E5E"/>
    <w:rsid w:val="31BA642B"/>
    <w:rsid w:val="31F23B4A"/>
    <w:rsid w:val="320203E0"/>
    <w:rsid w:val="320A5BC8"/>
    <w:rsid w:val="32173476"/>
    <w:rsid w:val="324F6073"/>
    <w:rsid w:val="32537B6B"/>
    <w:rsid w:val="32606106"/>
    <w:rsid w:val="327407B2"/>
    <w:rsid w:val="32B36A31"/>
    <w:rsid w:val="32D4359A"/>
    <w:rsid w:val="32E11127"/>
    <w:rsid w:val="32E23E52"/>
    <w:rsid w:val="32EA1BE4"/>
    <w:rsid w:val="32FF1C92"/>
    <w:rsid w:val="33304C98"/>
    <w:rsid w:val="335E5701"/>
    <w:rsid w:val="3372004D"/>
    <w:rsid w:val="33AC62D3"/>
    <w:rsid w:val="33D34422"/>
    <w:rsid w:val="33E50A3D"/>
    <w:rsid w:val="33E53A89"/>
    <w:rsid w:val="33F33CDC"/>
    <w:rsid w:val="34024521"/>
    <w:rsid w:val="341D063E"/>
    <w:rsid w:val="34331021"/>
    <w:rsid w:val="34514A9F"/>
    <w:rsid w:val="3470513B"/>
    <w:rsid w:val="349506EC"/>
    <w:rsid w:val="34A0224E"/>
    <w:rsid w:val="34B320EF"/>
    <w:rsid w:val="34C80492"/>
    <w:rsid w:val="34E330D7"/>
    <w:rsid w:val="34FD6A58"/>
    <w:rsid w:val="350C09FB"/>
    <w:rsid w:val="351029CA"/>
    <w:rsid w:val="3518408E"/>
    <w:rsid w:val="35197960"/>
    <w:rsid w:val="352A38BA"/>
    <w:rsid w:val="352C256E"/>
    <w:rsid w:val="35BD5C98"/>
    <w:rsid w:val="35C40BE4"/>
    <w:rsid w:val="35CA5416"/>
    <w:rsid w:val="35D752FB"/>
    <w:rsid w:val="35D955FB"/>
    <w:rsid w:val="35FF72CB"/>
    <w:rsid w:val="36270633"/>
    <w:rsid w:val="362C603B"/>
    <w:rsid w:val="363E3B94"/>
    <w:rsid w:val="36630B18"/>
    <w:rsid w:val="367F175C"/>
    <w:rsid w:val="36BA360D"/>
    <w:rsid w:val="36C30F3B"/>
    <w:rsid w:val="371A3554"/>
    <w:rsid w:val="37950843"/>
    <w:rsid w:val="37D25535"/>
    <w:rsid w:val="37DD3927"/>
    <w:rsid w:val="37DE0CE4"/>
    <w:rsid w:val="37E55200"/>
    <w:rsid w:val="381D615F"/>
    <w:rsid w:val="38644C48"/>
    <w:rsid w:val="38672597"/>
    <w:rsid w:val="386A039A"/>
    <w:rsid w:val="386D15A8"/>
    <w:rsid w:val="388A79CA"/>
    <w:rsid w:val="38903767"/>
    <w:rsid w:val="38980CA7"/>
    <w:rsid w:val="38B040A0"/>
    <w:rsid w:val="38B76B06"/>
    <w:rsid w:val="38D03EEF"/>
    <w:rsid w:val="38F97BF9"/>
    <w:rsid w:val="391E5B7E"/>
    <w:rsid w:val="393161D9"/>
    <w:rsid w:val="39B21616"/>
    <w:rsid w:val="39CC51A7"/>
    <w:rsid w:val="39D32B5B"/>
    <w:rsid w:val="39E4371E"/>
    <w:rsid w:val="3A403C81"/>
    <w:rsid w:val="3A45671E"/>
    <w:rsid w:val="3A5430B5"/>
    <w:rsid w:val="3A5663A7"/>
    <w:rsid w:val="3A727C12"/>
    <w:rsid w:val="3A8137CF"/>
    <w:rsid w:val="3A9C656E"/>
    <w:rsid w:val="3AA24AAD"/>
    <w:rsid w:val="3AA813B8"/>
    <w:rsid w:val="3AD938AF"/>
    <w:rsid w:val="3B1C7B5D"/>
    <w:rsid w:val="3B306F8A"/>
    <w:rsid w:val="3B372056"/>
    <w:rsid w:val="3B462AB3"/>
    <w:rsid w:val="3B4E1513"/>
    <w:rsid w:val="3B5D2578"/>
    <w:rsid w:val="3B822F42"/>
    <w:rsid w:val="3BB816AE"/>
    <w:rsid w:val="3BBB0DE7"/>
    <w:rsid w:val="3BC018CE"/>
    <w:rsid w:val="3BE46204"/>
    <w:rsid w:val="3BF22D88"/>
    <w:rsid w:val="3C0975AF"/>
    <w:rsid w:val="3C131646"/>
    <w:rsid w:val="3C30194D"/>
    <w:rsid w:val="3C512568"/>
    <w:rsid w:val="3C7F1922"/>
    <w:rsid w:val="3C845AD4"/>
    <w:rsid w:val="3C8D799B"/>
    <w:rsid w:val="3CAE04D4"/>
    <w:rsid w:val="3CC166C6"/>
    <w:rsid w:val="3CF5085A"/>
    <w:rsid w:val="3CFB4E8F"/>
    <w:rsid w:val="3D0111BA"/>
    <w:rsid w:val="3D0B54D4"/>
    <w:rsid w:val="3D2F437F"/>
    <w:rsid w:val="3D620AEC"/>
    <w:rsid w:val="3D9A0411"/>
    <w:rsid w:val="3DDA1A96"/>
    <w:rsid w:val="3DF142FD"/>
    <w:rsid w:val="3DF23BD4"/>
    <w:rsid w:val="3DFA1AB2"/>
    <w:rsid w:val="3E144DBF"/>
    <w:rsid w:val="3EC2362E"/>
    <w:rsid w:val="3ED441DB"/>
    <w:rsid w:val="3EFD29B5"/>
    <w:rsid w:val="3F71799C"/>
    <w:rsid w:val="3F953DF0"/>
    <w:rsid w:val="3F9A3777"/>
    <w:rsid w:val="3FA946A4"/>
    <w:rsid w:val="3FAF085F"/>
    <w:rsid w:val="3FB87B34"/>
    <w:rsid w:val="3FBE2EAB"/>
    <w:rsid w:val="3FDF5D8B"/>
    <w:rsid w:val="400537F2"/>
    <w:rsid w:val="40162926"/>
    <w:rsid w:val="4043537E"/>
    <w:rsid w:val="404D4317"/>
    <w:rsid w:val="4058091B"/>
    <w:rsid w:val="408F025F"/>
    <w:rsid w:val="408F7B93"/>
    <w:rsid w:val="40ED50EB"/>
    <w:rsid w:val="412A2DE8"/>
    <w:rsid w:val="412C7A19"/>
    <w:rsid w:val="41552181"/>
    <w:rsid w:val="419023B2"/>
    <w:rsid w:val="4195273E"/>
    <w:rsid w:val="41985B8A"/>
    <w:rsid w:val="41E22AA9"/>
    <w:rsid w:val="421637A2"/>
    <w:rsid w:val="425B525A"/>
    <w:rsid w:val="42A44AC5"/>
    <w:rsid w:val="42BC2D5B"/>
    <w:rsid w:val="42FC2A34"/>
    <w:rsid w:val="431F14DC"/>
    <w:rsid w:val="434D75B0"/>
    <w:rsid w:val="437331C5"/>
    <w:rsid w:val="438C5904"/>
    <w:rsid w:val="43AF4E51"/>
    <w:rsid w:val="440B099A"/>
    <w:rsid w:val="44456047"/>
    <w:rsid w:val="444724C3"/>
    <w:rsid w:val="444E3787"/>
    <w:rsid w:val="446B447F"/>
    <w:rsid w:val="44734181"/>
    <w:rsid w:val="44786AF5"/>
    <w:rsid w:val="447D6B8A"/>
    <w:rsid w:val="44810A95"/>
    <w:rsid w:val="44C656E9"/>
    <w:rsid w:val="450A7A8A"/>
    <w:rsid w:val="451A7D67"/>
    <w:rsid w:val="452712C1"/>
    <w:rsid w:val="452A2D40"/>
    <w:rsid w:val="45484D30"/>
    <w:rsid w:val="455370E8"/>
    <w:rsid w:val="455F4CA1"/>
    <w:rsid w:val="45711DC0"/>
    <w:rsid w:val="459C2230"/>
    <w:rsid w:val="45AB60FB"/>
    <w:rsid w:val="45AB6868"/>
    <w:rsid w:val="45F817D7"/>
    <w:rsid w:val="46155BCE"/>
    <w:rsid w:val="46610899"/>
    <w:rsid w:val="46936562"/>
    <w:rsid w:val="46D563F2"/>
    <w:rsid w:val="46E346EA"/>
    <w:rsid w:val="472A51C3"/>
    <w:rsid w:val="47327261"/>
    <w:rsid w:val="475720CA"/>
    <w:rsid w:val="47B44CF5"/>
    <w:rsid w:val="47D1378B"/>
    <w:rsid w:val="480E697B"/>
    <w:rsid w:val="481F4627"/>
    <w:rsid w:val="482350FB"/>
    <w:rsid w:val="4831629B"/>
    <w:rsid w:val="483A7313"/>
    <w:rsid w:val="48515D74"/>
    <w:rsid w:val="485355B6"/>
    <w:rsid w:val="487D07B7"/>
    <w:rsid w:val="48800121"/>
    <w:rsid w:val="48A823C1"/>
    <w:rsid w:val="48AE4E97"/>
    <w:rsid w:val="48BD1F11"/>
    <w:rsid w:val="48CE3BFA"/>
    <w:rsid w:val="49632629"/>
    <w:rsid w:val="49651CD2"/>
    <w:rsid w:val="49A040B9"/>
    <w:rsid w:val="49B660D4"/>
    <w:rsid w:val="49BA6700"/>
    <w:rsid w:val="49C41EEE"/>
    <w:rsid w:val="49CB1B43"/>
    <w:rsid w:val="4A5D2FAF"/>
    <w:rsid w:val="4A5F692B"/>
    <w:rsid w:val="4A9A4319"/>
    <w:rsid w:val="4AAA389B"/>
    <w:rsid w:val="4AC71646"/>
    <w:rsid w:val="4AEB13D7"/>
    <w:rsid w:val="4AFD148E"/>
    <w:rsid w:val="4B137ED7"/>
    <w:rsid w:val="4B260398"/>
    <w:rsid w:val="4B7C201B"/>
    <w:rsid w:val="4C0C54A4"/>
    <w:rsid w:val="4C1A24F2"/>
    <w:rsid w:val="4C446F89"/>
    <w:rsid w:val="4C8A4722"/>
    <w:rsid w:val="4CD13C7C"/>
    <w:rsid w:val="4CDF502C"/>
    <w:rsid w:val="4CF87B3F"/>
    <w:rsid w:val="4D162412"/>
    <w:rsid w:val="4D340363"/>
    <w:rsid w:val="4D4A09B2"/>
    <w:rsid w:val="4D796B65"/>
    <w:rsid w:val="4DA2076A"/>
    <w:rsid w:val="4DD931ED"/>
    <w:rsid w:val="4DDA341C"/>
    <w:rsid w:val="4E054491"/>
    <w:rsid w:val="4E193D8B"/>
    <w:rsid w:val="4E3126EA"/>
    <w:rsid w:val="4E8B2DBA"/>
    <w:rsid w:val="4E96654E"/>
    <w:rsid w:val="4EB23440"/>
    <w:rsid w:val="4EBB2894"/>
    <w:rsid w:val="4ED013F0"/>
    <w:rsid w:val="4EE30DA5"/>
    <w:rsid w:val="4EF9012F"/>
    <w:rsid w:val="4F0857E0"/>
    <w:rsid w:val="4F4579BA"/>
    <w:rsid w:val="4F4C3148"/>
    <w:rsid w:val="4F616E7F"/>
    <w:rsid w:val="4F6676CA"/>
    <w:rsid w:val="4F710E1B"/>
    <w:rsid w:val="4F801D73"/>
    <w:rsid w:val="4F863C52"/>
    <w:rsid w:val="4F880CC4"/>
    <w:rsid w:val="4FED6C1F"/>
    <w:rsid w:val="500463D5"/>
    <w:rsid w:val="50C204D8"/>
    <w:rsid w:val="50CA043D"/>
    <w:rsid w:val="50D80CC7"/>
    <w:rsid w:val="50E66D2E"/>
    <w:rsid w:val="50F9379B"/>
    <w:rsid w:val="50FA2E24"/>
    <w:rsid w:val="51141173"/>
    <w:rsid w:val="51465EDE"/>
    <w:rsid w:val="516B13E1"/>
    <w:rsid w:val="51CC6774"/>
    <w:rsid w:val="51E9366A"/>
    <w:rsid w:val="51F85F6D"/>
    <w:rsid w:val="52021367"/>
    <w:rsid w:val="52033137"/>
    <w:rsid w:val="522D765F"/>
    <w:rsid w:val="524D5F42"/>
    <w:rsid w:val="527253F9"/>
    <w:rsid w:val="529973E7"/>
    <w:rsid w:val="52A92E95"/>
    <w:rsid w:val="52B258FA"/>
    <w:rsid w:val="52C126BC"/>
    <w:rsid w:val="52C473BB"/>
    <w:rsid w:val="52D32445"/>
    <w:rsid w:val="52F03850"/>
    <w:rsid w:val="532000FC"/>
    <w:rsid w:val="53711E3B"/>
    <w:rsid w:val="53794EE4"/>
    <w:rsid w:val="537A41D7"/>
    <w:rsid w:val="53FB57B4"/>
    <w:rsid w:val="54221E77"/>
    <w:rsid w:val="54344ED7"/>
    <w:rsid w:val="54A86561"/>
    <w:rsid w:val="54CA55CD"/>
    <w:rsid w:val="54CB12F5"/>
    <w:rsid w:val="54E663D0"/>
    <w:rsid w:val="54E875CB"/>
    <w:rsid w:val="54E91972"/>
    <w:rsid w:val="550870D0"/>
    <w:rsid w:val="552C31FC"/>
    <w:rsid w:val="55455835"/>
    <w:rsid w:val="55460092"/>
    <w:rsid w:val="555C756B"/>
    <w:rsid w:val="55657E06"/>
    <w:rsid w:val="558B40AC"/>
    <w:rsid w:val="55A963BC"/>
    <w:rsid w:val="55B03AA7"/>
    <w:rsid w:val="55B76C77"/>
    <w:rsid w:val="55D07330"/>
    <w:rsid w:val="560F143B"/>
    <w:rsid w:val="56192FEB"/>
    <w:rsid w:val="561E122B"/>
    <w:rsid w:val="564B6FCB"/>
    <w:rsid w:val="569F2A2D"/>
    <w:rsid w:val="56A85F12"/>
    <w:rsid w:val="56E02DD9"/>
    <w:rsid w:val="56E256F1"/>
    <w:rsid w:val="571F3B9F"/>
    <w:rsid w:val="573524E8"/>
    <w:rsid w:val="578511C9"/>
    <w:rsid w:val="57A35304"/>
    <w:rsid w:val="57EB3897"/>
    <w:rsid w:val="57FB2995"/>
    <w:rsid w:val="5804571A"/>
    <w:rsid w:val="582D028C"/>
    <w:rsid w:val="586355FC"/>
    <w:rsid w:val="58815C65"/>
    <w:rsid w:val="58C05A08"/>
    <w:rsid w:val="58D917B1"/>
    <w:rsid w:val="5908356E"/>
    <w:rsid w:val="595C5928"/>
    <w:rsid w:val="59824EC4"/>
    <w:rsid w:val="59895F5E"/>
    <w:rsid w:val="59B42ADB"/>
    <w:rsid w:val="59B6604B"/>
    <w:rsid w:val="59D565D7"/>
    <w:rsid w:val="59E06790"/>
    <w:rsid w:val="5A1E6BB9"/>
    <w:rsid w:val="5A260973"/>
    <w:rsid w:val="5A78011B"/>
    <w:rsid w:val="5ABF4DD0"/>
    <w:rsid w:val="5AD308BA"/>
    <w:rsid w:val="5AE5646D"/>
    <w:rsid w:val="5B055454"/>
    <w:rsid w:val="5B195252"/>
    <w:rsid w:val="5B20492A"/>
    <w:rsid w:val="5B2637FF"/>
    <w:rsid w:val="5B2C291E"/>
    <w:rsid w:val="5B382F7E"/>
    <w:rsid w:val="5B661D32"/>
    <w:rsid w:val="5B754864"/>
    <w:rsid w:val="5B7F75ED"/>
    <w:rsid w:val="5B9448E0"/>
    <w:rsid w:val="5B9556D7"/>
    <w:rsid w:val="5B9D28A4"/>
    <w:rsid w:val="5BC43C58"/>
    <w:rsid w:val="5BF50752"/>
    <w:rsid w:val="5BFA53CF"/>
    <w:rsid w:val="5C1F53E5"/>
    <w:rsid w:val="5C3931C1"/>
    <w:rsid w:val="5C474A79"/>
    <w:rsid w:val="5C493B17"/>
    <w:rsid w:val="5CC25487"/>
    <w:rsid w:val="5D382969"/>
    <w:rsid w:val="5D463890"/>
    <w:rsid w:val="5D7B1787"/>
    <w:rsid w:val="5E0F4E17"/>
    <w:rsid w:val="5E172203"/>
    <w:rsid w:val="5E313C33"/>
    <w:rsid w:val="5E4B0272"/>
    <w:rsid w:val="5E5228DD"/>
    <w:rsid w:val="5E5D687A"/>
    <w:rsid w:val="5E6E1241"/>
    <w:rsid w:val="5E8E3441"/>
    <w:rsid w:val="5EAF4AD5"/>
    <w:rsid w:val="5EE87324"/>
    <w:rsid w:val="5F002EB9"/>
    <w:rsid w:val="5F124D16"/>
    <w:rsid w:val="5F701C7F"/>
    <w:rsid w:val="5F9D716C"/>
    <w:rsid w:val="5FBE3F2B"/>
    <w:rsid w:val="5FEF30F6"/>
    <w:rsid w:val="6000238C"/>
    <w:rsid w:val="604D731C"/>
    <w:rsid w:val="605E3AD6"/>
    <w:rsid w:val="607B7A2B"/>
    <w:rsid w:val="6097392B"/>
    <w:rsid w:val="60BE73CC"/>
    <w:rsid w:val="60EB3E19"/>
    <w:rsid w:val="61EA3A83"/>
    <w:rsid w:val="61F05DF2"/>
    <w:rsid w:val="62393C12"/>
    <w:rsid w:val="623B4C06"/>
    <w:rsid w:val="62786599"/>
    <w:rsid w:val="62A720FF"/>
    <w:rsid w:val="62DB4A56"/>
    <w:rsid w:val="62DE3BC6"/>
    <w:rsid w:val="62E9425E"/>
    <w:rsid w:val="62ED1A6F"/>
    <w:rsid w:val="62FB4B97"/>
    <w:rsid w:val="630D6C19"/>
    <w:rsid w:val="632145C8"/>
    <w:rsid w:val="63577E17"/>
    <w:rsid w:val="6384306F"/>
    <w:rsid w:val="63972408"/>
    <w:rsid w:val="639F4BDA"/>
    <w:rsid w:val="640D1D95"/>
    <w:rsid w:val="640F613B"/>
    <w:rsid w:val="64486E91"/>
    <w:rsid w:val="64530FCA"/>
    <w:rsid w:val="647A659D"/>
    <w:rsid w:val="64965EF8"/>
    <w:rsid w:val="64A96CCB"/>
    <w:rsid w:val="64C76D10"/>
    <w:rsid w:val="64E877AE"/>
    <w:rsid w:val="65122B9A"/>
    <w:rsid w:val="65180024"/>
    <w:rsid w:val="653826DF"/>
    <w:rsid w:val="653A3911"/>
    <w:rsid w:val="654E7BE1"/>
    <w:rsid w:val="656E70E5"/>
    <w:rsid w:val="656F66BB"/>
    <w:rsid w:val="65742F04"/>
    <w:rsid w:val="65897873"/>
    <w:rsid w:val="658B3245"/>
    <w:rsid w:val="659904FB"/>
    <w:rsid w:val="65CA5190"/>
    <w:rsid w:val="65D344E5"/>
    <w:rsid w:val="65E90AA1"/>
    <w:rsid w:val="66281452"/>
    <w:rsid w:val="662F4375"/>
    <w:rsid w:val="66423767"/>
    <w:rsid w:val="66582F4F"/>
    <w:rsid w:val="666C539C"/>
    <w:rsid w:val="66771D7F"/>
    <w:rsid w:val="668521AA"/>
    <w:rsid w:val="668847C4"/>
    <w:rsid w:val="6694040D"/>
    <w:rsid w:val="66A568EF"/>
    <w:rsid w:val="67287D1E"/>
    <w:rsid w:val="672D2980"/>
    <w:rsid w:val="67330108"/>
    <w:rsid w:val="67454B88"/>
    <w:rsid w:val="67475D8F"/>
    <w:rsid w:val="674939C6"/>
    <w:rsid w:val="67807707"/>
    <w:rsid w:val="678B0D04"/>
    <w:rsid w:val="67A179BC"/>
    <w:rsid w:val="67C76917"/>
    <w:rsid w:val="67CB1EAD"/>
    <w:rsid w:val="67D81F2D"/>
    <w:rsid w:val="67F80619"/>
    <w:rsid w:val="68111616"/>
    <w:rsid w:val="68441023"/>
    <w:rsid w:val="68492CBE"/>
    <w:rsid w:val="68621E75"/>
    <w:rsid w:val="686A1960"/>
    <w:rsid w:val="68800415"/>
    <w:rsid w:val="68BF1D0E"/>
    <w:rsid w:val="68C40B7C"/>
    <w:rsid w:val="68D42CD1"/>
    <w:rsid w:val="68EF6867"/>
    <w:rsid w:val="69044289"/>
    <w:rsid w:val="69431E31"/>
    <w:rsid w:val="694536D0"/>
    <w:rsid w:val="69953CA6"/>
    <w:rsid w:val="69A37AFC"/>
    <w:rsid w:val="69BC11A3"/>
    <w:rsid w:val="69C21D1C"/>
    <w:rsid w:val="69EE6281"/>
    <w:rsid w:val="69F25D36"/>
    <w:rsid w:val="6A134BDC"/>
    <w:rsid w:val="6A182517"/>
    <w:rsid w:val="6A1F3F49"/>
    <w:rsid w:val="6A6F2A43"/>
    <w:rsid w:val="6A8D052A"/>
    <w:rsid w:val="6A9B31EF"/>
    <w:rsid w:val="6AA747C0"/>
    <w:rsid w:val="6AAA5DE1"/>
    <w:rsid w:val="6AC200AA"/>
    <w:rsid w:val="6AC92F8B"/>
    <w:rsid w:val="6AE81992"/>
    <w:rsid w:val="6AEF2209"/>
    <w:rsid w:val="6AF2255A"/>
    <w:rsid w:val="6B0541E5"/>
    <w:rsid w:val="6B16350B"/>
    <w:rsid w:val="6B3D0364"/>
    <w:rsid w:val="6B447303"/>
    <w:rsid w:val="6B535829"/>
    <w:rsid w:val="6B723766"/>
    <w:rsid w:val="6BDF2A06"/>
    <w:rsid w:val="6BE652B2"/>
    <w:rsid w:val="6BFB2465"/>
    <w:rsid w:val="6C1B6401"/>
    <w:rsid w:val="6C216BDA"/>
    <w:rsid w:val="6C2A6555"/>
    <w:rsid w:val="6C3572D1"/>
    <w:rsid w:val="6C3A7DC0"/>
    <w:rsid w:val="6C477C74"/>
    <w:rsid w:val="6C6C54A8"/>
    <w:rsid w:val="6C902FAB"/>
    <w:rsid w:val="6CB02E6F"/>
    <w:rsid w:val="6CE92440"/>
    <w:rsid w:val="6D247286"/>
    <w:rsid w:val="6D811E78"/>
    <w:rsid w:val="6D9C5231"/>
    <w:rsid w:val="6DC3279E"/>
    <w:rsid w:val="6DF25F1A"/>
    <w:rsid w:val="6E007E6C"/>
    <w:rsid w:val="6E0B3553"/>
    <w:rsid w:val="6E59253F"/>
    <w:rsid w:val="6E5A7A79"/>
    <w:rsid w:val="6E9C1F7D"/>
    <w:rsid w:val="6EA66200"/>
    <w:rsid w:val="6EB65AEF"/>
    <w:rsid w:val="6EBA14FC"/>
    <w:rsid w:val="6EE17B82"/>
    <w:rsid w:val="6F096B87"/>
    <w:rsid w:val="6F0E281D"/>
    <w:rsid w:val="6F303910"/>
    <w:rsid w:val="6F3C6F2E"/>
    <w:rsid w:val="6F4C0241"/>
    <w:rsid w:val="6F534055"/>
    <w:rsid w:val="6F5E00F8"/>
    <w:rsid w:val="6F617440"/>
    <w:rsid w:val="6F6B3CDD"/>
    <w:rsid w:val="6F7A0754"/>
    <w:rsid w:val="6F802244"/>
    <w:rsid w:val="6F836EA2"/>
    <w:rsid w:val="6FBB7254"/>
    <w:rsid w:val="700F1EEC"/>
    <w:rsid w:val="702421EC"/>
    <w:rsid w:val="70323CA3"/>
    <w:rsid w:val="706C6E1C"/>
    <w:rsid w:val="706F4F60"/>
    <w:rsid w:val="708A7564"/>
    <w:rsid w:val="70D35FF3"/>
    <w:rsid w:val="70F97BEF"/>
    <w:rsid w:val="71056675"/>
    <w:rsid w:val="71217808"/>
    <w:rsid w:val="712B2073"/>
    <w:rsid w:val="714C32F8"/>
    <w:rsid w:val="716F3BDA"/>
    <w:rsid w:val="71A066EB"/>
    <w:rsid w:val="71A2371C"/>
    <w:rsid w:val="71B45343"/>
    <w:rsid w:val="71B53319"/>
    <w:rsid w:val="71F97F26"/>
    <w:rsid w:val="72057A5D"/>
    <w:rsid w:val="7233480E"/>
    <w:rsid w:val="72345A72"/>
    <w:rsid w:val="724B525A"/>
    <w:rsid w:val="72636EF9"/>
    <w:rsid w:val="727471A0"/>
    <w:rsid w:val="72933171"/>
    <w:rsid w:val="72AD27A3"/>
    <w:rsid w:val="72AF0BE6"/>
    <w:rsid w:val="72B17246"/>
    <w:rsid w:val="72CC32D2"/>
    <w:rsid w:val="72DB7CC0"/>
    <w:rsid w:val="72F0657E"/>
    <w:rsid w:val="72F677EE"/>
    <w:rsid w:val="72F938B1"/>
    <w:rsid w:val="73163614"/>
    <w:rsid w:val="732C13C8"/>
    <w:rsid w:val="73356E2F"/>
    <w:rsid w:val="733F20F9"/>
    <w:rsid w:val="734B7333"/>
    <w:rsid w:val="734F7AF0"/>
    <w:rsid w:val="73694C57"/>
    <w:rsid w:val="73790097"/>
    <w:rsid w:val="738D707D"/>
    <w:rsid w:val="739B01DE"/>
    <w:rsid w:val="73A26581"/>
    <w:rsid w:val="73D12139"/>
    <w:rsid w:val="73E3436D"/>
    <w:rsid w:val="73F74C1B"/>
    <w:rsid w:val="73FB406D"/>
    <w:rsid w:val="740327A1"/>
    <w:rsid w:val="7426378C"/>
    <w:rsid w:val="747F36ED"/>
    <w:rsid w:val="749361AD"/>
    <w:rsid w:val="74CA3652"/>
    <w:rsid w:val="74FE3C35"/>
    <w:rsid w:val="750C1783"/>
    <w:rsid w:val="75215A20"/>
    <w:rsid w:val="75284137"/>
    <w:rsid w:val="7533351C"/>
    <w:rsid w:val="75403A38"/>
    <w:rsid w:val="757C57BE"/>
    <w:rsid w:val="75986EAB"/>
    <w:rsid w:val="75A43985"/>
    <w:rsid w:val="75B5059E"/>
    <w:rsid w:val="7606053C"/>
    <w:rsid w:val="760C20EC"/>
    <w:rsid w:val="760F58FC"/>
    <w:rsid w:val="76132EED"/>
    <w:rsid w:val="76234F47"/>
    <w:rsid w:val="764B6827"/>
    <w:rsid w:val="76C437CA"/>
    <w:rsid w:val="76C71670"/>
    <w:rsid w:val="76C82230"/>
    <w:rsid w:val="76CB2AE3"/>
    <w:rsid w:val="772B6DDC"/>
    <w:rsid w:val="778843F2"/>
    <w:rsid w:val="77AB49A9"/>
    <w:rsid w:val="77CF4CF6"/>
    <w:rsid w:val="77E062F9"/>
    <w:rsid w:val="77E377CC"/>
    <w:rsid w:val="77EC3D62"/>
    <w:rsid w:val="77F70538"/>
    <w:rsid w:val="78271C50"/>
    <w:rsid w:val="78446BC0"/>
    <w:rsid w:val="78450507"/>
    <w:rsid w:val="78533A51"/>
    <w:rsid w:val="78563854"/>
    <w:rsid w:val="78826C44"/>
    <w:rsid w:val="78A7520D"/>
    <w:rsid w:val="78F83A46"/>
    <w:rsid w:val="78FA7AD7"/>
    <w:rsid w:val="78FD3560"/>
    <w:rsid w:val="79154F49"/>
    <w:rsid w:val="791657D0"/>
    <w:rsid w:val="791F32F7"/>
    <w:rsid w:val="79216700"/>
    <w:rsid w:val="792B0267"/>
    <w:rsid w:val="793A0D98"/>
    <w:rsid w:val="795D1717"/>
    <w:rsid w:val="79743B4E"/>
    <w:rsid w:val="798668EE"/>
    <w:rsid w:val="79A32170"/>
    <w:rsid w:val="79B36168"/>
    <w:rsid w:val="79B64076"/>
    <w:rsid w:val="79BB3809"/>
    <w:rsid w:val="79BE1DD4"/>
    <w:rsid w:val="79CF3B35"/>
    <w:rsid w:val="79D064AC"/>
    <w:rsid w:val="79EB6152"/>
    <w:rsid w:val="7A1C166A"/>
    <w:rsid w:val="7A284AEE"/>
    <w:rsid w:val="7A530F40"/>
    <w:rsid w:val="7A5633C8"/>
    <w:rsid w:val="7A865FFF"/>
    <w:rsid w:val="7A895431"/>
    <w:rsid w:val="7A9D4EF3"/>
    <w:rsid w:val="7AB70DF5"/>
    <w:rsid w:val="7ABF7835"/>
    <w:rsid w:val="7B0462FB"/>
    <w:rsid w:val="7B105840"/>
    <w:rsid w:val="7B2F04FE"/>
    <w:rsid w:val="7B4C2D7A"/>
    <w:rsid w:val="7B5372C9"/>
    <w:rsid w:val="7B915EA9"/>
    <w:rsid w:val="7BB60F1E"/>
    <w:rsid w:val="7BE32DC8"/>
    <w:rsid w:val="7BF928B8"/>
    <w:rsid w:val="7C120319"/>
    <w:rsid w:val="7C373A8B"/>
    <w:rsid w:val="7C3E5BBE"/>
    <w:rsid w:val="7C48010B"/>
    <w:rsid w:val="7C5E158C"/>
    <w:rsid w:val="7C87516E"/>
    <w:rsid w:val="7CC0644F"/>
    <w:rsid w:val="7CCB393D"/>
    <w:rsid w:val="7CE828AF"/>
    <w:rsid w:val="7CE87237"/>
    <w:rsid w:val="7CEE7E59"/>
    <w:rsid w:val="7CF603F4"/>
    <w:rsid w:val="7D033D55"/>
    <w:rsid w:val="7D0A50EB"/>
    <w:rsid w:val="7D0B2B16"/>
    <w:rsid w:val="7D21741B"/>
    <w:rsid w:val="7D2D5311"/>
    <w:rsid w:val="7D456E5C"/>
    <w:rsid w:val="7D602EB0"/>
    <w:rsid w:val="7D622D63"/>
    <w:rsid w:val="7D9F13C0"/>
    <w:rsid w:val="7DA427D7"/>
    <w:rsid w:val="7DE90EF1"/>
    <w:rsid w:val="7DEF0324"/>
    <w:rsid w:val="7DEF7477"/>
    <w:rsid w:val="7E1615DC"/>
    <w:rsid w:val="7E2F690B"/>
    <w:rsid w:val="7E536168"/>
    <w:rsid w:val="7E8110DB"/>
    <w:rsid w:val="7E925F9B"/>
    <w:rsid w:val="7EA47312"/>
    <w:rsid w:val="7F0614EB"/>
    <w:rsid w:val="7F0A77A6"/>
    <w:rsid w:val="7F6E1773"/>
    <w:rsid w:val="7FBB4867"/>
    <w:rsid w:val="7FBC3447"/>
    <w:rsid w:val="7FD124F5"/>
    <w:rsid w:val="7FD54C6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 w:type="paragraph" w:customStyle="1" w:styleId="34">
    <w:name w:val="CR Cover Page"/>
    <w:qFormat/>
    <w:uiPriority w:val="0"/>
    <w:pPr>
      <w:spacing w:after="120" w:line="240" w:lineRule="auto"/>
    </w:pPr>
    <w:rPr>
      <w:rFonts w:ascii="Arial" w:hAnsi="Arial" w:eastAsia="Times New Roman" w:cs="Times New Roman"/>
      <w:sz w:val="20"/>
      <w:szCs w:val="20"/>
      <w:lang w:val="en-GB" w:eastAsia="en-US" w:bidi="ar-SA"/>
    </w:rPr>
  </w:style>
  <w:style w:type="paragraph" w:customStyle="1" w:styleId="3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36">
    <w:name w:val="3GPP_Header"/>
    <w:basedOn w:val="6"/>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1C0D6-D16D-4350-B2E1-A7DB68A55523}">
  <ds:schemaRefs/>
</ds:datastoreItem>
</file>

<file path=customXml/itemProps3.xml><?xml version="1.0" encoding="utf-8"?>
<ds:datastoreItem xmlns:ds="http://schemas.openxmlformats.org/officeDocument/2006/customXml" ds:itemID="{70756F89-1898-44BE-A987-0427741EA340}">
  <ds:schemaRefs/>
</ds:datastoreItem>
</file>

<file path=customXml/itemProps4.xml><?xml version="1.0" encoding="utf-8"?>
<ds:datastoreItem xmlns:ds="http://schemas.openxmlformats.org/officeDocument/2006/customXml" ds:itemID="{900C736C-38F3-4CF2-A589-D87BDB84521F}">
  <ds:schemaRefs/>
</ds:datastoreItem>
</file>

<file path=customXml/itemProps5.xml><?xml version="1.0" encoding="utf-8"?>
<ds:datastoreItem xmlns:ds="http://schemas.openxmlformats.org/officeDocument/2006/customXml" ds:itemID="{B7253312-9ED1-4BD4-AACF-2C181B9C77DB}">
  <ds:schemaRefs/>
</ds:datastoreItem>
</file>

<file path=customXml/itemProps6.xml><?xml version="1.0" encoding="utf-8"?>
<ds:datastoreItem xmlns:ds="http://schemas.openxmlformats.org/officeDocument/2006/customXml" ds:itemID="{9DA44A59-2E3C-44C4-90C6-A2F0A9AD11D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0</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2021-10-22T16:32:59Z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