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63535BF2"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sidR="00A07098">
        <w:rPr>
          <w:rFonts w:cs="Arial"/>
          <w:b/>
          <w:bCs/>
          <w:sz w:val="24"/>
          <w:szCs w:val="24"/>
        </w:rPr>
        <w:t>-</w:t>
      </w:r>
      <w:r w:rsidR="001B4A10">
        <w:rPr>
          <w:rFonts w:cs="Arial"/>
          <w:b/>
          <w:bCs/>
          <w:sz w:val="24"/>
          <w:szCs w:val="24"/>
        </w:rPr>
        <w:t>bis</w:t>
      </w:r>
      <w:r>
        <w:rPr>
          <w:b/>
          <w:i/>
          <w:noProof/>
          <w:sz w:val="28"/>
        </w:rPr>
        <w:tab/>
      </w:r>
      <w:r w:rsidR="00652F61">
        <w:rPr>
          <w:rFonts w:eastAsia="ＭＳ 明朝" w:hint="eastAsia"/>
          <w:b/>
          <w:i/>
          <w:noProof/>
          <w:sz w:val="28"/>
          <w:lang w:eastAsia="ja-JP"/>
        </w:rPr>
        <w:t>R3-25</w:t>
      </w:r>
      <w:r w:rsidR="00BD162A">
        <w:rPr>
          <w:rFonts w:eastAsia="ＭＳ 明朝" w:hint="eastAsia"/>
          <w:b/>
          <w:i/>
          <w:noProof/>
          <w:sz w:val="28"/>
          <w:lang w:eastAsia="ja-JP"/>
        </w:rPr>
        <w:t>7219</w:t>
      </w:r>
    </w:p>
    <w:p w14:paraId="2DA3CE2E" w14:textId="77777777" w:rsidR="001B4A10" w:rsidRPr="004C6888" w:rsidRDefault="001B4A10" w:rsidP="001B4A10">
      <w:pPr>
        <w:pStyle w:val="a4"/>
        <w:tabs>
          <w:tab w:val="right" w:pos="9639"/>
        </w:tabs>
        <w:rPr>
          <w:rFonts w:cs="Arial"/>
          <w:bCs/>
          <w:sz w:val="24"/>
          <w:szCs w:val="24"/>
        </w:rPr>
      </w:pPr>
      <w:bookmarkStart w:id="0" w:name="_Hlk160525530"/>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6BEBD" w:rsidR="001E41F3" w:rsidRPr="00410371" w:rsidRDefault="007856E5" w:rsidP="00E13F3D">
            <w:pPr>
              <w:pStyle w:val="CRCoverPage"/>
              <w:spacing w:after="0"/>
              <w:jc w:val="right"/>
              <w:rPr>
                <w:b/>
                <w:noProof/>
                <w:sz w:val="28"/>
                <w:lang w:eastAsia="zh-CN"/>
              </w:rPr>
            </w:pPr>
            <w:r>
              <w:rPr>
                <w:b/>
                <w:noProof/>
                <w:sz w:val="28"/>
              </w:rPr>
              <w:t>38.</w:t>
            </w:r>
            <w:r w:rsidR="000F24B3">
              <w:rPr>
                <w:rFonts w:eastAsia="ＭＳ 明朝" w:hint="eastAsia"/>
                <w:b/>
                <w:noProof/>
                <w:sz w:val="28"/>
                <w:lang w:eastAsia="ja-JP"/>
              </w:rPr>
              <w:t>3</w:t>
            </w:r>
            <w:r w:rsidR="00652F61">
              <w:rPr>
                <w:rFonts w:eastAsia="ＭＳ 明朝" w:hint="eastAsia"/>
                <w:b/>
                <w:noProof/>
                <w:sz w:val="28"/>
                <w:lang w:eastAsia="ja-JP"/>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475A" w:rsidR="001E41F3" w:rsidRPr="00410371" w:rsidRDefault="004D522E" w:rsidP="00547111">
            <w:pPr>
              <w:pStyle w:val="CRCoverPage"/>
              <w:spacing w:after="0"/>
              <w:rPr>
                <w:noProof/>
              </w:rPr>
            </w:pPr>
            <w:r w:rsidRPr="004D522E">
              <w:rPr>
                <w:b/>
                <w:noProof/>
                <w:sz w:val="28"/>
              </w:rPr>
              <w:t>&lt;CR#&gt;</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97FEE" w:rsidR="001E41F3" w:rsidRPr="00652F61" w:rsidRDefault="00652F61">
            <w:pPr>
              <w:pStyle w:val="CRCoverPage"/>
              <w:spacing w:after="0"/>
              <w:ind w:left="100"/>
              <w:rPr>
                <w:rFonts w:eastAsia="ＭＳ 明朝"/>
                <w:noProof/>
                <w:lang w:val="en-US" w:eastAsia="ja-JP"/>
              </w:rPr>
            </w:pPr>
            <w:r>
              <w:rPr>
                <w:rFonts w:eastAsia="ＭＳ 明朝" w:hint="eastAsia"/>
                <w:lang w:eastAsia="ja-JP"/>
              </w:rPr>
              <w:t xml:space="preserve">Early Data Forwarding for subsequent </w:t>
            </w:r>
            <w:r w:rsidR="00C27F8F">
              <w:rPr>
                <w:rFonts w:eastAsia="ＭＳ 明朝" w:hint="eastAsia"/>
                <w:lang w:eastAsia="ja-JP"/>
              </w:rPr>
              <w:t xml:space="preserve">inter-CU </w:t>
            </w:r>
            <w:r>
              <w:rPr>
                <w:rFonts w:eastAsia="ＭＳ 明朝" w:hint="eastAsia"/>
                <w:lang w:eastAsia="ja-JP"/>
              </w:rPr>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0DFE0" w:rsidR="001E41F3" w:rsidRPr="00652F61" w:rsidRDefault="001656A6">
            <w:pPr>
              <w:pStyle w:val="CRCoverPage"/>
              <w:spacing w:after="0"/>
              <w:ind w:left="100"/>
              <w:rPr>
                <w:rFonts w:eastAsia="ＭＳ 明朝" w:hint="eastAsia"/>
                <w:noProof/>
                <w:lang w:eastAsia="ja-JP"/>
              </w:rPr>
            </w:pPr>
            <w:r w:rsidRPr="001656A6">
              <w:rPr>
                <w:rFonts w:eastAsia="ＭＳ 明朝"/>
                <w:noProof/>
                <w:lang w:eastAsia="ja-JP"/>
              </w:rPr>
              <w:t>NEC, Huawei, Google, Jio Platforms, Qualcomm Inc, Nokia, Samsung</w:t>
            </w:r>
            <w:r w:rsidR="00F10FDB">
              <w:rPr>
                <w:rFonts w:eastAsia="ＭＳ 明朝" w:hint="eastAsia"/>
                <w:noProof/>
                <w:lang w:eastAsia="ja-JP"/>
              </w:rPr>
              <w:t>, Lenovo</w:t>
            </w:r>
            <w:r w:rsidR="00D904F8">
              <w:rPr>
                <w:rFonts w:eastAsia="ＭＳ 明朝" w:hint="eastAsia"/>
                <w:noProof/>
                <w:lang w:eastAsia="ja-JP"/>
              </w:rPr>
              <w:t>, CATT</w:t>
            </w:r>
            <w:r w:rsidR="009505B3">
              <w:rPr>
                <w:rFonts w:eastAsia="ＭＳ 明朝" w:hint="eastAsia"/>
                <w:noProof/>
                <w:lang w:eastAsia="ja-JP"/>
              </w:rPr>
              <w:t xml:space="preserve">, </w:t>
            </w:r>
            <w:r w:rsidR="009505B3" w:rsidRPr="009505B3">
              <w:rPr>
                <w:rFonts w:eastAsia="ＭＳ 明朝"/>
                <w:noProof/>
                <w:lang w:eastAsia="ja-JP"/>
              </w:rPr>
              <w:t>LG Electronics</w:t>
            </w:r>
            <w:r w:rsidR="00074910">
              <w:rPr>
                <w:rFonts w:eastAsia="ＭＳ 明朝" w:hint="eastAsia"/>
                <w:noProof/>
                <w:lang w:eastAsia="ja-JP"/>
              </w:rPr>
              <w:t>, Ericsson</w:t>
            </w:r>
            <w:r w:rsidR="00CA3798">
              <w:rPr>
                <w:rFonts w:eastAsia="ＭＳ 明朝" w:hint="eastAsia"/>
                <w:noProof/>
                <w:lang w:eastAsia="ja-JP"/>
              </w:rPr>
              <w:t>,</w:t>
            </w:r>
            <w:r w:rsidR="00BD162A">
              <w:rPr>
                <w:rFonts w:eastAsia="ＭＳ 明朝" w:hint="eastAsia"/>
                <w:noProof/>
                <w:lang w:eastAsia="ja-JP"/>
              </w:rPr>
              <w:t xml:space="preserve"> ZTE, 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E359EC">
            <w:pPr>
              <w:pStyle w:val="CRCoverPage"/>
              <w:spacing w:after="0"/>
              <w:ind w:left="100"/>
              <w:rPr>
                <w:noProof/>
              </w:rPr>
            </w:pPr>
            <w:fldSimple w:instr=" DOCPROPERTY  RelatedWis  \* MERGEFORMAT ">
              <w:r w:rsidR="007856E5" w:rsidRPr="00033253">
                <w:rPr>
                  <w:noProof/>
                </w:rPr>
                <w:t>NR_Mob_Ph4</w:t>
              </w:r>
              <w:r w:rsidR="007856E5">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15BF2" w:rsidR="00C81EB8" w:rsidRDefault="005B6475" w:rsidP="00C81EB8">
            <w:pPr>
              <w:pStyle w:val="CRCoverPage"/>
              <w:spacing w:after="0"/>
              <w:ind w:left="100"/>
            </w:pPr>
            <w:r>
              <w:t>2025-</w:t>
            </w:r>
            <w:r w:rsidR="00FE6784">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15F90D99" w:rsidR="00074A8D" w:rsidRDefault="00703853" w:rsidP="00074A8D">
            <w:pPr>
              <w:pStyle w:val="CRCoverPage"/>
              <w:spacing w:after="0"/>
              <w:ind w:left="100"/>
              <w:rPr>
                <w:rFonts w:eastAsia="ＭＳ 明朝"/>
                <w:lang w:eastAsia="ja-JP"/>
              </w:rPr>
            </w:pPr>
            <w:r>
              <w:rPr>
                <w:rFonts w:eastAsia="ＭＳ 明朝" w:hint="eastAsia"/>
                <w:lang w:eastAsia="ja-JP"/>
              </w:rPr>
              <w:t>Early data forwarding has been supported in inter-CU LTM.</w:t>
            </w:r>
          </w:p>
          <w:p w14:paraId="14D98E4D" w14:textId="0A4C2B86" w:rsidR="00703853" w:rsidRPr="00703853" w:rsidRDefault="00703853" w:rsidP="00074A8D">
            <w:pPr>
              <w:pStyle w:val="CRCoverPage"/>
              <w:spacing w:after="0"/>
              <w:ind w:left="100"/>
              <w:rPr>
                <w:rFonts w:eastAsia="ＭＳ 明朝"/>
                <w:lang w:eastAsia="ja-JP"/>
              </w:rPr>
            </w:pPr>
            <w:r>
              <w:rPr>
                <w:rFonts w:eastAsia="ＭＳ 明朝"/>
                <w:lang w:eastAsia="ja-JP"/>
              </w:rPr>
              <w:t>I</w:t>
            </w:r>
            <w:r>
              <w:rPr>
                <w:rFonts w:eastAsia="ＭＳ 明朝" w:hint="eastAsia"/>
                <w:lang w:eastAsia="ja-JP"/>
              </w:rPr>
              <w:t>t is however not clear if early data forwarding is also supported in subsequent inter-CU LTM.</w:t>
            </w:r>
          </w:p>
          <w:p w14:paraId="590EFDAC" w14:textId="5A76458C" w:rsidR="005D4125" w:rsidRPr="00703853" w:rsidRDefault="00703853" w:rsidP="00074A8D">
            <w:pPr>
              <w:pStyle w:val="CRCoverPage"/>
              <w:spacing w:after="0"/>
              <w:ind w:left="100"/>
              <w:rPr>
                <w:rFonts w:eastAsia="ＭＳ 明朝"/>
                <w:lang w:eastAsia="ja-JP"/>
              </w:rPr>
            </w:pPr>
            <w:r>
              <w:rPr>
                <w:rFonts w:eastAsia="ＭＳ 明朝"/>
                <w:lang w:eastAsia="ja-JP"/>
              </w:rPr>
              <w:t>I</w:t>
            </w:r>
            <w:r>
              <w:rPr>
                <w:rFonts w:eastAsia="ＭＳ 明朝" w:hint="eastAsia"/>
                <w:lang w:eastAsia="ja-JP"/>
              </w:rPr>
              <w:t xml:space="preserve">t is proposed to </w:t>
            </w:r>
            <w:r>
              <w:rPr>
                <w:rFonts w:eastAsia="ＭＳ 明朝"/>
                <w:lang w:eastAsia="ja-JP"/>
              </w:rPr>
              <w:t>clarify</w:t>
            </w:r>
            <w:r>
              <w:rPr>
                <w:rFonts w:eastAsia="ＭＳ 明朝" w:hint="eastAsia"/>
                <w:lang w:eastAsia="ja-JP"/>
              </w:rPr>
              <w:t xml:space="preserve"> and reflect in 38.300 stage 2 that early data forwarding is also supported in subsequent inter-CU LTM.</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77777777" w:rsidR="00231F4F" w:rsidRDefault="00231F4F">
            <w:pPr>
              <w:pStyle w:val="CRCoverPage"/>
              <w:spacing w:after="0"/>
              <w:ind w:left="100"/>
              <w:rPr>
                <w:rFonts w:eastAsia="ＭＳ 明朝"/>
                <w:lang w:eastAsia="ja-JP"/>
              </w:rPr>
            </w:pPr>
          </w:p>
          <w:p w14:paraId="519F5434" w14:textId="43951345" w:rsidR="00703853" w:rsidRPr="00703853" w:rsidRDefault="00703853">
            <w:pPr>
              <w:pStyle w:val="CRCoverPage"/>
              <w:spacing w:after="0"/>
              <w:ind w:left="100"/>
              <w:rPr>
                <w:rFonts w:eastAsia="ＭＳ 明朝"/>
                <w:lang w:eastAsia="ja-JP"/>
              </w:rPr>
            </w:pPr>
            <w:r>
              <w:rPr>
                <w:rFonts w:eastAsia="ＭＳ 明朝"/>
                <w:lang w:eastAsia="ja-JP"/>
              </w:rPr>
              <w:t>T</w:t>
            </w:r>
            <w:r>
              <w:rPr>
                <w:rFonts w:eastAsia="ＭＳ 明朝" w:hint="eastAsia"/>
                <w:lang w:eastAsia="ja-JP"/>
              </w:rPr>
              <w:t xml:space="preserve">o clarify that the step 9a (Early Status Transfer) </w:t>
            </w:r>
            <w:r>
              <w:rPr>
                <w:rFonts w:eastAsia="ＭＳ 明朝"/>
                <w:lang w:eastAsia="ja-JP"/>
              </w:rPr>
              <w:t>–</w:t>
            </w:r>
            <w:r>
              <w:rPr>
                <w:rFonts w:eastAsia="ＭＳ 明朝" w:hint="eastAsia"/>
                <w:lang w:eastAsia="ja-JP"/>
              </w:rPr>
              <w:t xml:space="preserve"> step 22 (UE Context Release) can be performed multiple time for subsequent LTM.</w:t>
            </w:r>
          </w:p>
          <w:p w14:paraId="6611B49C" w14:textId="77777777" w:rsidR="00703853" w:rsidRPr="00703853" w:rsidRDefault="00703853">
            <w:pPr>
              <w:pStyle w:val="CRCoverPage"/>
              <w:spacing w:after="0"/>
              <w:ind w:left="100"/>
              <w:rPr>
                <w:rFonts w:eastAsia="ＭＳ 明朝"/>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5D4125">
            <w:pPr>
              <w:pStyle w:val="CRCoverPage"/>
              <w:spacing w:after="0"/>
              <w:ind w:left="102"/>
            </w:pPr>
            <w:r w:rsidRPr="00231F4F">
              <w:t xml:space="preserve">Impact assessment towards the previous version of the specification (same release): </w:t>
            </w:r>
          </w:p>
          <w:p w14:paraId="4EDE933C" w14:textId="5DE8C9E2" w:rsidR="00231F4F" w:rsidRPr="00231F4F" w:rsidRDefault="00231F4F" w:rsidP="005D4125">
            <w:pPr>
              <w:pStyle w:val="CRCoverPage"/>
              <w:spacing w:after="0"/>
              <w:ind w:left="102"/>
            </w:pPr>
            <w:r w:rsidRPr="00231F4F">
              <w:t>This CR has impact</w:t>
            </w:r>
            <w:r w:rsidR="005D4125">
              <w:t xml:space="preserve"> </w:t>
            </w:r>
            <w:r w:rsidRPr="00231F4F">
              <w:t>with the previous version of the specification (same release)</w:t>
            </w:r>
            <w:r w:rsidR="00703853">
              <w:rPr>
                <w:rFonts w:eastAsia="ＭＳ 明朝" w:hint="eastAsia"/>
                <w:lang w:eastAsia="ja-JP"/>
              </w:rPr>
              <w:t>.</w:t>
            </w:r>
            <w:r w:rsidRPr="00231F4F">
              <w:t xml:space="preserve"> </w:t>
            </w:r>
          </w:p>
          <w:p w14:paraId="1A5B3B01" w14:textId="197E6B71" w:rsidR="00231F4F" w:rsidRPr="00703853" w:rsidRDefault="00231F4F" w:rsidP="005D4125">
            <w:pPr>
              <w:pStyle w:val="CRCoverPage"/>
              <w:spacing w:after="0"/>
              <w:ind w:left="102"/>
              <w:rPr>
                <w:rFonts w:eastAsia="ＭＳ 明朝"/>
                <w:lang w:eastAsia="ja-JP"/>
              </w:rPr>
            </w:pPr>
            <w:r w:rsidRPr="00231F4F">
              <w:t xml:space="preserve">This CR has </w:t>
            </w:r>
            <w:r w:rsidR="005D4125">
              <w:t>an</w:t>
            </w:r>
            <w:r w:rsidRPr="00231F4F">
              <w:t xml:space="preserve"> impact under functional</w:t>
            </w:r>
            <w:r w:rsidR="005D4125">
              <w:t xml:space="preserve"> </w:t>
            </w:r>
            <w:r w:rsidRPr="00231F4F">
              <w:t>point of view</w:t>
            </w:r>
            <w:r w:rsidR="00703853">
              <w:rPr>
                <w:rFonts w:eastAsia="ＭＳ 明朝" w:hint="eastAsia"/>
                <w:lang w:eastAsia="ja-JP"/>
              </w:rPr>
              <w:t>.</w:t>
            </w:r>
          </w:p>
          <w:p w14:paraId="6A67585C" w14:textId="19B5BB8F" w:rsidR="00231F4F" w:rsidRDefault="00231F4F" w:rsidP="005D4125">
            <w:pPr>
              <w:pStyle w:val="CRCoverPage"/>
              <w:spacing w:after="0"/>
              <w:ind w:left="102"/>
              <w:rPr>
                <w:rFonts w:eastAsia="ＭＳ 明朝"/>
                <w:lang w:eastAsia="ja-JP"/>
              </w:rPr>
            </w:pPr>
            <w:r w:rsidRPr="00231F4F">
              <w:t>The impact can</w:t>
            </w:r>
            <w:r w:rsidR="005D4125">
              <w:t xml:space="preserve"> </w:t>
            </w:r>
            <w:r w:rsidRPr="00231F4F">
              <w:t>be considered isolated</w:t>
            </w:r>
            <w:r w:rsidR="00703853">
              <w:rPr>
                <w:rFonts w:eastAsia="ＭＳ 明朝" w:hint="eastAsia"/>
                <w:lang w:eastAsia="ja-JP"/>
              </w:rPr>
              <w:t xml:space="preserve"> because it impacts only LTM.</w:t>
            </w:r>
          </w:p>
          <w:p w14:paraId="31C656EC" w14:textId="6F724E42" w:rsidR="00703853" w:rsidRPr="00703853" w:rsidRDefault="00703853" w:rsidP="005D4125">
            <w:pPr>
              <w:pStyle w:val="CRCoverPage"/>
              <w:spacing w:after="0"/>
              <w:ind w:left="102"/>
              <w:rPr>
                <w:rFonts w:eastAsia="ＭＳ 明朝"/>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ABA20" w:rsidR="001E41F3" w:rsidRPr="00703853" w:rsidRDefault="00703853">
            <w:pPr>
              <w:pStyle w:val="CRCoverPage"/>
              <w:spacing w:after="0"/>
              <w:ind w:left="100"/>
              <w:rPr>
                <w:rFonts w:eastAsia="ＭＳ 明朝"/>
                <w:lang w:eastAsia="ja-JP"/>
              </w:rPr>
            </w:pPr>
            <w:r>
              <w:rPr>
                <w:rFonts w:eastAsia="ＭＳ 明朝"/>
                <w:lang w:eastAsia="ja-JP"/>
              </w:rPr>
              <w:t>E</w:t>
            </w:r>
            <w:r>
              <w:rPr>
                <w:rFonts w:eastAsia="ＭＳ 明朝" w:hint="eastAsia"/>
                <w:lang w:eastAsia="ja-JP"/>
              </w:rPr>
              <w:t>arly data forwarding will not be supported in subsequent inter-CU LTM.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5F460" w:rsidR="001E41F3" w:rsidRDefault="00D70444">
            <w:pPr>
              <w:pStyle w:val="CRCoverPage"/>
              <w:spacing w:after="0"/>
              <w:ind w:left="100"/>
              <w:rPr>
                <w:noProof/>
              </w:rPr>
            </w:pPr>
            <w:r w:rsidRPr="00D70444">
              <w:rPr>
                <w:noProof/>
              </w:rPr>
              <w:t>9.2.3.5.2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581672" w:rsidR="001E41F3" w:rsidRPr="00E359EC" w:rsidRDefault="001E41F3">
            <w:pPr>
              <w:pStyle w:val="CRCoverPage"/>
              <w:spacing w:after="0"/>
              <w:ind w:left="100"/>
              <w:rPr>
                <w:rFonts w:eastAsia="ＭＳ 明朝"/>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02CE1DB9" w14:textId="77777777" w:rsidR="00D70444" w:rsidRPr="00D70444" w:rsidRDefault="00D70444" w:rsidP="00D70444">
      <w:pPr>
        <w:keepNext/>
        <w:keepLines/>
        <w:overflowPunct w:val="0"/>
        <w:autoSpaceDE w:val="0"/>
        <w:autoSpaceDN w:val="0"/>
        <w:adjustRightInd w:val="0"/>
        <w:spacing w:before="120"/>
        <w:ind w:left="200" w:hanging="200"/>
        <w:outlineLvl w:val="4"/>
        <w:rPr>
          <w:rFonts w:ascii="Arial" w:eastAsia="Times New Roman" w:hAnsi="Arial"/>
          <w:sz w:val="22"/>
          <w:lang w:eastAsia="zh-CN"/>
        </w:rPr>
      </w:pPr>
      <w:bookmarkStart w:id="2" w:name="OLE_LINK25"/>
      <w:bookmarkStart w:id="3" w:name="_Toc201700279"/>
      <w:r w:rsidRPr="00D70444">
        <w:rPr>
          <w:rFonts w:ascii="Arial" w:eastAsia="Times New Roman" w:hAnsi="Arial"/>
          <w:sz w:val="22"/>
          <w:lang w:eastAsia="zh-CN"/>
        </w:rPr>
        <w:t>9.2.3.5.2</w:t>
      </w:r>
      <w:r w:rsidRPr="00D70444">
        <w:rPr>
          <w:rFonts w:ascii="Arial" w:eastAsia="Times New Roman" w:hAnsi="Arial"/>
          <w:sz w:val="22"/>
          <w:lang w:eastAsia="zh-CN"/>
        </w:rPr>
        <w:tab/>
        <w:t>C-Plane Handling</w:t>
      </w:r>
      <w:bookmarkEnd w:id="3"/>
    </w:p>
    <w:p w14:paraId="3856F9BB" w14:textId="77777777" w:rsidR="00D70444" w:rsidRPr="00D70444" w:rsidRDefault="00D70444" w:rsidP="00D70444">
      <w:pPr>
        <w:overflowPunct w:val="0"/>
        <w:autoSpaceDE w:val="0"/>
        <w:autoSpaceDN w:val="0"/>
        <w:adjustRightInd w:val="0"/>
        <w:rPr>
          <w:rFonts w:eastAsia="Times New Roman"/>
          <w:b/>
          <w:lang w:eastAsia="zh-CN"/>
        </w:rPr>
      </w:pPr>
      <w:r w:rsidRPr="00D70444">
        <w:rPr>
          <w:rFonts w:eastAsia="Times New Roman"/>
          <w:lang w:eastAsia="zh-CN"/>
        </w:rPr>
        <w:t>Cell switch command is conveyed in a MAC CE, which contains the necessary information to perform the LTM cell switch.</w:t>
      </w:r>
    </w:p>
    <w:p w14:paraId="7BB74543" w14:textId="7D378C6C" w:rsidR="00D70444" w:rsidRPr="00BD162A" w:rsidRDefault="00D70444" w:rsidP="00D70444">
      <w:pPr>
        <w:overflowPunct w:val="0"/>
        <w:autoSpaceDE w:val="0"/>
        <w:autoSpaceDN w:val="0"/>
        <w:adjustRightInd w:val="0"/>
        <w:rPr>
          <w:rFonts w:eastAsia="ＭＳ 明朝"/>
          <w:lang w:eastAsia="ja-JP"/>
        </w:rPr>
      </w:pPr>
      <w:r w:rsidRPr="00D70444">
        <w:rPr>
          <w:rFonts w:eastAsia="Times New Roman"/>
          <w:lang w:eastAsia="zh-CN"/>
        </w:rPr>
        <w:t>The overall procedure for intra-</w:t>
      </w:r>
      <w:proofErr w:type="spellStart"/>
      <w:r w:rsidRPr="00D70444">
        <w:rPr>
          <w:rFonts w:eastAsia="Times New Roman"/>
          <w:lang w:eastAsia="zh-CN"/>
        </w:rPr>
        <w:t>gNB</w:t>
      </w:r>
      <w:proofErr w:type="spellEnd"/>
      <w:r w:rsidRPr="00D70444">
        <w:rPr>
          <w:rFonts w:eastAsia="Times New Roman"/>
          <w:lang w:eastAsia="zh-CN"/>
        </w:rPr>
        <w:t xml:space="preserve">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258C3480" w14:textId="79FA1049" w:rsidR="00D70444" w:rsidRPr="00BD162A" w:rsidRDefault="00D70444" w:rsidP="00D70444">
      <w:pPr>
        <w:overflowPunct w:val="0"/>
        <w:autoSpaceDE w:val="0"/>
        <w:autoSpaceDN w:val="0"/>
        <w:adjustRightInd w:val="0"/>
        <w:rPr>
          <w:rFonts w:eastAsia="ＭＳ 明朝"/>
          <w:lang w:eastAsia="ja-JP"/>
        </w:rPr>
      </w:pPr>
    </w:p>
    <w:p w14:paraId="6295BA9F" w14:textId="166DC463" w:rsidR="00D70444" w:rsidRDefault="00D70444" w:rsidP="00D70444">
      <w:pPr>
        <w:rPr>
          <w:b/>
          <w:bCs/>
          <w:noProof/>
          <w:color w:val="FF0000"/>
          <w:lang w:eastAsia="zh-CN"/>
        </w:rPr>
      </w:pPr>
      <w:r>
        <w:rPr>
          <w:rFonts w:eastAsia="Times New Roman"/>
          <w:b/>
          <w:bCs/>
          <w:noProof/>
          <w:color w:val="FF0000"/>
          <w:highlight w:val="yellow"/>
        </w:rPr>
        <w:t xml:space="preserve">&lt;&lt; </w:t>
      </w:r>
      <w:r>
        <w:rPr>
          <w:rFonts w:eastAsia="ＭＳ 明朝" w:hint="eastAsia"/>
          <w:b/>
          <w:bCs/>
          <w:noProof/>
          <w:color w:val="FF0000"/>
          <w:highlight w:val="yellow"/>
          <w:lang w:eastAsia="ja-JP"/>
        </w:rPr>
        <w:t>Skip unchanged part</w:t>
      </w:r>
      <w:r>
        <w:rPr>
          <w:rFonts w:eastAsia="Times New Roman"/>
          <w:b/>
          <w:bCs/>
          <w:noProof/>
          <w:color w:val="FF0000"/>
          <w:highlight w:val="yellow"/>
        </w:rPr>
        <w:t xml:space="preserve"> &gt;&gt;</w:t>
      </w:r>
    </w:p>
    <w:p w14:paraId="64DF0AFE" w14:textId="77777777" w:rsidR="00D70444" w:rsidRPr="00D70444" w:rsidRDefault="00D70444" w:rsidP="00D70444">
      <w:pPr>
        <w:overflowPunct w:val="0"/>
        <w:autoSpaceDE w:val="0"/>
        <w:autoSpaceDN w:val="0"/>
        <w:adjustRightInd w:val="0"/>
        <w:rPr>
          <w:rFonts w:eastAsia="ＭＳ 明朝"/>
          <w:lang w:eastAsia="ja-JP"/>
        </w:rPr>
      </w:pPr>
    </w:p>
    <w:p w14:paraId="78DC3260" w14:textId="77777777" w:rsidR="00BD162A" w:rsidRPr="00BD162A" w:rsidRDefault="00BD162A" w:rsidP="00BD162A">
      <w:pPr>
        <w:overflowPunct w:val="0"/>
        <w:autoSpaceDE w:val="0"/>
        <w:autoSpaceDN w:val="0"/>
        <w:adjustRightInd w:val="0"/>
        <w:ind w:leftChars="90" w:left="180"/>
        <w:rPr>
          <w:rFonts w:eastAsia="Times New Roman"/>
          <w:lang w:eastAsia="zh-CN"/>
        </w:rPr>
      </w:pPr>
      <w:r w:rsidRPr="00BD162A">
        <w:rPr>
          <w:rFonts w:eastAsia="Times New Roman"/>
          <w:lang w:eastAsia="zh-CN"/>
        </w:rPr>
        <w:t>The overall procedure for inter-</w:t>
      </w:r>
      <w:proofErr w:type="spellStart"/>
      <w:r w:rsidRPr="00BD162A">
        <w:rPr>
          <w:rFonts w:eastAsia="Times New Roman"/>
          <w:lang w:eastAsia="zh-CN"/>
        </w:rPr>
        <w:t>gNB</w:t>
      </w:r>
      <w:proofErr w:type="spellEnd"/>
      <w:r w:rsidRPr="00BD162A">
        <w:rPr>
          <w:rFonts w:eastAsia="Times New Roman"/>
          <w:lang w:eastAsia="zh-CN"/>
        </w:rPr>
        <w:t xml:space="preserve"> LTM is shown in Figure 9.2.3.5.2-2 below.</w:t>
      </w:r>
    </w:p>
    <w:p w14:paraId="7A7710C3" w14:textId="3C947187" w:rsidR="00652F61" w:rsidRPr="00652F61" w:rsidRDefault="00BD162A" w:rsidP="00652F61">
      <w:pPr>
        <w:overflowPunct w:val="0"/>
        <w:autoSpaceDE w:val="0"/>
        <w:autoSpaceDN w:val="0"/>
        <w:adjustRightInd w:val="0"/>
        <w:ind w:leftChars="90" w:left="180"/>
        <w:rPr>
          <w:rFonts w:eastAsia="Times New Roman"/>
          <w:lang w:eastAsia="zh-CN"/>
        </w:rPr>
      </w:pPr>
      <w:r>
        <w:rPr>
          <w:rFonts w:eastAsia="ＭＳ 明朝" w:hint="eastAsia"/>
          <w:lang w:eastAsia="ja-JP"/>
        </w:rPr>
        <w:lastRenderedPageBreak/>
        <w:t>z</w:t>
      </w:r>
      <w:r w:rsidR="00652F61" w:rsidRPr="00652F61">
        <w:rPr>
          <w:rFonts w:eastAsia="Times New Roman"/>
          <w:noProof/>
          <w:lang w:eastAsia="zh-CN"/>
        </w:rPr>
        <w:drawing>
          <wp:inline distT="0" distB="0" distL="0" distR="0" wp14:anchorId="2DB8195B" wp14:editId="1C0CB8CC">
            <wp:extent cx="5991225" cy="6867525"/>
            <wp:effectExtent l="0" t="0" r="9525" b="9525"/>
            <wp:docPr id="4"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s:3a.LTM configuration preparation for intra-gNB candidates [br];~ns-~gt:3. HANDOVER REQUEST [ac];~n//s-~gt [ad];~ns-~gt1:3. HANDOVER REQUEST [ac];~n//s-~gt1 [ad];~nt--t:4. Admission Control [bs];~nt1--t1:4. Admission Control [bs];~n//t0-~gs:5. UE CONTEXT MODIFICATION\nRESPONSE [ac];~nt-~gs:5. HANDOVER REQUEST\nACKNOWLEDGE [ac];~n//t-~gs[ad];~nt1-~gs:5. HANDOVER REQUEST ACKNOWLEDGE [ac];~n//t1-~gs[ad];~ns--s:6a.LTM configuration update for intra-gNB candidates [br];~n//s-~gt0:6. LTM CONFIGURATION UPDATE [ac];~ns~g~gt:6. LTM CONFIGURATION UPDATE [ac];~n//s-~gt [ad];~ns~g~gt1:6. LTM CONFIGURATION UPDATE [ac];~n//s-~gt1 [ad];~n~n//t0-~gs:7. LTM CONFIGURATION UPDATE ACKNOWLEDGE [ac];~nt~g~gs:7. LTM CONFIGURATION UPDATE ACKNOWLEDGE [ac];~n//t-~gs[ad];~nt1~g~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s:3a.LTM configuration preparation for intra-gNB candidates [br];~ns-~gt:3. HANDOVER REQUEST [ac];~n//s-~gt [ad];~ns-~gt1:3. HANDOVER REQUEST [ac];~n//s-~gt1 [ad];~nt--t:4. Admission Control [bs];~nt1--t1:4. Admission Control [bs];~n//t0-~gs:5. UE CONTEXT MODIFICATION\nRESPONSE [ac];~nt-~gs:5. HANDOVER REQUEST\nACKNOWLEDGE [ac];~n//t-~gs[ad];~nt1-~gs:5. HANDOVER REQUEST ACKNOWLEDGE [ac];~n//t1-~gs[ad];~ns--s:6a.LTM configuration update for intra-gNB candidates [br];~n//s-~gt0:6. LTM CONFIGURATION UPDATE [ac];~ns~g~gt:6. LTM CONFIGURATION UPDATE [ac];~n//s-~gt [ad];~ns~g~gt1:6. LTM CONFIGURATION UPDATE [ac];~n//s-~gt1 [ad];~n~n//t0-~gs:7. LTM CONFIGURATION UPDATE ACKNOWLEDGE [ac];~nt~g~gs:7. LTM CONFIGURATION UPDATE ACKNOWLEDGE [ac];~n//t-~gs[ad];~nt1~g~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1225" cy="6867525"/>
                    </a:xfrm>
                    <a:prstGeom prst="rect">
                      <a:avLst/>
                    </a:prstGeom>
                    <a:noFill/>
                    <a:ln>
                      <a:noFill/>
                    </a:ln>
                  </pic:spPr>
                </pic:pic>
              </a:graphicData>
            </a:graphic>
          </wp:inline>
        </w:drawing>
      </w:r>
    </w:p>
    <w:p w14:paraId="44CB0479" w14:textId="77777777" w:rsidR="00652F61" w:rsidRPr="00652F61" w:rsidRDefault="00652F61" w:rsidP="00652F61">
      <w:pPr>
        <w:keepLines/>
        <w:overflowPunct w:val="0"/>
        <w:autoSpaceDE w:val="0"/>
        <w:autoSpaceDN w:val="0"/>
        <w:adjustRightInd w:val="0"/>
        <w:spacing w:after="240"/>
        <w:jc w:val="center"/>
        <w:rPr>
          <w:rFonts w:ascii="Arial" w:eastAsia="Times New Roman" w:hAnsi="Arial" w:cs="Arial"/>
          <w:b/>
          <w:lang w:val="fr-FR" w:eastAsia="zh-CN"/>
        </w:rPr>
      </w:pPr>
      <w:r w:rsidRPr="00652F61">
        <w:rPr>
          <w:rFonts w:ascii="Arial" w:eastAsia="Times New Roman" w:hAnsi="Arial" w:cs="Arial"/>
          <w:b/>
          <w:lang w:val="fr-FR" w:eastAsia="zh-CN"/>
        </w:rPr>
        <w:t>Figure 9.2.3.5.2-2. Signalling procedure for inter-gNB LTM</w:t>
      </w:r>
    </w:p>
    <w:p w14:paraId="3B7764B5" w14:textId="77777777" w:rsidR="00652F61" w:rsidRPr="00652F61" w:rsidRDefault="00652F61" w:rsidP="00652F61">
      <w:pPr>
        <w:overflowPunct w:val="0"/>
        <w:autoSpaceDE w:val="0"/>
        <w:autoSpaceDN w:val="0"/>
        <w:adjustRightInd w:val="0"/>
        <w:rPr>
          <w:rFonts w:eastAsia="Times New Roman"/>
          <w:lang w:eastAsia="zh-CN"/>
        </w:rPr>
      </w:pPr>
      <w:r w:rsidRPr="00652F61">
        <w:rPr>
          <w:rFonts w:eastAsia="Times New Roman"/>
          <w:lang w:eastAsia="zh-CN"/>
        </w:rPr>
        <w:t>The procedure for inter-</w:t>
      </w:r>
      <w:proofErr w:type="spellStart"/>
      <w:r w:rsidRPr="00652F61">
        <w:rPr>
          <w:rFonts w:eastAsia="Times New Roman"/>
          <w:lang w:eastAsia="zh-CN"/>
        </w:rPr>
        <w:t>gNB</w:t>
      </w:r>
      <w:proofErr w:type="spellEnd"/>
      <w:r w:rsidRPr="00652F61">
        <w:rPr>
          <w:rFonts w:eastAsia="Times New Roman"/>
          <w:lang w:eastAsia="zh-CN"/>
        </w:rPr>
        <w:t xml:space="preserve"> LTM is as follows: </w:t>
      </w:r>
    </w:p>
    <w:p w14:paraId="6E5F49EB"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w:t>
      </w:r>
      <w:r w:rsidRPr="00652F61">
        <w:rPr>
          <w:rFonts w:eastAsia="Times New Roman"/>
          <w:lang w:val="fr-FR" w:eastAsia="zh-CN"/>
        </w:rPr>
        <w:tab/>
        <w:t xml:space="preserve">The UE sends a MeasurementReport message (L3 measurement result) to the source gNB containing measurements of neighbouring cells. </w:t>
      </w:r>
    </w:p>
    <w:p w14:paraId="58A3B83A"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2.</w:t>
      </w:r>
      <w:r w:rsidRPr="00652F61">
        <w:rPr>
          <w:rFonts w:eastAsia="Times New Roman"/>
          <w:lang w:val="fr-FR" w:eastAsia="zh-CN"/>
        </w:rPr>
        <w:tab/>
        <w:t xml:space="preserve">The source gNB decides to configure LTM. </w:t>
      </w:r>
    </w:p>
    <w:p w14:paraId="1BDF6CA7"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3.</w:t>
      </w:r>
      <w:r w:rsidRPr="00652F61">
        <w:rPr>
          <w:rFonts w:eastAsia="Times New Roman"/>
          <w:lang w:val="fr-FR" w:eastAsia="zh-CN"/>
        </w:rP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w:t>
      </w:r>
      <w:r w:rsidRPr="00652F61">
        <w:rPr>
          <w:rFonts w:eastAsia="Times New Roman"/>
          <w:lang w:val="fr-FR" w:eastAsia="zh-CN"/>
        </w:rPr>
        <w:lastRenderedPageBreak/>
        <w:t xml:space="preserve">the CSI-RS resource configuration for L1 RSRP measurement and/or for early CSI acquisition. The source gNB may include the LTM security information. For inter-gNB LTM, the source gNB includes the same source NG-RAN node UE XnAP ID for all HANDOVER REQUEST messages to a candidate gNB. </w:t>
      </w:r>
    </w:p>
    <w:p w14:paraId="65580581"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4.</w:t>
      </w:r>
      <w:r w:rsidRPr="00652F61">
        <w:rPr>
          <w:rFonts w:eastAsia="Times New Roman"/>
          <w:lang w:val="fr-FR" w:eastAsia="zh-CN"/>
        </w:rPr>
        <w:tab/>
        <w:t>Admission Control may be performed by the candidate cells(s)/gNB(s).</w:t>
      </w:r>
    </w:p>
    <w:p w14:paraId="7CD80099"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5.</w:t>
      </w:r>
      <w:r w:rsidRPr="00652F61">
        <w:rPr>
          <w:rFonts w:eastAsia="Times New Roman"/>
          <w:lang w:val="fr-FR" w:eastAsia="zh-CN"/>
        </w:rPr>
        <w:tab/>
        <w:t xml:space="preserve">The candidate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may also include additional information related to the CSI-RS resource configuration and early sync information upon request. The candidate gNB also responds the selected LTM security information. For inter-gNB LTM, each candidate gNB includes the same target NG-RAN node UE XnAP ID for all HANDOVER REQUEST ACKNOWLEDGE messages it responds.  </w:t>
      </w:r>
    </w:p>
    <w:p w14:paraId="059BEC84"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6.</w:t>
      </w:r>
      <w:r w:rsidRPr="00652F61">
        <w:rPr>
          <w:rFonts w:eastAsia="Times New Roman"/>
          <w:lang w:val="fr-FR" w:eastAsia="zh-CN"/>
        </w:rPr>
        <w:tab/>
        <w:t xml:space="preserve">The source gNB sends an LTM CONFIGURATION UPDATE message to the candidate gNB(s) to update the LTM configurations of candidate cell(s). The source gNB may include the common CSI resource configuration, the LTM configuration ID mapping list and the LTM security information. </w:t>
      </w:r>
    </w:p>
    <w:p w14:paraId="49CD2C0A"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7.</w:t>
      </w:r>
      <w:r w:rsidRPr="00652F61">
        <w:rPr>
          <w:rFonts w:eastAsia="Times New Roman"/>
          <w:lang w:val="fr-FR" w:eastAsia="zh-CN"/>
        </w:rPr>
        <w:tab/>
        <w:t xml:space="preserve">The candidate gNB(s) sends the LTM CONFIGURATION UPDATE ACKNOWLEDGE message to the source gNB. The candidate gNB(s) may also provide the CSI report configuration. The candidate gNB may include the CSI report configuration for CSI acquisition of the candidate cell(s). </w:t>
      </w:r>
    </w:p>
    <w:p w14:paraId="5F1F5C4A" w14:textId="01994C91"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w:t>
      </w:r>
      <w:r w:rsidR="00CA3798">
        <w:rPr>
          <w:rFonts w:eastAsia="ＭＳ 明朝" w:hint="eastAsia"/>
          <w:lang w:val="fr-FR" w:eastAsia="ja-JP"/>
        </w:rPr>
        <w:t xml:space="preserve"> 1</w:t>
      </w:r>
      <w:r w:rsidRPr="00652F61">
        <w:rPr>
          <w:rFonts w:eastAsia="DengXian"/>
          <w:lang w:val="fr-FR" w:eastAsia="zh-CN"/>
        </w:rPr>
        <w:t>:</w:t>
      </w:r>
      <w:r w:rsidRPr="00652F61">
        <w:rPr>
          <w:rFonts w:eastAsia="DengXian"/>
          <w:lang w:val="fr-FR" w:eastAsia="zh-CN"/>
        </w:rPr>
        <w:tab/>
        <w:t>Step 6 may also be triggered after step 14, or after step 17 by implementation for subsequent LTM.</w:t>
      </w:r>
    </w:p>
    <w:p w14:paraId="512468DC" w14:textId="34A39461"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w:t>
      </w:r>
      <w:r w:rsidR="00CA3798">
        <w:rPr>
          <w:rFonts w:eastAsia="ＭＳ 明朝" w:hint="eastAsia"/>
          <w:lang w:val="fr-FR" w:eastAsia="ja-JP"/>
        </w:rPr>
        <w:t xml:space="preserve"> 2</w:t>
      </w:r>
      <w:r w:rsidRPr="00652F61">
        <w:rPr>
          <w:rFonts w:eastAsia="DengXian"/>
          <w:lang w:val="fr-FR" w:eastAsia="zh-CN"/>
        </w:rPr>
        <w:t xml:space="preserve">: </w:t>
      </w:r>
      <w:r w:rsidRPr="00652F61">
        <w:rPr>
          <w:rFonts w:eastAsia="DengXian"/>
          <w:lang w:val="fr-FR" w:eastAsia="zh-CN"/>
        </w:rPr>
        <w:tab/>
        <w:t>Step 6 and Step 7 are triggered if CSI acquisition is applied.</w:t>
      </w:r>
    </w:p>
    <w:p w14:paraId="7CD7A1ED"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8.</w:t>
      </w:r>
      <w:r w:rsidRPr="00652F61">
        <w:rPr>
          <w:rFonts w:eastAsia="Times New Roman"/>
          <w:lang w:val="fr-FR" w:eastAsia="zh-CN"/>
        </w:rPr>
        <w:tab/>
        <w:t>The source gNB sends an RRCReconfiguration message to the UE.</w:t>
      </w:r>
    </w:p>
    <w:p w14:paraId="776BF16A"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9.</w:t>
      </w:r>
      <w:r w:rsidRPr="00652F61">
        <w:rPr>
          <w:rFonts w:eastAsia="Times New Roman"/>
          <w:lang w:val="fr-FR" w:eastAsia="zh-CN"/>
        </w:rPr>
        <w:tab/>
        <w:t>The UE stores the LTM candidate configurations and sends an RRCReconfigurationComplete message to the source gNB.</w:t>
      </w:r>
    </w:p>
    <w:p w14:paraId="03195424" w14:textId="05D5E511"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w:t>
      </w:r>
      <w:r w:rsidR="00CA3798">
        <w:rPr>
          <w:rFonts w:eastAsia="ＭＳ 明朝" w:hint="eastAsia"/>
          <w:lang w:val="fr-FR" w:eastAsia="ja-JP"/>
        </w:rPr>
        <w:t xml:space="preserve"> 3</w:t>
      </w:r>
      <w:r w:rsidRPr="00652F61">
        <w:rPr>
          <w:rFonts w:eastAsia="DengXian"/>
          <w:lang w:val="fr-FR" w:eastAsia="zh-CN"/>
        </w:rPr>
        <w:t>:</w:t>
      </w:r>
      <w:r w:rsidRPr="00652F61">
        <w:rPr>
          <w:rFonts w:eastAsia="DengXian"/>
          <w:lang w:val="fr-FR" w:eastAsia="zh-CN"/>
        </w:rPr>
        <w:tab/>
        <w:t>The source gNB may initiate CSI-RS Coordination procedure to activate or deactivate CSI-RS resource(s) of some candidate cells(s).</w:t>
      </w:r>
    </w:p>
    <w:p w14:paraId="7DBD9A74"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9a.</w:t>
      </w:r>
      <w:r w:rsidRPr="00652F61">
        <w:rPr>
          <w:rFonts w:eastAsia="Times New Roman"/>
          <w:lang w:val="fr-FR" w:eastAsia="zh-CN"/>
        </w:rPr>
        <w:tab/>
        <w:t>If early data forwarding is applied, the source gNB sends the EARLY STATUS TRANSFER message to the candidate gNB(s).</w:t>
      </w:r>
    </w:p>
    <w:p w14:paraId="6DDB48E1"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1087D082"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12.</w:t>
      </w:r>
      <w:r w:rsidRPr="00652F61">
        <w:rPr>
          <w:rFonts w:eastAsia="Times New Roman"/>
          <w:lang w:val="fr-FR" w:eastAsia="zh-CN"/>
        </w:rPr>
        <w:tab/>
        <w:t xml:space="preserve"> The UE performs L1 measurements on the configured LTM candidate cell(s) and transmits L1 measurement reports to the source gNB, if configured. L1 measurement should be performed as long as RRC reconfiguration (step 8) is applicable. </w:t>
      </w:r>
    </w:p>
    <w:p w14:paraId="4556CCF0"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13.</w:t>
      </w:r>
      <w:r w:rsidRPr="00652F61">
        <w:rPr>
          <w:rFonts w:eastAsia="Times New Roman"/>
          <w:lang w:val="fr-FR" w:eastAsia="zh-CN"/>
        </w:rPr>
        <w:tab/>
        <w:t>The source gNB determines to initiate LTM. L3 measurement can also be used to determine this step.</w:t>
      </w:r>
    </w:p>
    <w:p w14:paraId="2E00F87E"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14.</w:t>
      </w:r>
      <w:r w:rsidRPr="00652F61">
        <w:rPr>
          <w:rFonts w:eastAsia="Times New Roman"/>
          <w:lang w:val="fr-FR" w:eastAsia="zh-CN"/>
        </w:rPr>
        <w:tab/>
        <w:t xml:space="preserve">The </w:t>
      </w:r>
      <w:bookmarkStart w:id="4" w:name="OLE_LINK1"/>
      <w:r w:rsidRPr="00652F61">
        <w:rPr>
          <w:rFonts w:eastAsia="Times New Roman"/>
          <w:lang w:val="fr-FR" w:eastAsia="zh-CN"/>
        </w:rPr>
        <w:t>source gNB decides to execute cell switch</w:t>
      </w:r>
      <w:bookmarkEnd w:id="4"/>
      <w:r w:rsidRPr="00652F61">
        <w:rPr>
          <w:rFonts w:eastAsia="Times New Roman"/>
          <w:lang w:val="fr-FR" w:eastAsia="zh-CN"/>
        </w:rPr>
        <w:t xml:space="preserve">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7649C36D" w14:textId="0DE61582"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w:t>
      </w:r>
      <w:r w:rsidR="00CA3798">
        <w:rPr>
          <w:rFonts w:eastAsia="ＭＳ 明朝" w:hint="eastAsia"/>
          <w:lang w:val="fr-FR" w:eastAsia="ja-JP"/>
        </w:rPr>
        <w:t xml:space="preserve"> 4</w:t>
      </w:r>
      <w:r w:rsidRPr="00652F61">
        <w:rPr>
          <w:rFonts w:eastAsia="DengXian"/>
          <w:lang w:val="fr-FR" w:eastAsia="zh-CN"/>
        </w:rPr>
        <w:t>:</w:t>
      </w:r>
      <w:r w:rsidRPr="00652F61">
        <w:rPr>
          <w:rFonts w:eastAsia="DengXian"/>
          <w:lang w:val="fr-FR" w:eastAsia="zh-CN"/>
        </w:rPr>
        <w:tab/>
        <w:t>Up to implementation, data forwarding and SN Status Transfer may be initiated once the source gNB triggers the inter-gNB LTM cell switch for the UE in Step 14.</w:t>
      </w:r>
    </w:p>
    <w:p w14:paraId="06DB1BA5"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lastRenderedPageBreak/>
        <w:t>15.</w:t>
      </w:r>
      <w:r w:rsidRPr="00652F61">
        <w:rPr>
          <w:rFonts w:eastAsia="Times New Roman"/>
          <w:lang w:val="fr-FR" w:eastAsia="zh-CN"/>
        </w:rPr>
        <w:tab/>
        <w:t>The source gNB sends the CELL SWITCH NOTIFICATION message to the target gNB to indicate the initiation of Cell Switch command to the UE. The source gNB may inform the acquired TA related information.</w:t>
      </w:r>
    </w:p>
    <w:p w14:paraId="1EC043EA"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16.</w:t>
      </w:r>
      <w:r w:rsidRPr="00652F61">
        <w:rPr>
          <w:rFonts w:eastAsia="Times New Roman"/>
          <w:lang w:val="fr-FR" w:eastAsia="zh-CN"/>
        </w:rPr>
        <w:tab/>
        <w:t>The UE performs the random access procedure towards the target cell, if UE does not have valid TA of the target cell as specified in clause 5.18.35 of TS 38.321[6].</w:t>
      </w:r>
    </w:p>
    <w:p w14:paraId="50FA199C"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17/18. 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25B558F4" w14:textId="4ED3D70B"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 xml:space="preserve">NOTE </w:t>
      </w:r>
      <w:r w:rsidR="00CA3798">
        <w:rPr>
          <w:rFonts w:eastAsia="ＭＳ 明朝" w:hint="eastAsia"/>
          <w:lang w:val="fr-FR" w:eastAsia="ja-JP"/>
        </w:rPr>
        <w:t>5</w:t>
      </w:r>
      <w:r w:rsidRPr="00652F61">
        <w:rPr>
          <w:rFonts w:eastAsia="DengXian"/>
          <w:lang w:val="fr-FR" w:eastAsia="zh-CN"/>
        </w:rPr>
        <w:t>:</w:t>
      </w:r>
      <w:r w:rsidRPr="00652F61">
        <w:rPr>
          <w:rFonts w:eastAsia="DengXian"/>
          <w:lang w:val="fr-FR" w:eastAsia="zh-CN"/>
        </w:rPr>
        <w:tab/>
        <w:t xml:space="preserve">Late data forwarding may be initiated as soon as the source gNB receives the HANDOVER SUCCESS message. </w:t>
      </w:r>
    </w:p>
    <w:p w14:paraId="392255F8" w14:textId="2FEDB164"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 xml:space="preserve">NOTE </w:t>
      </w:r>
      <w:r w:rsidR="00CA3798">
        <w:rPr>
          <w:rFonts w:eastAsia="ＭＳ 明朝" w:hint="eastAsia"/>
          <w:lang w:val="fr-FR" w:eastAsia="ja-JP"/>
        </w:rPr>
        <w:t>6</w:t>
      </w:r>
      <w:r w:rsidRPr="00652F61">
        <w:rPr>
          <w:rFonts w:eastAsia="DengXian"/>
          <w:lang w:val="fr-FR" w:eastAsia="zh-CN"/>
        </w:rPr>
        <w:t>:</w:t>
      </w:r>
      <w:r w:rsidRPr="00652F61">
        <w:rPr>
          <w:rFonts w:eastAsia="DengXian"/>
          <w:lang w:val="fr-FR" w:eastAsia="zh-CN"/>
        </w:rPr>
        <w:tab/>
        <w:t>The source gNB may initiate the CSI-RS Coordination procedure to deactivate CSI-RS resource(s) of candidate cell(s) on the candidate gNB(s) after the UE successfully accesses the target cell.</w:t>
      </w:r>
    </w:p>
    <w:p w14:paraId="7548CFF3"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19.</w:t>
      </w:r>
      <w:r w:rsidRPr="00652F61">
        <w:rPr>
          <w:rFonts w:eastAsia="Times New Roman"/>
          <w:lang w:val="fr-FR" w:eastAsia="zh-CN"/>
        </w:rPr>
        <w:tab/>
        <w:t>The UE completes the LTM cell switch procedure by sending RRCReconfigurationComplete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055E9AB6" w14:textId="4CBB0E7D"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 xml:space="preserve">NOTE </w:t>
      </w:r>
      <w:r w:rsidR="00CA3798">
        <w:rPr>
          <w:rFonts w:eastAsia="ＭＳ 明朝" w:hint="eastAsia"/>
          <w:lang w:val="fr-FR" w:eastAsia="ja-JP"/>
        </w:rPr>
        <w:t>7</w:t>
      </w:r>
      <w:r w:rsidRPr="00652F61">
        <w:rPr>
          <w:rFonts w:eastAsia="DengXian"/>
          <w:lang w:val="fr-FR" w:eastAsia="zh-CN"/>
        </w:rPr>
        <w:t>:</w:t>
      </w:r>
      <w:r w:rsidRPr="00652F61">
        <w:rPr>
          <w:rFonts w:eastAsia="DengXian"/>
          <w:lang w:val="fr-FR" w:eastAsia="zh-CN"/>
        </w:rPr>
        <w:tab/>
        <w:t>Steps 17/18 and 19 do not have to occur one after the other. The target gNB may send the HANDOVER SUCCESS message to the source gNB after receiving the RRCReconfigurationComplete message.</w:t>
      </w:r>
    </w:p>
    <w:p w14:paraId="1961EE4B"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20. The new source gNB (i.e., the target gNB) sends the LTM CONFIGURATION UPDATE message to the candidate gNBs. This message includes the new security key(s) to be used with the UE.</w:t>
      </w:r>
    </w:p>
    <w:p w14:paraId="5CFF733C"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21. The candidate gNB(s) responds to the LTM CONFIGURATION UPDATE ACKNOWLEDGE message to the new source gNB.</w:t>
      </w:r>
    </w:p>
    <w:p w14:paraId="4EF4A348"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22. The new source gNB may send the UE CONTEXT RELEASE message to inform the old source gNB to release radio and C-plane related resources associated to the UE context if no LTM candidate cell(s) exist in the old source gNB. Any ongoing data forwarding may continue.</w:t>
      </w:r>
    </w:p>
    <w:p w14:paraId="1A28DCDF" w14:textId="5937A082" w:rsidR="00652F61" w:rsidRPr="00652F61" w:rsidRDefault="00652F61" w:rsidP="00652F61">
      <w:pPr>
        <w:overflowPunct w:val="0"/>
        <w:autoSpaceDE w:val="0"/>
        <w:autoSpaceDN w:val="0"/>
        <w:adjustRightInd w:val="0"/>
        <w:rPr>
          <w:rFonts w:eastAsia="Times New Roman"/>
          <w:lang w:eastAsia="zh-CN"/>
        </w:rPr>
      </w:pPr>
      <w:r w:rsidRPr="00652F61">
        <w:rPr>
          <w:rFonts w:eastAsia="Times New Roman"/>
          <w:lang w:eastAsia="zh-CN"/>
        </w:rPr>
        <w:t xml:space="preserve">The steps </w:t>
      </w:r>
      <w:del w:id="5" w:author="NEC" w:date="2025-09-29T14:23:00Z">
        <w:r w:rsidRPr="00652F61" w:rsidDel="00652F61">
          <w:rPr>
            <w:rFonts w:eastAsia="Times New Roman"/>
            <w:lang w:eastAsia="zh-CN"/>
          </w:rPr>
          <w:delText>10</w:delText>
        </w:r>
      </w:del>
      <w:ins w:id="6" w:author="NEC" w:date="2025-09-29T14:23:00Z">
        <w:r>
          <w:rPr>
            <w:rFonts w:eastAsia="ＭＳ 明朝" w:hint="eastAsia"/>
            <w:lang w:eastAsia="ja-JP"/>
          </w:rPr>
          <w:t>9a</w:t>
        </w:r>
      </w:ins>
      <w:r w:rsidRPr="00652F61">
        <w:rPr>
          <w:rFonts w:eastAsia="Times New Roman"/>
          <w:lang w:eastAsia="zh-CN"/>
        </w:rPr>
        <w:t>-22 can be performed multiple times for subsequent LTM cell switch executions using the LTM candidate configuration(s) provided in step 8.</w:t>
      </w:r>
    </w:p>
    <w:p w14:paraId="2CAE1714" w14:textId="77777777" w:rsidR="00652F61" w:rsidRPr="00652F61" w:rsidRDefault="00652F61" w:rsidP="00652F61">
      <w:pPr>
        <w:overflowPunct w:val="0"/>
        <w:autoSpaceDE w:val="0"/>
        <w:autoSpaceDN w:val="0"/>
        <w:adjustRightInd w:val="0"/>
        <w:rPr>
          <w:rFonts w:eastAsia="Times New Roman"/>
          <w:lang w:eastAsia="zh-CN"/>
        </w:rPr>
      </w:pPr>
      <w:r w:rsidRPr="00652F61">
        <w:rPr>
          <w:rFonts w:eastAsia="Times New Roman"/>
          <w:lang w:eastAsia="zh-CN"/>
        </w:rPr>
        <w:t>The procedure over the air interface described in Figure 9.2.3.5.2-1 is applicable to both intra-</w:t>
      </w:r>
      <w:proofErr w:type="spellStart"/>
      <w:r w:rsidRPr="00652F61">
        <w:rPr>
          <w:rFonts w:eastAsia="Times New Roman"/>
          <w:lang w:eastAsia="zh-CN"/>
        </w:rPr>
        <w:t>gNB</w:t>
      </w:r>
      <w:proofErr w:type="spellEnd"/>
      <w:r w:rsidRPr="00652F61">
        <w:rPr>
          <w:rFonts w:eastAsia="Times New Roman"/>
          <w:lang w:eastAsia="zh-CN"/>
        </w:rPr>
        <w:t xml:space="preserve"> LTM and inter-</w:t>
      </w:r>
      <w:proofErr w:type="spellStart"/>
      <w:r w:rsidRPr="00652F61">
        <w:rPr>
          <w:rFonts w:eastAsia="Times New Roman"/>
          <w:lang w:eastAsia="zh-CN"/>
        </w:rPr>
        <w:t>gNB</w:t>
      </w:r>
      <w:proofErr w:type="spellEnd"/>
      <w:r w:rsidRPr="00652F61">
        <w:rPr>
          <w:rFonts w:eastAsia="Times New Roman"/>
          <w:lang w:eastAsia="zh-CN"/>
        </w:rPr>
        <w:t xml:space="preserve"> LTM. The overall LTM procedures over F1-C interface are captured in TS 38.401[4].</w:t>
      </w:r>
    </w:p>
    <w:bookmarkEnd w:id="2"/>
    <w:p w14:paraId="412B23A5" w14:textId="1771BD71" w:rsidR="00BF2618" w:rsidRDefault="00BF2618" w:rsidP="00455296">
      <w:pPr>
        <w:rPr>
          <w:rFonts w:eastAsia="Times New Roman"/>
          <w:b/>
          <w:bCs/>
          <w:noProof/>
          <w:color w:val="FF0000"/>
          <w:highlight w:val="yellow"/>
        </w:rPr>
      </w:pPr>
    </w:p>
    <w:p w14:paraId="72F13C5E" w14:textId="40135831" w:rsidR="00EE3E7E" w:rsidRDefault="00EE3E7E" w:rsidP="00EE3E7E">
      <w:pPr>
        <w:jc w:val="center"/>
        <w:rPr>
          <w:rFonts w:eastAsia="DengXian"/>
          <w:b/>
          <w:bCs/>
          <w:noProof/>
          <w:color w:val="FF0000"/>
          <w:lang w:eastAsia="zh-CN"/>
        </w:rPr>
      </w:pPr>
      <w:r>
        <w:rPr>
          <w:rFonts w:eastAsia="Times New Roman"/>
          <w:b/>
          <w:bCs/>
          <w:noProof/>
          <w:color w:val="FF0000"/>
          <w:highlight w:val="yellow"/>
        </w:rPr>
        <w:t>&lt;&lt; End of Changes &gt;&gt;</w:t>
      </w:r>
    </w:p>
    <w:sectPr w:rsidR="00EE3E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EA7C3" w14:textId="77777777" w:rsidR="00124020" w:rsidRDefault="00124020">
      <w:r>
        <w:separator/>
      </w:r>
    </w:p>
  </w:endnote>
  <w:endnote w:type="continuationSeparator" w:id="0">
    <w:p w14:paraId="7692ABF1" w14:textId="77777777" w:rsidR="00124020" w:rsidRDefault="0012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E67C7" w14:textId="77777777" w:rsidR="00124020" w:rsidRDefault="00124020">
      <w:r>
        <w:separator/>
      </w:r>
    </w:p>
  </w:footnote>
  <w:footnote w:type="continuationSeparator" w:id="0">
    <w:p w14:paraId="48E9E9CF" w14:textId="77777777" w:rsidR="00124020" w:rsidRDefault="00124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525C"/>
    <w:rsid w:val="00074910"/>
    <w:rsid w:val="00074A8D"/>
    <w:rsid w:val="00075242"/>
    <w:rsid w:val="00075654"/>
    <w:rsid w:val="0007658B"/>
    <w:rsid w:val="00082075"/>
    <w:rsid w:val="00094DA7"/>
    <w:rsid w:val="000A6394"/>
    <w:rsid w:val="000B7FED"/>
    <w:rsid w:val="000C038A"/>
    <w:rsid w:val="000C6598"/>
    <w:rsid w:val="000D44B3"/>
    <w:rsid w:val="000D7EC1"/>
    <w:rsid w:val="000F24B3"/>
    <w:rsid w:val="00124020"/>
    <w:rsid w:val="00145D43"/>
    <w:rsid w:val="001563A3"/>
    <w:rsid w:val="00157CAB"/>
    <w:rsid w:val="001656A6"/>
    <w:rsid w:val="00172FF6"/>
    <w:rsid w:val="0018443D"/>
    <w:rsid w:val="001878E5"/>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23A97"/>
    <w:rsid w:val="00231F4F"/>
    <w:rsid w:val="00244297"/>
    <w:rsid w:val="0026004D"/>
    <w:rsid w:val="002640DD"/>
    <w:rsid w:val="0026561A"/>
    <w:rsid w:val="00271BE9"/>
    <w:rsid w:val="00275D12"/>
    <w:rsid w:val="00282DD0"/>
    <w:rsid w:val="00284FEB"/>
    <w:rsid w:val="002860C4"/>
    <w:rsid w:val="00287729"/>
    <w:rsid w:val="002B5741"/>
    <w:rsid w:val="002C5556"/>
    <w:rsid w:val="002E472E"/>
    <w:rsid w:val="002F42EE"/>
    <w:rsid w:val="002F6BF3"/>
    <w:rsid w:val="00304E2F"/>
    <w:rsid w:val="00305409"/>
    <w:rsid w:val="003176FE"/>
    <w:rsid w:val="0036027C"/>
    <w:rsid w:val="003609EF"/>
    <w:rsid w:val="0036231A"/>
    <w:rsid w:val="00362CF0"/>
    <w:rsid w:val="00374DD4"/>
    <w:rsid w:val="003A795F"/>
    <w:rsid w:val="003B2720"/>
    <w:rsid w:val="003E1A36"/>
    <w:rsid w:val="003E2E3B"/>
    <w:rsid w:val="00401532"/>
    <w:rsid w:val="00410371"/>
    <w:rsid w:val="00417741"/>
    <w:rsid w:val="00420680"/>
    <w:rsid w:val="004242F1"/>
    <w:rsid w:val="004269D1"/>
    <w:rsid w:val="00443583"/>
    <w:rsid w:val="004444E5"/>
    <w:rsid w:val="00445ABF"/>
    <w:rsid w:val="00451C8C"/>
    <w:rsid w:val="00455296"/>
    <w:rsid w:val="00486C4E"/>
    <w:rsid w:val="004B1263"/>
    <w:rsid w:val="004B1E82"/>
    <w:rsid w:val="004B5F8A"/>
    <w:rsid w:val="004B75B7"/>
    <w:rsid w:val="004D522E"/>
    <w:rsid w:val="005141D9"/>
    <w:rsid w:val="00515646"/>
    <w:rsid w:val="0051580D"/>
    <w:rsid w:val="00516729"/>
    <w:rsid w:val="00536B49"/>
    <w:rsid w:val="00547111"/>
    <w:rsid w:val="00554DAC"/>
    <w:rsid w:val="00565888"/>
    <w:rsid w:val="00577A65"/>
    <w:rsid w:val="005912F5"/>
    <w:rsid w:val="00592D74"/>
    <w:rsid w:val="005960B1"/>
    <w:rsid w:val="005A0066"/>
    <w:rsid w:val="005B6475"/>
    <w:rsid w:val="005D4125"/>
    <w:rsid w:val="005E2C44"/>
    <w:rsid w:val="005F2A2C"/>
    <w:rsid w:val="006128AB"/>
    <w:rsid w:val="00621188"/>
    <w:rsid w:val="006257ED"/>
    <w:rsid w:val="00632372"/>
    <w:rsid w:val="006325BD"/>
    <w:rsid w:val="00652F61"/>
    <w:rsid w:val="00653DE4"/>
    <w:rsid w:val="00665C47"/>
    <w:rsid w:val="00672878"/>
    <w:rsid w:val="0068123E"/>
    <w:rsid w:val="00692037"/>
    <w:rsid w:val="00695808"/>
    <w:rsid w:val="006A7BE2"/>
    <w:rsid w:val="006B46FB"/>
    <w:rsid w:val="006C6A4C"/>
    <w:rsid w:val="006D7634"/>
    <w:rsid w:val="006E21FB"/>
    <w:rsid w:val="006E7DB4"/>
    <w:rsid w:val="00703853"/>
    <w:rsid w:val="00742481"/>
    <w:rsid w:val="00745F97"/>
    <w:rsid w:val="007564E4"/>
    <w:rsid w:val="00767D82"/>
    <w:rsid w:val="007748D2"/>
    <w:rsid w:val="007856E5"/>
    <w:rsid w:val="00792342"/>
    <w:rsid w:val="007977A8"/>
    <w:rsid w:val="007B512A"/>
    <w:rsid w:val="007C2097"/>
    <w:rsid w:val="007D6A07"/>
    <w:rsid w:val="007E7828"/>
    <w:rsid w:val="007E7DC8"/>
    <w:rsid w:val="007F6C6E"/>
    <w:rsid w:val="007F7259"/>
    <w:rsid w:val="008040A8"/>
    <w:rsid w:val="0082531F"/>
    <w:rsid w:val="008279FA"/>
    <w:rsid w:val="00831750"/>
    <w:rsid w:val="008464D1"/>
    <w:rsid w:val="008478C6"/>
    <w:rsid w:val="00857FA7"/>
    <w:rsid w:val="008626E7"/>
    <w:rsid w:val="00870EE7"/>
    <w:rsid w:val="008863B9"/>
    <w:rsid w:val="00893EF8"/>
    <w:rsid w:val="0089729B"/>
    <w:rsid w:val="008A2670"/>
    <w:rsid w:val="008A45A6"/>
    <w:rsid w:val="008A4E88"/>
    <w:rsid w:val="008B68DE"/>
    <w:rsid w:val="008C1049"/>
    <w:rsid w:val="008C1197"/>
    <w:rsid w:val="008C206B"/>
    <w:rsid w:val="008D3BC6"/>
    <w:rsid w:val="008D3CCC"/>
    <w:rsid w:val="008D7A03"/>
    <w:rsid w:val="008F1ED8"/>
    <w:rsid w:val="008F3789"/>
    <w:rsid w:val="008F686C"/>
    <w:rsid w:val="009055C0"/>
    <w:rsid w:val="009148DE"/>
    <w:rsid w:val="0091622A"/>
    <w:rsid w:val="00921E32"/>
    <w:rsid w:val="00941E30"/>
    <w:rsid w:val="009446BD"/>
    <w:rsid w:val="00946A3D"/>
    <w:rsid w:val="009505B3"/>
    <w:rsid w:val="009777D9"/>
    <w:rsid w:val="00991B88"/>
    <w:rsid w:val="009A5753"/>
    <w:rsid w:val="009A579D"/>
    <w:rsid w:val="009B0780"/>
    <w:rsid w:val="009D40D0"/>
    <w:rsid w:val="009E0719"/>
    <w:rsid w:val="009E3297"/>
    <w:rsid w:val="009F734F"/>
    <w:rsid w:val="00A07098"/>
    <w:rsid w:val="00A246B6"/>
    <w:rsid w:val="00A27E3E"/>
    <w:rsid w:val="00A3276A"/>
    <w:rsid w:val="00A43AB1"/>
    <w:rsid w:val="00A43DB6"/>
    <w:rsid w:val="00A44165"/>
    <w:rsid w:val="00A47E70"/>
    <w:rsid w:val="00A50CF0"/>
    <w:rsid w:val="00A554E4"/>
    <w:rsid w:val="00A7203A"/>
    <w:rsid w:val="00A7671C"/>
    <w:rsid w:val="00A82C78"/>
    <w:rsid w:val="00A93170"/>
    <w:rsid w:val="00A960FE"/>
    <w:rsid w:val="00AA2CBC"/>
    <w:rsid w:val="00AA3953"/>
    <w:rsid w:val="00AC5820"/>
    <w:rsid w:val="00AC6949"/>
    <w:rsid w:val="00AD1CD8"/>
    <w:rsid w:val="00AE2962"/>
    <w:rsid w:val="00B07803"/>
    <w:rsid w:val="00B258BB"/>
    <w:rsid w:val="00B3511C"/>
    <w:rsid w:val="00B570EC"/>
    <w:rsid w:val="00B57DCE"/>
    <w:rsid w:val="00B67B97"/>
    <w:rsid w:val="00B968C8"/>
    <w:rsid w:val="00B97AB7"/>
    <w:rsid w:val="00BA3EC5"/>
    <w:rsid w:val="00BA51D9"/>
    <w:rsid w:val="00BB541D"/>
    <w:rsid w:val="00BB5DFC"/>
    <w:rsid w:val="00BB6E56"/>
    <w:rsid w:val="00BD162A"/>
    <w:rsid w:val="00BD279D"/>
    <w:rsid w:val="00BD6BB8"/>
    <w:rsid w:val="00BD6EBA"/>
    <w:rsid w:val="00BE3702"/>
    <w:rsid w:val="00BE5F8C"/>
    <w:rsid w:val="00BF2618"/>
    <w:rsid w:val="00BF5451"/>
    <w:rsid w:val="00C11309"/>
    <w:rsid w:val="00C27F8F"/>
    <w:rsid w:val="00C42C38"/>
    <w:rsid w:val="00C53C70"/>
    <w:rsid w:val="00C570F4"/>
    <w:rsid w:val="00C571E7"/>
    <w:rsid w:val="00C66BA2"/>
    <w:rsid w:val="00C74028"/>
    <w:rsid w:val="00C80B43"/>
    <w:rsid w:val="00C81EB8"/>
    <w:rsid w:val="00C870F6"/>
    <w:rsid w:val="00C95985"/>
    <w:rsid w:val="00C959F8"/>
    <w:rsid w:val="00CA3798"/>
    <w:rsid w:val="00CB09BD"/>
    <w:rsid w:val="00CB1D5F"/>
    <w:rsid w:val="00CC5026"/>
    <w:rsid w:val="00CC68D0"/>
    <w:rsid w:val="00CD1A62"/>
    <w:rsid w:val="00CD6DF9"/>
    <w:rsid w:val="00CE35C7"/>
    <w:rsid w:val="00D03F9A"/>
    <w:rsid w:val="00D042E7"/>
    <w:rsid w:val="00D04697"/>
    <w:rsid w:val="00D06D51"/>
    <w:rsid w:val="00D24991"/>
    <w:rsid w:val="00D31BA8"/>
    <w:rsid w:val="00D35E57"/>
    <w:rsid w:val="00D41E6F"/>
    <w:rsid w:val="00D44927"/>
    <w:rsid w:val="00D50255"/>
    <w:rsid w:val="00D66520"/>
    <w:rsid w:val="00D70444"/>
    <w:rsid w:val="00D731CF"/>
    <w:rsid w:val="00D814AF"/>
    <w:rsid w:val="00D8259B"/>
    <w:rsid w:val="00D84AE9"/>
    <w:rsid w:val="00D904F8"/>
    <w:rsid w:val="00D92B57"/>
    <w:rsid w:val="00DA4138"/>
    <w:rsid w:val="00DA5950"/>
    <w:rsid w:val="00DA6C64"/>
    <w:rsid w:val="00DB4C98"/>
    <w:rsid w:val="00DE34CF"/>
    <w:rsid w:val="00E03008"/>
    <w:rsid w:val="00E13F3D"/>
    <w:rsid w:val="00E34898"/>
    <w:rsid w:val="00E359EC"/>
    <w:rsid w:val="00E436F4"/>
    <w:rsid w:val="00E556FB"/>
    <w:rsid w:val="00E56E7F"/>
    <w:rsid w:val="00E9079E"/>
    <w:rsid w:val="00E971A9"/>
    <w:rsid w:val="00EA457C"/>
    <w:rsid w:val="00EB09B7"/>
    <w:rsid w:val="00EC14A8"/>
    <w:rsid w:val="00EC7902"/>
    <w:rsid w:val="00EE3E7E"/>
    <w:rsid w:val="00EE6C1C"/>
    <w:rsid w:val="00EE7D7C"/>
    <w:rsid w:val="00F10FDB"/>
    <w:rsid w:val="00F225E8"/>
    <w:rsid w:val="00F25D98"/>
    <w:rsid w:val="00F300FB"/>
    <w:rsid w:val="00F363FF"/>
    <w:rsid w:val="00F47C30"/>
    <w:rsid w:val="00F5002B"/>
    <w:rsid w:val="00F65C3A"/>
    <w:rsid w:val="00F96F29"/>
    <w:rsid w:val="00FB4EA9"/>
    <w:rsid w:val="00FB6386"/>
    <w:rsid w:val="00FB75EF"/>
    <w:rsid w:val="00FD1D63"/>
    <w:rsid w:val="00FE36CC"/>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ヘッダー (文字)"/>
    <w:aliases w:val="header odd (文字)"/>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THChar">
    <w:name w:val="TH Char"/>
    <w:link w:val="TH"/>
    <w:qFormat/>
    <w:locked/>
    <w:rsid w:val="00EC7902"/>
    <w:rPr>
      <w:rFonts w:ascii="Arial" w:hAnsi="Arial"/>
      <w:b/>
      <w:lang w:val="en-GB" w:eastAsia="en-US"/>
    </w:rPr>
  </w:style>
  <w:style w:type="character" w:customStyle="1" w:styleId="TALChar">
    <w:name w:val="TAL Char"/>
    <w:link w:val="TAL"/>
    <w:qFormat/>
    <w:locked/>
    <w:rsid w:val="00FB75EF"/>
    <w:rPr>
      <w:rFonts w:ascii="Arial" w:hAnsi="Arial"/>
      <w:sz w:val="18"/>
      <w:lang w:val="en-GB" w:eastAsia="en-US"/>
    </w:rPr>
  </w:style>
  <w:style w:type="character" w:customStyle="1" w:styleId="TAHChar">
    <w:name w:val="TAH Char"/>
    <w:link w:val="TAH"/>
    <w:qFormat/>
    <w:locked/>
    <w:rsid w:val="00FB75EF"/>
    <w:rPr>
      <w:rFonts w:ascii="Arial" w:hAnsi="Arial"/>
      <w:b/>
      <w:sz w:val="18"/>
      <w:lang w:val="en-GB" w:eastAsia="en-US"/>
    </w:rPr>
  </w:style>
  <w:style w:type="character" w:customStyle="1" w:styleId="TACChar">
    <w:name w:val="TAC Char"/>
    <w:link w:val="TAC"/>
    <w:qFormat/>
    <w:locked/>
    <w:rsid w:val="00FB75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3731">
      <w:bodyDiv w:val="1"/>
      <w:marLeft w:val="0"/>
      <w:marRight w:val="0"/>
      <w:marTop w:val="0"/>
      <w:marBottom w:val="0"/>
      <w:divBdr>
        <w:top w:val="none" w:sz="0" w:space="0" w:color="auto"/>
        <w:left w:val="none" w:sz="0" w:space="0" w:color="auto"/>
        <w:bottom w:val="none" w:sz="0" w:space="0" w:color="auto"/>
        <w:right w:val="none" w:sz="0" w:space="0" w:color="auto"/>
      </w:divBdr>
    </w:div>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68236423">
      <w:bodyDiv w:val="1"/>
      <w:marLeft w:val="0"/>
      <w:marRight w:val="0"/>
      <w:marTop w:val="0"/>
      <w:marBottom w:val="0"/>
      <w:divBdr>
        <w:top w:val="none" w:sz="0" w:space="0" w:color="auto"/>
        <w:left w:val="none" w:sz="0" w:space="0" w:color="auto"/>
        <w:bottom w:val="none" w:sz="0" w:space="0" w:color="auto"/>
        <w:right w:val="none" w:sz="0" w:space="0" w:color="auto"/>
      </w:divBdr>
    </w:div>
    <w:div w:id="84306338">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27233818">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475343467">
      <w:bodyDiv w:val="1"/>
      <w:marLeft w:val="0"/>
      <w:marRight w:val="0"/>
      <w:marTop w:val="0"/>
      <w:marBottom w:val="0"/>
      <w:divBdr>
        <w:top w:val="none" w:sz="0" w:space="0" w:color="auto"/>
        <w:left w:val="none" w:sz="0" w:space="0" w:color="auto"/>
        <w:bottom w:val="none" w:sz="0" w:space="0" w:color="auto"/>
        <w:right w:val="none" w:sz="0" w:space="0" w:color="auto"/>
      </w:divBdr>
    </w:div>
    <w:div w:id="50367125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29626310">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675963420">
      <w:bodyDiv w:val="1"/>
      <w:marLeft w:val="0"/>
      <w:marRight w:val="0"/>
      <w:marTop w:val="0"/>
      <w:marBottom w:val="0"/>
      <w:divBdr>
        <w:top w:val="none" w:sz="0" w:space="0" w:color="auto"/>
        <w:left w:val="none" w:sz="0" w:space="0" w:color="auto"/>
        <w:bottom w:val="none" w:sz="0" w:space="0" w:color="auto"/>
        <w:right w:val="none" w:sz="0" w:space="0" w:color="auto"/>
      </w:divBdr>
    </w:div>
    <w:div w:id="690377008">
      <w:bodyDiv w:val="1"/>
      <w:marLeft w:val="0"/>
      <w:marRight w:val="0"/>
      <w:marTop w:val="0"/>
      <w:marBottom w:val="0"/>
      <w:divBdr>
        <w:top w:val="none" w:sz="0" w:space="0" w:color="auto"/>
        <w:left w:val="none" w:sz="0" w:space="0" w:color="auto"/>
        <w:bottom w:val="none" w:sz="0" w:space="0" w:color="auto"/>
        <w:right w:val="none" w:sz="0" w:space="0" w:color="auto"/>
      </w:divBdr>
    </w:div>
    <w:div w:id="714741199">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03738604">
      <w:bodyDiv w:val="1"/>
      <w:marLeft w:val="0"/>
      <w:marRight w:val="0"/>
      <w:marTop w:val="0"/>
      <w:marBottom w:val="0"/>
      <w:divBdr>
        <w:top w:val="none" w:sz="0" w:space="0" w:color="auto"/>
        <w:left w:val="none" w:sz="0" w:space="0" w:color="auto"/>
        <w:bottom w:val="none" w:sz="0" w:space="0" w:color="auto"/>
        <w:right w:val="none" w:sz="0" w:space="0" w:color="auto"/>
      </w:divBdr>
    </w:div>
    <w:div w:id="832523534">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883828259">
      <w:bodyDiv w:val="1"/>
      <w:marLeft w:val="0"/>
      <w:marRight w:val="0"/>
      <w:marTop w:val="0"/>
      <w:marBottom w:val="0"/>
      <w:divBdr>
        <w:top w:val="none" w:sz="0" w:space="0" w:color="auto"/>
        <w:left w:val="none" w:sz="0" w:space="0" w:color="auto"/>
        <w:bottom w:val="none" w:sz="0" w:space="0" w:color="auto"/>
        <w:right w:val="none" w:sz="0" w:space="0" w:color="auto"/>
      </w:divBdr>
    </w:div>
    <w:div w:id="959841842">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995644763">
      <w:bodyDiv w:val="1"/>
      <w:marLeft w:val="0"/>
      <w:marRight w:val="0"/>
      <w:marTop w:val="0"/>
      <w:marBottom w:val="0"/>
      <w:divBdr>
        <w:top w:val="none" w:sz="0" w:space="0" w:color="auto"/>
        <w:left w:val="none" w:sz="0" w:space="0" w:color="auto"/>
        <w:bottom w:val="none" w:sz="0" w:space="0" w:color="auto"/>
        <w:right w:val="none" w:sz="0" w:space="0" w:color="auto"/>
      </w:divBdr>
    </w:div>
    <w:div w:id="1072971665">
      <w:bodyDiv w:val="1"/>
      <w:marLeft w:val="0"/>
      <w:marRight w:val="0"/>
      <w:marTop w:val="0"/>
      <w:marBottom w:val="0"/>
      <w:divBdr>
        <w:top w:val="none" w:sz="0" w:space="0" w:color="auto"/>
        <w:left w:val="none" w:sz="0" w:space="0" w:color="auto"/>
        <w:bottom w:val="none" w:sz="0" w:space="0" w:color="auto"/>
        <w:right w:val="none" w:sz="0" w:space="0" w:color="auto"/>
      </w:divBdr>
    </w:div>
    <w:div w:id="1237282178">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11543128">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71940081">
      <w:bodyDiv w:val="1"/>
      <w:marLeft w:val="0"/>
      <w:marRight w:val="0"/>
      <w:marTop w:val="0"/>
      <w:marBottom w:val="0"/>
      <w:divBdr>
        <w:top w:val="none" w:sz="0" w:space="0" w:color="auto"/>
        <w:left w:val="none" w:sz="0" w:space="0" w:color="auto"/>
        <w:bottom w:val="none" w:sz="0" w:space="0" w:color="auto"/>
        <w:right w:val="none" w:sz="0" w:space="0" w:color="auto"/>
      </w:divBdr>
    </w:div>
    <w:div w:id="1496798906">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59708936">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0638106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74188883">
      <w:bodyDiv w:val="1"/>
      <w:marLeft w:val="0"/>
      <w:marRight w:val="0"/>
      <w:marTop w:val="0"/>
      <w:marBottom w:val="0"/>
      <w:divBdr>
        <w:top w:val="none" w:sz="0" w:space="0" w:color="auto"/>
        <w:left w:val="none" w:sz="0" w:space="0" w:color="auto"/>
        <w:bottom w:val="none" w:sz="0" w:space="0" w:color="auto"/>
        <w:right w:val="none" w:sz="0" w:space="0" w:color="auto"/>
      </w:divBdr>
    </w:div>
    <w:div w:id="1684240697">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34884132">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796756640">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814983684">
      <w:bodyDiv w:val="1"/>
      <w:marLeft w:val="0"/>
      <w:marRight w:val="0"/>
      <w:marTop w:val="0"/>
      <w:marBottom w:val="0"/>
      <w:divBdr>
        <w:top w:val="none" w:sz="0" w:space="0" w:color="auto"/>
        <w:left w:val="none" w:sz="0" w:space="0" w:color="auto"/>
        <w:bottom w:val="none" w:sz="0" w:space="0" w:color="auto"/>
        <w:right w:val="none" w:sz="0" w:space="0" w:color="auto"/>
      </w:divBdr>
    </w:div>
    <w:div w:id="1883976401">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1692</Words>
  <Characters>9225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7</cp:revision>
  <cp:lastPrinted>1899-12-31T23:00:00Z</cp:lastPrinted>
  <dcterms:created xsi:type="dcterms:W3CDTF">2025-10-01T13:29:00Z</dcterms:created>
  <dcterms:modified xsi:type="dcterms:W3CDTF">2025-10-14T09:11:00Z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1758599204</vt:lpwstr>
  </property>
  <property fmtid="{D5CDD505-2E9C-101B-9397-08002B2CF9AE}" pid="28" name="MSIP_Label_3c0b8f5e-a60e-4a82-afde-6afffc7420ba_Enabled">
    <vt:lpwstr>true</vt:lpwstr>
  </property>
  <property fmtid="{D5CDD505-2E9C-101B-9397-08002B2CF9AE}" pid="29" name="MSIP_Label_3c0b8f5e-a60e-4a82-afde-6afffc7420ba_SetDate">
    <vt:lpwstr>2025-09-29T05:23:21Z</vt:lpwstr>
  </property>
  <property fmtid="{D5CDD505-2E9C-101B-9397-08002B2CF9AE}" pid="30" name="MSIP_Label_3c0b8f5e-a60e-4a82-afde-6afffc7420ba_Method">
    <vt:lpwstr>Standard</vt:lpwstr>
  </property>
  <property fmtid="{D5CDD505-2E9C-101B-9397-08002B2CF9AE}" pid="31" name="MSIP_Label_3c0b8f5e-a60e-4a82-afde-6afffc7420ba_Name">
    <vt:lpwstr>未分類</vt:lpwstr>
  </property>
  <property fmtid="{D5CDD505-2E9C-101B-9397-08002B2CF9AE}" pid="32" name="MSIP_Label_3c0b8f5e-a60e-4a82-afde-6afffc7420ba_SiteId">
    <vt:lpwstr>e67df547-9d0d-4f4d-9161-51c6ed1f7d11</vt:lpwstr>
  </property>
  <property fmtid="{D5CDD505-2E9C-101B-9397-08002B2CF9AE}" pid="33" name="MSIP_Label_3c0b8f5e-a60e-4a82-afde-6afffc7420ba_ActionId">
    <vt:lpwstr>15d4611a-51b5-45df-b4e9-110104f27de0</vt:lpwstr>
  </property>
  <property fmtid="{D5CDD505-2E9C-101B-9397-08002B2CF9AE}" pid="34" name="MSIP_Label_3c0b8f5e-a60e-4a82-afde-6afffc7420ba_ContentBits">
    <vt:lpwstr>0</vt:lpwstr>
  </property>
</Properties>
</file>