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EB6BC">
      <w:pPr>
        <w:pStyle w:val="10"/>
        <w:tabs>
          <w:tab w:val="right" w:pos="9639"/>
        </w:tabs>
        <w:spacing w:after="0"/>
        <w:rPr>
          <w:rFonts w:cs="Times New Roman"/>
          <w:b/>
          <w:sz w:val="24"/>
          <w:szCs w:val="28"/>
        </w:rPr>
      </w:pPr>
      <w:r>
        <w:rPr>
          <w:b/>
          <w:sz w:val="24"/>
          <w:szCs w:val="28"/>
        </w:rPr>
        <w:t>3GPP TSG-RAN WG3 Meeting #127</w:t>
      </w:r>
      <w:r>
        <w:rPr>
          <w:rFonts w:hint="eastAsia"/>
          <w:b/>
          <w:sz w:val="24"/>
          <w:szCs w:val="28"/>
          <w:lang w:val="en-US" w:eastAsia="zh-CN"/>
        </w:rPr>
        <w:t xml:space="preserve">            </w:t>
      </w:r>
      <w:r>
        <w:rPr>
          <w:rFonts w:hint="eastAsia" w:cs="Times New Roman"/>
          <w:b/>
          <w:sz w:val="24"/>
          <w:szCs w:val="28"/>
          <w:lang w:val="en-US" w:eastAsia="zh-CN"/>
        </w:rPr>
        <w:t xml:space="preserve">              </w:t>
      </w:r>
      <w:r>
        <w:rPr>
          <w:rFonts w:hint="default" w:cs="Times New Roman"/>
          <w:b/>
          <w:sz w:val="24"/>
          <w:szCs w:val="28"/>
          <w:lang w:val="en-US" w:eastAsia="zh-CN"/>
        </w:rPr>
        <w:t>R3-250834</w:t>
      </w:r>
    </w:p>
    <w:p w14:paraId="3AD52C3B"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Athens, Greece, February 17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– 21</w:t>
      </w:r>
      <w:r>
        <w:rPr>
          <w:b/>
          <w:bCs/>
          <w:sz w:val="24"/>
          <w:szCs w:val="24"/>
          <w:vertAlign w:val="superscript"/>
          <w:lang w:val="en-US"/>
        </w:rPr>
        <w:t>st</w:t>
      </w:r>
      <w:r>
        <w:rPr>
          <w:b/>
          <w:bCs/>
          <w:sz w:val="24"/>
          <w:szCs w:val="24"/>
          <w:lang w:val="en-US"/>
        </w:rPr>
        <w:t xml:space="preserve"> 2025</w:t>
      </w:r>
    </w:p>
    <w:p w14:paraId="7B45E2D7">
      <w:pPr>
        <w:jc w:val="left"/>
        <w:rPr>
          <w:rFonts w:cs="Arial"/>
          <w:lang w:val="en-US"/>
        </w:rPr>
      </w:pPr>
    </w:p>
    <w:p w14:paraId="431C4A84">
      <w:pPr>
        <w:ind w:left="1701" w:hanging="1701"/>
        <w:jc w:val="left"/>
        <w:rPr>
          <w:b/>
          <w:bCs/>
        </w:rPr>
      </w:pPr>
      <w:r>
        <w:rPr>
          <w:b/>
          <w:bCs/>
        </w:rPr>
        <w:t>Title:</w:t>
      </w:r>
      <w:r>
        <w:rPr>
          <w:b/>
          <w:bCs/>
        </w:rPr>
        <w:tab/>
      </w:r>
      <w:r>
        <w:rPr>
          <w:b/>
          <w:bCs/>
        </w:rPr>
        <w:t>Reply LS on FS_VMR_Ph2 solution impacts to RAN (Access Control and Additional ULI)</w:t>
      </w:r>
    </w:p>
    <w:p w14:paraId="2F637FE6">
      <w:pPr>
        <w:jc w:val="left"/>
        <w:rPr>
          <w:b/>
          <w:bCs/>
        </w:rPr>
      </w:pPr>
      <w:r>
        <w:rPr>
          <w:b/>
          <w:bCs/>
        </w:rPr>
        <w:t>Response to:</w:t>
      </w:r>
      <w:r>
        <w:rPr>
          <w:b/>
          <w:bCs/>
        </w:rPr>
        <w:tab/>
      </w:r>
      <w:r>
        <w:rPr>
          <w:b/>
          <w:bCs/>
        </w:rPr>
        <w:t>R3-250071/S2-2501324</w:t>
      </w:r>
      <w:bookmarkStart w:id="2" w:name="_GoBack"/>
      <w:bookmarkEnd w:id="2"/>
    </w:p>
    <w:p w14:paraId="172E5B25">
      <w:pPr>
        <w:jc w:val="left"/>
        <w:rPr>
          <w:b/>
          <w:bCs/>
        </w:rPr>
      </w:pPr>
      <w:r>
        <w:rPr>
          <w:b/>
          <w:bCs/>
        </w:rPr>
        <w:t>Release:</w:t>
      </w:r>
      <w:r>
        <w:rPr>
          <w:b/>
          <w:bCs/>
        </w:rPr>
        <w:tab/>
      </w:r>
      <w:r>
        <w:rPr>
          <w:b/>
          <w:bCs/>
        </w:rPr>
        <w:t>Rel-19</w:t>
      </w:r>
    </w:p>
    <w:p w14:paraId="686B63F2">
      <w:pPr>
        <w:jc w:val="left"/>
        <w:rPr>
          <w:b/>
          <w:bCs/>
        </w:rPr>
      </w:pPr>
      <w:r>
        <w:rPr>
          <w:b/>
          <w:bCs/>
        </w:rPr>
        <w:t>Work Item:</w:t>
      </w:r>
      <w:r>
        <w:rPr>
          <w:b/>
          <w:bCs/>
        </w:rPr>
        <w:tab/>
      </w:r>
      <w:r>
        <w:rPr>
          <w:b/>
          <w:bCs/>
        </w:rPr>
        <w:t>FS_VMR_Ph2, NR_WAB_5GFemto-Core</w:t>
      </w:r>
    </w:p>
    <w:p w14:paraId="7AE61C05">
      <w:pPr>
        <w:spacing w:after="60"/>
        <w:jc w:val="left"/>
        <w:rPr>
          <w:rFonts w:cs="Arial"/>
          <w:b/>
        </w:rPr>
      </w:pPr>
    </w:p>
    <w:p w14:paraId="68CDD53D">
      <w:pPr>
        <w:pStyle w:val="11"/>
        <w:ind w:left="1710" w:hanging="1699"/>
        <w:rPr>
          <w:bCs/>
        </w:rPr>
      </w:pPr>
      <w:r>
        <w:t>Source:</w:t>
      </w:r>
      <w:r>
        <w:tab/>
      </w:r>
      <w:r>
        <w:rPr>
          <w:bCs/>
        </w:rPr>
        <w:t>RAN3</w:t>
      </w:r>
    </w:p>
    <w:p w14:paraId="3B7A74E1">
      <w:pPr>
        <w:pStyle w:val="11"/>
        <w:ind w:left="1710" w:hanging="1699"/>
      </w:pPr>
      <w:r>
        <w:t>To:</w:t>
      </w:r>
      <w:r>
        <w:tab/>
      </w:r>
      <w:r>
        <w:rPr>
          <w:bCs/>
        </w:rPr>
        <w:t>SA2</w:t>
      </w:r>
    </w:p>
    <w:p w14:paraId="63E2AEE8">
      <w:pPr>
        <w:pStyle w:val="11"/>
        <w:ind w:left="1710" w:hanging="1699"/>
      </w:pPr>
      <w:r>
        <w:t>Cc:</w:t>
      </w:r>
      <w:r>
        <w:tab/>
      </w:r>
      <w:r>
        <w:rPr>
          <w:bCs/>
        </w:rPr>
        <w:t>RAN2</w:t>
      </w:r>
    </w:p>
    <w:p w14:paraId="0A5CEBF3">
      <w:pPr>
        <w:spacing w:after="60"/>
        <w:ind w:left="1985" w:hanging="1985"/>
        <w:jc w:val="left"/>
        <w:rPr>
          <w:rFonts w:cs="Arial"/>
          <w:b/>
          <w:bCs/>
        </w:rPr>
      </w:pPr>
    </w:p>
    <w:p w14:paraId="29D491CF">
      <w:pPr>
        <w:tabs>
          <w:tab w:val="left" w:pos="2268"/>
        </w:tabs>
        <w:jc w:val="left"/>
        <w:rPr>
          <w:rFonts w:cs="Arial"/>
          <w:b/>
          <w:bCs/>
        </w:rPr>
      </w:pPr>
      <w:r>
        <w:rPr>
          <w:rFonts w:cs="Arial"/>
          <w:b/>
        </w:rPr>
        <w:t>Contact Person:</w:t>
      </w:r>
      <w:r>
        <w:rPr>
          <w:rFonts w:cs="Arial"/>
          <w:b/>
          <w:bCs/>
        </w:rPr>
        <w:tab/>
      </w:r>
    </w:p>
    <w:p w14:paraId="5AEA8571">
      <w:pPr>
        <w:ind w:left="567"/>
        <w:jc w:val="left"/>
        <w:rPr>
          <w:rFonts w:hint="default" w:eastAsia="宋体"/>
          <w:b/>
          <w:bCs/>
          <w:color w:val="000000"/>
          <w:lang w:val="en-US" w:eastAsia="zh-CN"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 w:eastAsia="宋体"/>
          <w:b/>
          <w:bCs/>
          <w:lang w:val="en-US" w:eastAsia="zh-CN"/>
        </w:rPr>
        <w:t>Ying Huang</w:t>
      </w:r>
    </w:p>
    <w:p w14:paraId="720E38AF">
      <w:pPr>
        <w:ind w:left="567"/>
        <w:jc w:val="left"/>
        <w:rPr>
          <w:rFonts w:hint="default" w:eastAsia="宋体"/>
          <w:color w:val="000000"/>
          <w:lang w:val="en-US" w:eastAsia="zh-CN"/>
        </w:rPr>
      </w:pPr>
      <w:r>
        <w:rPr>
          <w:b/>
          <w:bCs/>
          <w:color w:val="000000"/>
        </w:rPr>
        <w:t>E-mail Address:</w:t>
      </w:r>
      <w:r>
        <w:rPr>
          <w:b/>
          <w:bCs/>
          <w:color w:val="000000"/>
        </w:rPr>
        <w:tab/>
      </w:r>
      <w:r>
        <w:rPr>
          <w:rFonts w:hint="eastAsia" w:eastAsia="宋体"/>
          <w:b/>
          <w:bCs/>
          <w:color w:val="000000"/>
          <w:lang w:val="en-US" w:eastAsia="zh-CN"/>
        </w:rPr>
        <w:t>huang.ying11@zte.com.cn</w:t>
      </w:r>
    </w:p>
    <w:p w14:paraId="26A17C59">
      <w:pPr>
        <w:spacing w:after="60"/>
        <w:ind w:left="1985" w:hanging="1985"/>
        <w:jc w:val="left"/>
        <w:rPr>
          <w:rFonts w:cs="Arial"/>
          <w:b/>
        </w:rPr>
      </w:pPr>
    </w:p>
    <w:p w14:paraId="1C2C3608">
      <w:pPr>
        <w:tabs>
          <w:tab w:val="left" w:pos="2268"/>
        </w:tabs>
        <w:jc w:val="left"/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</w:r>
      <w:r>
        <w:rPr>
          <w:rFonts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9"/>
          <w:rFonts w:cs="Arial"/>
          <w:b/>
        </w:rPr>
        <w:t>mailto:3GPPLiaison@etsi.org</w:t>
      </w:r>
      <w:r>
        <w:rPr>
          <w:rStyle w:val="9"/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67218042">
      <w:pPr>
        <w:spacing w:after="60"/>
        <w:ind w:left="1985" w:hanging="1985"/>
        <w:jc w:val="left"/>
        <w:rPr>
          <w:rFonts w:cs="Arial"/>
          <w:b/>
        </w:rPr>
      </w:pPr>
    </w:p>
    <w:p w14:paraId="0B425C64">
      <w:pPr>
        <w:jc w:val="left"/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>Attachmen</w:t>
      </w:r>
      <w:r>
        <w:rPr>
          <w:rFonts w:eastAsia="Times New Roman" w:cs="Times New Roman"/>
          <w:b/>
          <w:bCs/>
        </w:rPr>
        <w:t xml:space="preserve">ts:  </w:t>
      </w:r>
      <w:r>
        <w:rPr>
          <w:rFonts w:hint="eastAsia" w:eastAsia="Times New Roman" w:cs="Times New Roman"/>
          <w:b/>
          <w:bCs/>
          <w:lang w:val="en-US" w:eastAsia="zh-CN"/>
        </w:rPr>
        <w:t>TP to 38.413 BL CR (</w:t>
      </w:r>
      <w:r>
        <w:rPr>
          <w:rFonts w:hint="default" w:eastAsia="Times New Roman" w:cs="Times New Roman"/>
          <w:b/>
          <w:bCs/>
          <w:lang w:val="en-US" w:eastAsia="zh-CN"/>
        </w:rPr>
        <w:t>R3-250833</w:t>
      </w:r>
      <w:r>
        <w:rPr>
          <w:rFonts w:hint="eastAsia" w:eastAsia="Times New Roman" w:cs="Times New Roman"/>
          <w:b/>
          <w:bCs/>
          <w:lang w:val="en-US" w:eastAsia="zh-CN"/>
        </w:rPr>
        <w:t>)</w:t>
      </w:r>
    </w:p>
    <w:p w14:paraId="0BDF17D6">
      <w:pPr>
        <w:pBdr>
          <w:bottom w:val="single" w:color="auto" w:sz="4" w:space="1"/>
        </w:pBdr>
        <w:rPr>
          <w:rFonts w:cs="Arial"/>
        </w:rPr>
      </w:pPr>
    </w:p>
    <w:p w14:paraId="08A2265E">
      <w:pPr>
        <w:jc w:val="left"/>
        <w:rPr>
          <w:rFonts w:cs="Arial"/>
        </w:rPr>
      </w:pPr>
    </w:p>
    <w:p w14:paraId="4FA68B69">
      <w:pPr>
        <w:jc w:val="left"/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33F1BE1">
      <w:pPr>
        <w:spacing w:before="120" w:after="0"/>
        <w:jc w:val="left"/>
        <w:rPr>
          <w:rFonts w:cs="Arial"/>
        </w:rPr>
      </w:pPr>
      <w:r>
        <w:rPr>
          <w:rFonts w:cs="Arial"/>
        </w:rPr>
        <w:t>RAN3 thanks SA2 for the LS reply on FS_VMR_Ph2 solution impacts to RAN (Access Control and Additional ULI) in S2-2501324.</w:t>
      </w:r>
    </w:p>
    <w:p w14:paraId="15749524">
      <w:pPr>
        <w:spacing w:before="120" w:after="0"/>
        <w:jc w:val="left"/>
        <w:rPr>
          <w:rFonts w:hint="eastAsia" w:eastAsia="宋体" w:cs="Arial"/>
          <w:bCs/>
          <w:lang w:val="en-US" w:eastAsia="zh-CN"/>
        </w:rPr>
      </w:pPr>
      <w:r>
        <w:rPr>
          <w:rFonts w:cs="Arial"/>
          <w:bCs/>
        </w:rPr>
        <w:t>With respect to Additional ULI, RAN3 has</w:t>
      </w:r>
      <w:r>
        <w:rPr>
          <w:rFonts w:hint="eastAsia" w:eastAsia="宋体" w:cs="Arial"/>
          <w:bCs/>
          <w:lang w:val="en-US" w:eastAsia="zh-CN"/>
        </w:rPr>
        <w:t xml:space="preserve"> achieved</w:t>
      </w:r>
      <w:r>
        <w:rPr>
          <w:rFonts w:cs="Arial"/>
          <w:bCs/>
        </w:rPr>
        <w:t xml:space="preserve"> </w:t>
      </w:r>
      <w:r>
        <w:rPr>
          <w:rFonts w:hint="eastAsia" w:eastAsia="宋体" w:cs="Arial"/>
          <w:bCs/>
          <w:lang w:val="en-US" w:eastAsia="zh-CN"/>
        </w:rPr>
        <w:t>the following agreement: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356A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400F47F">
            <w:pPr>
              <w:rPr>
                <w:rFonts w:cs="Calibri"/>
                <w:b/>
                <w:color w:val="auto"/>
                <w:sz w:val="18"/>
                <w:lang w:eastAsia="en-US"/>
              </w:rPr>
            </w:pPr>
            <w:r>
              <w:rPr>
                <w:rFonts w:cs="Calibri"/>
                <w:b/>
                <w:color w:val="auto"/>
                <w:sz w:val="18"/>
                <w:lang w:eastAsia="en-US"/>
              </w:rPr>
              <w:t>Include Additional ULI into the User Location Information IE in TS 38.413. A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dditional ULI contains 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 xml:space="preserve">a 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>CGI and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 xml:space="preserve"> a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 TAI. </w:t>
            </w:r>
          </w:p>
          <w:p w14:paraId="281F4EAC">
            <w:pPr>
              <w:rPr>
                <w:rFonts w:cs="Calibri"/>
                <w:b/>
                <w:color w:val="auto"/>
                <w:sz w:val="18"/>
                <w:lang w:eastAsia="en-US"/>
              </w:rPr>
            </w:pPr>
            <w:r>
              <w:rPr>
                <w:rFonts w:cs="Calibri"/>
                <w:b/>
                <w:color w:val="auto"/>
                <w:sz w:val="18"/>
                <w:lang w:eastAsia="en-US"/>
              </w:rPr>
              <w:t>In case the additional ULI has changed e.g. due to WAB-node movement, the WAB-gNB derives the new additional ULI and it reports it to the network, if required by the CN via legacy procedures. Add this description into TS38.401</w:t>
            </w:r>
          </w:p>
          <w:p w14:paraId="6389E52C">
            <w:pPr>
              <w:spacing w:before="120" w:after="0"/>
              <w:jc w:val="left"/>
              <w:rPr>
                <w:rFonts w:hint="eastAsia" w:eastAsia="宋体" w:cs="Arial"/>
                <w:bCs/>
                <w:vertAlign w:val="baseline"/>
                <w:lang w:val="en-US" w:eastAsia="zh-CN"/>
              </w:rPr>
            </w:pP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In case 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>of WAB-MT connects via NTN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, the 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>A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dditional ULI is 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>determined based</w:t>
            </w:r>
            <w:r>
              <w:rPr>
                <w:rFonts w:hint="eastAsia" w:cs="Calibri"/>
                <w:b/>
                <w:color w:val="auto"/>
                <w:sz w:val="18"/>
                <w:lang w:eastAsia="en-US"/>
              </w:rPr>
              <w:t xml:space="preserve"> on WAB-node geo-location. 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>The latter applies to intra PLMN and inter PLMN cases.</w:t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br w:type="textWrapping"/>
            </w:r>
            <w:r>
              <w:rPr>
                <w:rFonts w:cs="Calibri"/>
                <w:b/>
                <w:color w:val="auto"/>
                <w:sz w:val="18"/>
                <w:lang w:eastAsia="en-US"/>
              </w:rPr>
              <w:t xml:space="preserve">SA2 should be informed of the above agreement. </w:t>
            </w:r>
          </w:p>
        </w:tc>
      </w:tr>
    </w:tbl>
    <w:p w14:paraId="1E614848">
      <w:pPr>
        <w:spacing w:before="120" w:after="0"/>
        <w:jc w:val="left"/>
        <w:rPr>
          <w:rFonts w:hint="default" w:eastAsia="Times New Roman" w:cs="Arial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And RAN3 </w:t>
      </w:r>
      <w:r>
        <w:rPr>
          <w:rFonts w:ascii="Arial" w:hAnsi="Arial"/>
        </w:rPr>
        <w:t xml:space="preserve">has agreed </w:t>
      </w:r>
      <w:r>
        <w:rPr>
          <w:rFonts w:hint="eastAsia" w:eastAsia="宋体"/>
          <w:lang w:val="en-US" w:eastAsia="zh-CN"/>
        </w:rPr>
        <w:t>the TP to the 38.413 BL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</w:rPr>
        <w:t>CR</w:t>
      </w:r>
      <w:r>
        <w:rPr>
          <w:rFonts w:hint="eastAsia" w:eastAsia="宋体" w:cs="Arial"/>
          <w:bCs/>
          <w:lang w:val="en-US" w:eastAsia="zh-CN"/>
        </w:rPr>
        <w:t xml:space="preserve"> (</w:t>
      </w:r>
      <w:r>
        <w:rPr>
          <w:rFonts w:hint="default" w:ascii="Arial" w:hAnsi="Arial" w:eastAsia="Times New Roman" w:cs="Arial"/>
          <w:bCs/>
          <w:lang w:val="en-US" w:eastAsia="zh-CN"/>
        </w:rPr>
        <w:t>R3-250833</w:t>
      </w:r>
      <w:r>
        <w:rPr>
          <w:rFonts w:hint="eastAsia" w:eastAsia="宋体" w:cs="Arial"/>
          <w:bCs/>
          <w:lang w:val="en-US" w:eastAsia="zh-CN"/>
        </w:rPr>
        <w:t>) to capture the above agreements</w:t>
      </w:r>
      <w:r>
        <w:rPr>
          <w:rFonts w:ascii="Arial" w:hAnsi="Arial" w:cs="Arial"/>
          <w:bCs/>
        </w:rPr>
        <w:t>.</w:t>
      </w:r>
      <w:r>
        <w:rPr>
          <w:rFonts w:hint="eastAsia" w:eastAsia="宋体" w:cs="Arial"/>
          <w:bCs/>
          <w:lang w:val="en-US" w:eastAsia="zh-CN"/>
        </w:rPr>
        <w:t xml:space="preserve"> </w:t>
      </w:r>
      <w:r>
        <w:rPr>
          <w:rFonts w:hint="eastAsia" w:eastAsia="Times New Roman" w:cs="Arial"/>
          <w:lang w:val="en-US" w:eastAsia="zh-CN"/>
        </w:rPr>
        <w:t>RAN3 observes that the above RAN3 agreements has some misalignment with the following highlighted text in the SA2 agreed CR S2-2501322</w:t>
      </w:r>
      <w:r>
        <w:rPr>
          <w:rFonts w:hint="eastAsia" w:eastAsia="Times New Roman" w:cs="Arial"/>
          <w:lang w:val="en-US" w:eastAsia="zh-CN"/>
        </w:rPr>
        <w:t xml:space="preserve"> for case when the WAB-gNB broadcasted PLMN/SNPN is the same as the BH PLMN/SNPN and the co-located WAB-MT accesses via NTN</w:t>
      </w:r>
      <w:r>
        <w:rPr>
          <w:rFonts w:hint="eastAsia" w:eastAsia="Times New Roman" w:cs="Arial"/>
          <w:lang w:val="en-US" w:eastAsia="zh-CN"/>
        </w:rPr>
        <w:t xml:space="preserve">. So RAN3 would like SA2 to take the above RAN3 agreements on additional ULI into account and update the specification if needed.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3505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5512027D">
            <w:pPr>
              <w:pStyle w:val="4"/>
            </w:pPr>
            <w:bookmarkStart w:id="0" w:name="_Toc185601356"/>
            <w:r>
              <w:t>5.49.4</w:t>
            </w:r>
            <w:r>
              <w:tab/>
            </w:r>
            <w:r>
              <w:t>Support of Additional ULI</w:t>
            </w:r>
            <w:bookmarkEnd w:id="0"/>
          </w:p>
          <w:p w14:paraId="2EF66774">
            <w:r>
              <w:t>The TAC and cell ID broadcasted by the MWAB-gNB are configured and reconfigured e.g. upon MWAB mobility as specified in TS 38.401 [42]. The MWAB-gNB provides these in the User Location Information (ULI) to the AMF serving the UE</w:t>
            </w:r>
            <w:ins w:id="0" w:author="catt-hyj" w:date="2025-01-24T20:42:00Z">
              <w:r>
                <w:rPr>
                  <w:lang w:eastAsia="zh-CN"/>
                </w:rPr>
                <w:t>’</w:t>
              </w:r>
            </w:ins>
            <w:ins w:id="1" w:author="catt-hyj" w:date="2025-01-24T20:42:00Z">
              <w:r>
                <w:rPr>
                  <w:rFonts w:hint="eastAsia"/>
                  <w:lang w:eastAsia="zh-CN"/>
                </w:rPr>
                <w:t>s</w:t>
              </w:r>
            </w:ins>
            <w:r>
              <w:t xml:space="preserve"> accessing </w:t>
            </w:r>
            <w:del w:id="2" w:author="catt-hyj" w:date="2025-01-24T20:43:00Z">
              <w:r>
                <w:rPr/>
                <w:delText xml:space="preserve">the </w:delText>
              </w:r>
            </w:del>
            <w:r>
              <w:t>MWAB</w:t>
            </w:r>
            <w:ins w:id="3" w:author="catt-hyj" w:date="2025-01-24T20:42:00Z">
              <w:r>
                <w:rPr>
                  <w:rFonts w:hint="eastAsia"/>
                  <w:lang w:eastAsia="zh-CN"/>
                </w:rPr>
                <w:t>-</w:t>
              </w:r>
            </w:ins>
            <w:ins w:id="4" w:author="catt-hyj" w:date="2025-01-24T20:43:00Z">
              <w:r>
                <w:rPr>
                  <w:rFonts w:hint="eastAsia"/>
                  <w:lang w:eastAsia="zh-CN"/>
                </w:rPr>
                <w:t>gNB</w:t>
              </w:r>
            </w:ins>
            <w:r>
              <w:t>.</w:t>
            </w:r>
          </w:p>
          <w:p w14:paraId="3DEB9226">
            <w:pPr>
              <w:rPr>
                <w:ins w:id="5" w:author="catt-hyj" w:date="2025-01-24T20:42:00Z"/>
                <w:rFonts w:hint="eastAsia"/>
                <w:lang w:eastAsia="zh-CN"/>
              </w:rPr>
            </w:pPr>
            <w:bookmarkStart w:id="1" w:name="_CR5_49_5"/>
            <w:bookmarkEnd w:id="1"/>
            <w:r>
              <w:t>The MWAB-gNB shall</w:t>
            </w:r>
            <w:ins w:id="6" w:author="catt-hyj" w:date="2025-01-24T20:43:00Z">
              <w:r>
                <w:rPr>
                  <w:rFonts w:hint="eastAsia"/>
                  <w:lang w:eastAsia="zh-CN"/>
                </w:rPr>
                <w:t xml:space="preserve"> also</w:t>
              </w:r>
            </w:ins>
            <w:r>
              <w:t xml:space="preserve"> provide the Additional User Location Information (Additional ULI) that reflects the location of the MWAB-UE to the AMF when it sends the User Location Information (ULI) over N2 messages.</w:t>
            </w:r>
            <w:ins w:id="7" w:author="catt-hyj" w:date="2025-01-24T20:41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8" w:author="catt-hyj" w:date="2025-01-24T20:41:00Z">
              <w:r>
                <w:rPr/>
                <w:t>In the Additional ULI, the MWAB-gNB provides the TAI/NR CGI of the MWAB Broadcasted PLMN/SNPN with which the UE is registered as specified in TS 38.401 [42].</w:t>
              </w:r>
            </w:ins>
            <w:ins w:id="9" w:author="Nokia" w:date="2025-01-22T11:35:00Z">
              <w:r>
                <w:rPr/>
                <w:t xml:space="preserve"> </w:t>
              </w:r>
            </w:ins>
          </w:p>
          <w:p w14:paraId="74F077EA">
            <w:pPr>
              <w:pStyle w:val="13"/>
              <w:rPr>
                <w:ins w:id="10" w:author="catt-hyj" w:date="2025-01-24T20:42:00Z"/>
                <w:del w:id="11" w:author="Ericsson_CQ" w:date="2025-01-21T17:16:00Z"/>
                <w:rFonts w:hint="eastAsia"/>
                <w:lang w:eastAsia="zh-CN"/>
              </w:rPr>
            </w:pPr>
            <w:ins w:id="12" w:author="catt-hyj" w:date="2025-01-24T20:42:00Z">
              <w:r>
                <w:rPr/>
                <w:t>NOTE:</w:t>
              </w:r>
            </w:ins>
            <w:ins w:id="13" w:author="catt-hyj" w:date="2025-01-24T20:42:00Z">
              <w:r>
                <w:rPr/>
                <w:tab/>
              </w:r>
            </w:ins>
            <w:ins w:id="14" w:author="catt-hyj" w:date="2025-01-24T20:42:00Z">
              <w:r>
                <w:rPr/>
                <w:t xml:space="preserve">For the case of MWAB broadcasted PLMN/SNPN being different from the BH PLMN, MWAB-gNB formulates the Additional ULI as specified in TS 38.401 [42] based on MWABs geo-location. The MWAB can determine its geo-location using GNSS or via a MWAB-UE initiated 5GC-MO-LR procedures as specified in TS 23.273 [87]. </w:t>
              </w:r>
            </w:ins>
            <w:ins w:id="15" w:author="catt-hyj" w:date="2025-01-24T20:42:00Z">
              <w:r>
                <w:rPr>
                  <w:b/>
                  <w:bCs/>
                  <w:highlight w:val="none"/>
                </w:rPr>
                <w:t>If the MWAB broadcasted PLMN/SNPN is the same as the BH PLMN, then the TAI/NR CGI of the cell serving the MWAB-UE is included in the Additional ULI as specified in TS 38.401 [42].</w:t>
              </w:r>
            </w:ins>
          </w:p>
          <w:p w14:paraId="62D16F3B">
            <w:pPr>
              <w:rPr>
                <w:ins w:id="16" w:author="Hong Cheng" w:date="2025-01-21T22:45:00Z"/>
              </w:rPr>
            </w:pPr>
            <w:del w:id="17" w:author="catt-hyj" w:date="2025-01-13T18:24:00Z">
              <w:r>
                <w:rPr/>
                <w:delText>Editor's note:</w:delText>
              </w:r>
            </w:del>
            <w:del w:id="18" w:author="catt-hyj" w:date="2025-01-13T18:24:00Z">
              <w:r>
                <w:rPr/>
                <w:tab/>
              </w:r>
            </w:del>
            <w:del w:id="19" w:author="catt-hyj" w:date="2025-01-13T18:24:00Z">
              <w:r>
                <w:rPr/>
                <w:delText>For the case that the BH PLMN and the MWAB broadcasted PLMN are different the exact content and handling of the Additional ULI will be defined based on RAN feedback.</w:delText>
              </w:r>
            </w:del>
          </w:p>
          <w:p w14:paraId="332557FB">
            <w:pPr>
              <w:spacing w:before="120" w:after="0"/>
              <w:jc w:val="left"/>
              <w:rPr>
                <w:rFonts w:hint="default" w:eastAsia="Times New Roman" w:cs="Arial"/>
                <w:vertAlign w:val="baseline"/>
                <w:lang w:val="en-US" w:eastAsia="zh-CN"/>
              </w:rPr>
            </w:pPr>
          </w:p>
        </w:tc>
      </w:tr>
    </w:tbl>
    <w:p w14:paraId="031E7308">
      <w:pPr>
        <w:jc w:val="left"/>
        <w:rPr>
          <w:rFonts w:cs="Arial"/>
          <w:color w:val="FF0000"/>
        </w:rPr>
      </w:pPr>
    </w:p>
    <w:p w14:paraId="422FA60A">
      <w:pPr>
        <w:jc w:val="left"/>
        <w:rPr>
          <w:rFonts w:cs="Arial"/>
          <w:b/>
        </w:rPr>
      </w:pPr>
      <w:r>
        <w:rPr>
          <w:rFonts w:cs="Arial"/>
          <w:b/>
        </w:rPr>
        <w:t>2. Actions:</w:t>
      </w:r>
    </w:p>
    <w:p w14:paraId="3901B49B">
      <w:pPr>
        <w:ind w:left="1985" w:hanging="1985"/>
        <w:jc w:val="left"/>
        <w:rPr>
          <w:rFonts w:cs="Arial"/>
          <w:b/>
        </w:rPr>
      </w:pPr>
      <w:r>
        <w:rPr>
          <w:rFonts w:cs="Arial"/>
          <w:b/>
        </w:rPr>
        <w:t xml:space="preserve">To SA2: </w:t>
      </w:r>
    </w:p>
    <w:p w14:paraId="117A5FF3">
      <w:pPr>
        <w:jc w:val="left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r>
        <w:rPr>
          <w:rFonts w:cs="Arial"/>
        </w:rPr>
        <w:t>RAN3 kindly asks SA2 to take the above into account</w:t>
      </w:r>
      <w:r>
        <w:rPr>
          <w:rFonts w:hint="eastAsia" w:eastAsia="宋体" w:cs="Arial"/>
          <w:lang w:val="en-US" w:eastAsia="zh-CN"/>
        </w:rPr>
        <w:t xml:space="preserve"> and provide feedback if any</w:t>
      </w:r>
      <w:r>
        <w:rPr>
          <w:rFonts w:cs="Arial"/>
        </w:rPr>
        <w:t>.</w:t>
      </w:r>
    </w:p>
    <w:p w14:paraId="1EBFA540">
      <w:pPr>
        <w:jc w:val="left"/>
        <w:rPr>
          <w:rFonts w:cs="Arial"/>
        </w:rPr>
      </w:pPr>
    </w:p>
    <w:p w14:paraId="39335607">
      <w:pPr>
        <w:jc w:val="left"/>
        <w:rPr>
          <w:rFonts w:cs="Arial"/>
          <w:b/>
        </w:rPr>
      </w:pPr>
      <w:r>
        <w:rPr>
          <w:rFonts w:cs="Arial"/>
          <w:b/>
        </w:rPr>
        <w:t>3. Date of Next RAN3 Meetings:</w:t>
      </w:r>
    </w:p>
    <w:p w14:paraId="7677F388">
      <w:pPr>
        <w:rPr>
          <w:rFonts w:cs="Arial"/>
          <w:bCs/>
        </w:rPr>
      </w:pPr>
      <w:r>
        <w:rPr>
          <w:rFonts w:cs="Arial"/>
          <w:bCs/>
        </w:rPr>
        <w:t>RAN3#127bis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>Apr 7</w:t>
      </w:r>
      <w:r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 xml:space="preserve"> – 11</w:t>
      </w:r>
      <w:r>
        <w:rPr>
          <w:rFonts w:cs="Arial"/>
          <w:bCs/>
          <w:vertAlign w:val="superscript"/>
        </w:rPr>
        <w:t>st</w:t>
      </w:r>
      <w:r>
        <w:rPr>
          <w:rFonts w:cs="Arial"/>
          <w:bCs/>
        </w:rPr>
        <w:t xml:space="preserve"> 2025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>Wuhan, P.R.C.</w:t>
      </w:r>
    </w:p>
    <w:p w14:paraId="29CDED2B">
      <w:r>
        <w:rPr>
          <w:rFonts w:cs="Arial"/>
          <w:bCs/>
        </w:rPr>
        <w:t>RAN3#128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>May 19</w:t>
      </w:r>
      <w:r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 xml:space="preserve"> – 23</w:t>
      </w:r>
      <w:r>
        <w:rPr>
          <w:rFonts w:cs="Arial"/>
          <w:bCs/>
          <w:vertAlign w:val="superscript"/>
        </w:rPr>
        <w:t>rd</w:t>
      </w:r>
      <w:r>
        <w:rPr>
          <w:rFonts w:cs="Arial"/>
          <w:bCs/>
        </w:rPr>
        <w:t xml:space="preserve"> 2025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>St Julien’s, Malta.</w:t>
      </w:r>
    </w:p>
    <w:p w14:paraId="3404B6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-hyj">
    <w15:presenceInfo w15:providerId="None" w15:userId="catt-hyj"/>
  </w15:person>
  <w15:person w15:author="Nokia">
    <w15:presenceInfo w15:providerId="None" w15:userId="Nokia"/>
  </w15:person>
  <w15:person w15:author="Ericsson_CQ">
    <w15:presenceInfo w15:providerId="None" w15:userId="Ericsson_CQ"/>
  </w15:person>
  <w15:person w15:author="Hong Cheng">
    <w15:presenceInfo w15:providerId="None" w15:userId="Ho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6E65"/>
    <w:rsid w:val="119D315E"/>
    <w:rsid w:val="1A900A4E"/>
    <w:rsid w:val="31C134F6"/>
    <w:rsid w:val="47B76E65"/>
    <w:rsid w:val="67563958"/>
    <w:rsid w:val="6F2B7B5B"/>
    <w:rsid w:val="702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  <w:lang w:val="en-GB"/>
    </w:rPr>
  </w:style>
  <w:style w:type="paragraph" w:customStyle="1" w:styleId="10">
    <w:name w:val="CR Cover Page"/>
    <w:qFormat/>
    <w:uiPriority w:val="0"/>
    <w:pPr>
      <w:spacing w:after="120" w:line="240" w:lineRule="auto"/>
    </w:pPr>
    <w:rPr>
      <w:rFonts w:ascii="Arial" w:hAnsi="Arial" w:cs="Times New Roman" w:eastAsiaTheme="minorEastAsia"/>
      <w:sz w:val="20"/>
      <w:szCs w:val="20"/>
      <w:lang w:val="en-GB" w:eastAsia="en-US" w:bidi="ar-SA"/>
    </w:rPr>
  </w:style>
  <w:style w:type="paragraph" w:customStyle="1" w:styleId="11">
    <w:name w:val="Source"/>
    <w:basedOn w:val="1"/>
    <w:uiPriority w:val="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宋体" w:cs="Arial"/>
      <w:b/>
      <w:lang w:eastAsia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NO"/>
    <w:basedOn w:val="1"/>
    <w:qFormat/>
    <w:uiPriority w:val="0"/>
    <w:pPr>
      <w:keepLines/>
      <w:ind w:left="1135" w:hanging="851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2025-02-19T16:11:00Z</dcterms:created>
  <dc:creator>ZTE</dc:creator>
  <cp:lastModifiedBy>ZTE</cp:lastModifiedBy>
  <dcterms:modified xsi:type="dcterms:W3CDTF">2025-02-19T16:41:05Z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12EC6AC1CD394985B977DBA6FB7D2484_13</vt:lpwstr>
  </property>
  <property fmtid="{D5CDD505-2E9C-101B-9397-08002B2CF9AE}" pid="4" name="KSOTemplateDocerSaveRecord">
    <vt:lpwstr>eyJoZGlkIjoiYTY4NjA5NGI2OTUwMzUxNzZkMTNlZTQwMTNhYmY1NzYifQ==</vt:lpwstr>
  </property>
</Properties>
</file>