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50CA3DFD"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DF17AB">
        <w:rPr>
          <w:rFonts w:cs="Arial"/>
          <w:noProof w:val="0"/>
          <w:sz w:val="24"/>
          <w:szCs w:val="24"/>
        </w:rPr>
        <w:t>4</w:t>
      </w:r>
      <w:r>
        <w:rPr>
          <w:rFonts w:cs="Arial"/>
          <w:bCs/>
          <w:noProof w:val="0"/>
          <w:sz w:val="24"/>
        </w:rPr>
        <w:tab/>
      </w:r>
      <w:r w:rsidR="00B37671" w:rsidRPr="00B37671">
        <w:rPr>
          <w:rFonts w:cs="Arial"/>
          <w:bCs/>
          <w:noProof w:val="0"/>
          <w:sz w:val="24"/>
        </w:rPr>
        <w:t>R3-2438</w:t>
      </w:r>
      <w:r w:rsidR="00921CE7">
        <w:rPr>
          <w:rFonts w:cs="Arial"/>
          <w:bCs/>
          <w:noProof w:val="0"/>
          <w:sz w:val="24"/>
        </w:rPr>
        <w:t>6</w:t>
      </w:r>
      <w:r w:rsidR="00892E32">
        <w:rPr>
          <w:rFonts w:cs="Arial"/>
          <w:bCs/>
          <w:noProof w:val="0"/>
          <w:sz w:val="24"/>
        </w:rPr>
        <w:t>0</w:t>
      </w:r>
    </w:p>
    <w:p w14:paraId="33EDC931" w14:textId="1EAE72B1" w:rsidR="00EE0733" w:rsidRDefault="00DF17AB" w:rsidP="002A37C8">
      <w:pPr>
        <w:pStyle w:val="CRCoverPage"/>
        <w:rPr>
          <w:b/>
          <w:noProof/>
          <w:sz w:val="24"/>
        </w:rPr>
      </w:pPr>
      <w:bookmarkStart w:id="2" w:name="_Hlk19781143"/>
      <w:r w:rsidRPr="00DF17AB">
        <w:rPr>
          <w:b/>
          <w:noProof/>
          <w:sz w:val="24"/>
        </w:rPr>
        <w:t>Fukuoka, Japan</w:t>
      </w:r>
      <w:r w:rsidR="00533072" w:rsidRPr="00533072">
        <w:rPr>
          <w:b/>
          <w:noProof/>
          <w:sz w:val="24"/>
        </w:rPr>
        <w:t xml:space="preserve">, </w:t>
      </w:r>
      <w:r>
        <w:rPr>
          <w:b/>
          <w:noProof/>
          <w:sz w:val="24"/>
        </w:rPr>
        <w:t>20</w:t>
      </w:r>
      <w:r w:rsidR="00533072" w:rsidRPr="00533072">
        <w:rPr>
          <w:b/>
          <w:noProof/>
          <w:sz w:val="24"/>
        </w:rPr>
        <w:t>-</w:t>
      </w:r>
      <w:r>
        <w:rPr>
          <w:b/>
          <w:noProof/>
          <w:sz w:val="24"/>
        </w:rPr>
        <w:t>24</w:t>
      </w:r>
      <w:r w:rsidR="00533072" w:rsidRPr="00533072">
        <w:rPr>
          <w:b/>
          <w:noProof/>
          <w:sz w:val="24"/>
        </w:rPr>
        <w:t xml:space="preserve"> </w:t>
      </w:r>
      <w:r>
        <w:rPr>
          <w:b/>
          <w:noProof/>
          <w:sz w:val="24"/>
        </w:rPr>
        <w:t>May</w:t>
      </w:r>
      <w:r w:rsidR="00533072" w:rsidRPr="00533072">
        <w:rPr>
          <w:b/>
          <w:noProof/>
          <w:sz w:val="24"/>
        </w:rPr>
        <w:t>, 202</w:t>
      </w:r>
      <w:r w:rsidR="00D20400">
        <w:rPr>
          <w:b/>
          <w:noProof/>
          <w:sz w:val="24"/>
        </w:rPr>
        <w:t>4</w:t>
      </w:r>
    </w:p>
    <w:bookmarkEnd w:id="0"/>
    <w:bookmarkEnd w:id="2"/>
    <w:p w14:paraId="444C2E19" w14:textId="77777777" w:rsidR="00EE0733" w:rsidRDefault="00EE0733" w:rsidP="00B70BDD">
      <w:pPr>
        <w:pStyle w:val="a6"/>
        <w:rPr>
          <w:rFonts w:cs="Arial"/>
          <w:bCs/>
          <w:noProof w:val="0"/>
          <w:sz w:val="24"/>
          <w:lang w:eastAsia="ja-JP"/>
        </w:rPr>
      </w:pPr>
    </w:p>
    <w:p w14:paraId="399151FE" w14:textId="77777777" w:rsidR="00EE0733" w:rsidRDefault="00EE0733" w:rsidP="00B70BDD">
      <w:pPr>
        <w:pStyle w:val="a6"/>
        <w:rPr>
          <w:rFonts w:cs="Arial"/>
          <w:bCs/>
          <w:noProof w:val="0"/>
          <w:sz w:val="24"/>
          <w:lang w:eastAsia="ja-JP"/>
        </w:rPr>
      </w:pPr>
    </w:p>
    <w:p w14:paraId="1703601B" w14:textId="3BF8E1D2" w:rsidR="005F436C" w:rsidRDefault="005F436C" w:rsidP="005F436C">
      <w:pPr>
        <w:pStyle w:val="afc"/>
        <w:rPr>
          <w:lang w:eastAsia="ja-JP"/>
        </w:rPr>
      </w:pPr>
      <w:r>
        <w:t>Agenda Item:</w:t>
      </w:r>
      <w:r>
        <w:tab/>
      </w:r>
      <w:r w:rsidR="005F2977">
        <w:rPr>
          <w:lang w:eastAsia="zh-CN"/>
        </w:rPr>
        <w:t>12</w:t>
      </w:r>
      <w:r w:rsidR="000D3242">
        <w:rPr>
          <w:lang w:eastAsia="zh-CN"/>
        </w:rPr>
        <w:t>.</w:t>
      </w:r>
      <w:r w:rsidR="00921CE7">
        <w:rPr>
          <w:lang w:eastAsia="zh-CN"/>
        </w:rPr>
        <w:t>2</w:t>
      </w:r>
    </w:p>
    <w:p w14:paraId="778AB5AF" w14:textId="22F42BF2" w:rsidR="005F436C" w:rsidRDefault="005F436C" w:rsidP="005F436C">
      <w:pPr>
        <w:pStyle w:val="afc"/>
        <w:rPr>
          <w:lang w:eastAsia="ja-JP"/>
        </w:rPr>
      </w:pPr>
      <w:r>
        <w:t>Source:</w:t>
      </w:r>
      <w:r>
        <w:tab/>
      </w:r>
      <w:r w:rsidR="006137D5">
        <w:t>Huawei</w:t>
      </w:r>
    </w:p>
    <w:p w14:paraId="578DFAF2" w14:textId="0C094314" w:rsidR="00263C0C" w:rsidRPr="00263C0C" w:rsidRDefault="005F436C" w:rsidP="00263C0C">
      <w:pPr>
        <w:pStyle w:val="afc"/>
        <w:ind w:left="1985" w:hanging="1985"/>
        <w:rPr>
          <w:lang w:eastAsia="zh-CN"/>
        </w:rPr>
      </w:pPr>
      <w:r>
        <w:t>T</w:t>
      </w:r>
      <w:r w:rsidRPr="00B50379">
        <w:t>itle:</w:t>
      </w:r>
      <w:r w:rsidRPr="00B50379">
        <w:tab/>
      </w:r>
      <w:r w:rsidR="001568D5">
        <w:t>(</w:t>
      </w:r>
      <w:r w:rsidR="003C5107" w:rsidRPr="003C5107">
        <w:rPr>
          <w:lang w:eastAsia="zh-CN"/>
        </w:rPr>
        <w:t>TP to TR</w:t>
      </w:r>
      <w:r w:rsidR="001568D5">
        <w:rPr>
          <w:lang w:eastAsia="zh-CN"/>
        </w:rPr>
        <w:t xml:space="preserve"> </w:t>
      </w:r>
      <w:r w:rsidR="003C5107" w:rsidRPr="003C5107">
        <w:rPr>
          <w:lang w:eastAsia="zh-CN"/>
        </w:rPr>
        <w:t>38.799</w:t>
      </w:r>
      <w:r w:rsidR="001568D5">
        <w:rPr>
          <w:lang w:eastAsia="zh-CN"/>
        </w:rPr>
        <w:t>)</w:t>
      </w:r>
      <w:r w:rsidR="0084076D" w:rsidRPr="0084076D">
        <w:rPr>
          <w:rFonts w:ascii="Calibri" w:hAnsi="Calibri" w:cs="Calibri"/>
          <w:color w:val="FF0000"/>
          <w:sz w:val="16"/>
          <w:szCs w:val="16"/>
        </w:rPr>
        <w:t xml:space="preserve"> </w:t>
      </w:r>
      <w:r w:rsidR="00892E32">
        <w:rPr>
          <w:lang w:eastAsia="zh-CN"/>
        </w:rPr>
        <w:t>O</w:t>
      </w:r>
      <w:r w:rsidR="0084076D" w:rsidRPr="0084076D">
        <w:rPr>
          <w:lang w:eastAsia="zh-CN"/>
        </w:rPr>
        <w:t xml:space="preserve">n </w:t>
      </w:r>
      <w:r w:rsidR="00892E32">
        <w:rPr>
          <w:lang w:eastAsia="zh-CN"/>
        </w:rPr>
        <w:t>WAB</w:t>
      </w:r>
      <w:r w:rsidR="0084076D" w:rsidRPr="0084076D">
        <w:rPr>
          <w:lang w:eastAsia="zh-CN"/>
        </w:rPr>
        <w:t xml:space="preserve"> </w:t>
      </w:r>
      <w:r w:rsidR="00892E32">
        <w:rPr>
          <w:lang w:eastAsia="zh-CN"/>
        </w:rPr>
        <w:t>authorization</w:t>
      </w:r>
    </w:p>
    <w:p w14:paraId="19F92F93" w14:textId="51318BDB" w:rsidR="005F436C" w:rsidRDefault="005F436C" w:rsidP="005F436C">
      <w:pPr>
        <w:pStyle w:val="afc"/>
        <w:rPr>
          <w:lang w:eastAsia="ja-JP"/>
        </w:rPr>
      </w:pPr>
      <w:r>
        <w:t>Document for:</w:t>
      </w:r>
      <w:r>
        <w:tab/>
      </w:r>
      <w:r w:rsidR="00DB548A">
        <w:rPr>
          <w:rFonts w:hint="eastAsia"/>
          <w:lang w:eastAsia="zh-CN"/>
        </w:rPr>
        <w:t>other</w:t>
      </w:r>
    </w:p>
    <w:p w14:paraId="07A2EC87" w14:textId="77777777" w:rsidR="00EE0733" w:rsidRDefault="00EE0733" w:rsidP="00EE0733">
      <w:pPr>
        <w:pStyle w:val="10"/>
        <w:rPr>
          <w:rFonts w:cs="Arial"/>
        </w:rPr>
      </w:pPr>
      <w:r>
        <w:rPr>
          <w:rFonts w:cs="Arial"/>
        </w:rPr>
        <w:t>1</w:t>
      </w:r>
      <w:r>
        <w:rPr>
          <w:rFonts w:cs="Arial"/>
        </w:rPr>
        <w:tab/>
        <w:t>Introduction</w:t>
      </w:r>
    </w:p>
    <w:p w14:paraId="42978BF0" w14:textId="083C26C4" w:rsidR="005B3717" w:rsidRDefault="005B3717" w:rsidP="00DB548A">
      <w:pPr>
        <w:overflowPunct w:val="0"/>
        <w:autoSpaceDE w:val="0"/>
        <w:autoSpaceDN w:val="0"/>
        <w:adjustRightInd w:val="0"/>
        <w:spacing w:after="120"/>
        <w:textAlignment w:val="baseline"/>
        <w:rPr>
          <w:rFonts w:eastAsia="宋体"/>
          <w:lang w:eastAsia="zh-CN"/>
        </w:rPr>
      </w:pPr>
      <w:r>
        <w:rPr>
          <w:rFonts w:eastAsia="宋体"/>
          <w:lang w:eastAsia="zh-CN"/>
        </w:rPr>
        <w:t xml:space="preserve">This </w:t>
      </w:r>
      <w:r w:rsidR="00DB548A">
        <w:rPr>
          <w:rFonts w:eastAsia="宋体"/>
          <w:lang w:eastAsia="zh-CN"/>
        </w:rPr>
        <w:t xml:space="preserve">TP </w:t>
      </w:r>
      <w:r w:rsidR="00892E32">
        <w:rPr>
          <w:rFonts w:eastAsia="宋体"/>
          <w:lang w:eastAsia="zh-CN"/>
        </w:rPr>
        <w:t>is to</w:t>
      </w:r>
      <w:r w:rsidR="00DB548A">
        <w:rPr>
          <w:rFonts w:eastAsia="宋体"/>
          <w:lang w:eastAsia="zh-CN"/>
        </w:rPr>
        <w:t xml:space="preserve"> </w:t>
      </w:r>
      <w:r w:rsidR="00892E32">
        <w:rPr>
          <w:rFonts w:eastAsia="宋体"/>
          <w:lang w:eastAsia="zh-CN"/>
        </w:rPr>
        <w:t>introduce</w:t>
      </w:r>
      <w:r w:rsidR="00724B51">
        <w:rPr>
          <w:rFonts w:eastAsia="宋体"/>
          <w:lang w:eastAsia="zh-CN"/>
        </w:rPr>
        <w:t xml:space="preserve"> </w:t>
      </w:r>
      <w:r w:rsidR="00892E32">
        <w:rPr>
          <w:rFonts w:eastAsia="宋体"/>
          <w:lang w:eastAsia="zh-CN"/>
        </w:rPr>
        <w:t xml:space="preserve">the </w:t>
      </w:r>
      <w:r w:rsidR="00152B3E">
        <w:rPr>
          <w:rFonts w:eastAsia="宋体"/>
          <w:lang w:eastAsia="zh-CN"/>
        </w:rPr>
        <w:t xml:space="preserve">WAB </w:t>
      </w:r>
      <w:r w:rsidR="00892E32">
        <w:rPr>
          <w:rFonts w:eastAsia="宋体"/>
          <w:lang w:eastAsia="zh-CN"/>
        </w:rPr>
        <w:t>authorization</w:t>
      </w:r>
      <w:r w:rsidR="00152B3E">
        <w:rPr>
          <w:rFonts w:eastAsia="宋体"/>
          <w:lang w:eastAsia="zh-CN"/>
        </w:rPr>
        <w:t xml:space="preserve"> </w:t>
      </w:r>
      <w:r w:rsidR="00892E32">
        <w:rPr>
          <w:rFonts w:eastAsia="宋体"/>
          <w:lang w:eastAsia="zh-CN"/>
        </w:rPr>
        <w:t xml:space="preserve">part to TR 38.799 </w:t>
      </w:r>
      <w:r w:rsidR="00152B3E">
        <w:rPr>
          <w:rFonts w:eastAsia="宋体"/>
          <w:lang w:eastAsia="zh-CN"/>
        </w:rPr>
        <w:t xml:space="preserve">according to following </w:t>
      </w:r>
      <w:r w:rsidR="00892E32">
        <w:rPr>
          <w:rFonts w:eastAsia="宋体"/>
          <w:lang w:eastAsia="zh-CN"/>
        </w:rPr>
        <w:t>agreements</w:t>
      </w:r>
      <w:r w:rsidR="00152B3E">
        <w:rPr>
          <w:rFonts w:eastAsia="宋体"/>
          <w:lang w:eastAsia="zh-CN"/>
        </w:rPr>
        <w:t>:</w:t>
      </w:r>
    </w:p>
    <w:p w14:paraId="147BA2E3" w14:textId="77777777" w:rsidR="00892E32" w:rsidRPr="00B47170" w:rsidRDefault="00892E32" w:rsidP="00892E32">
      <w:pPr>
        <w:pStyle w:val="ListParagraph"/>
        <w:ind w:left="0"/>
        <w:rPr>
          <w:rFonts w:ascii="Calibri" w:hAnsi="Calibri" w:cs="Calibri"/>
          <w:b/>
          <w:sz w:val="18"/>
          <w:lang w:eastAsia="en-US"/>
        </w:rPr>
      </w:pPr>
      <w:r w:rsidRPr="00B47170">
        <w:rPr>
          <w:rFonts w:ascii="Calibri" w:hAnsi="Calibri" w:cs="Calibri"/>
          <w:b/>
          <w:sz w:val="18"/>
          <w:lang w:eastAsia="en-US"/>
        </w:rPr>
        <w:t xml:space="preserve">WAB Authorization </w:t>
      </w:r>
    </w:p>
    <w:p w14:paraId="6624A0ED"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RAN3 understands that authorization of the WAB-MT is different from the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service authorization/configuration/activation by </w:t>
      </w:r>
      <w:proofErr w:type="gramStart"/>
      <w:r>
        <w:rPr>
          <w:rFonts w:ascii="Calibri" w:hAnsi="Calibri" w:cs="Calibri"/>
          <w:b/>
          <w:color w:val="008000"/>
          <w:sz w:val="18"/>
          <w:szCs w:val="18"/>
        </w:rPr>
        <w:t>e.g.</w:t>
      </w:r>
      <w:proofErr w:type="gramEnd"/>
      <w:r>
        <w:rPr>
          <w:rFonts w:ascii="Calibri" w:hAnsi="Calibri" w:cs="Calibri"/>
          <w:b/>
          <w:color w:val="008000"/>
          <w:sz w:val="18"/>
          <w:szCs w:val="18"/>
        </w:rPr>
        <w:t xml:space="preserve"> OAM/</w:t>
      </w:r>
      <w:proofErr w:type="spellStart"/>
      <w:r>
        <w:rPr>
          <w:rFonts w:ascii="Calibri" w:hAnsi="Calibri" w:cs="Calibri"/>
          <w:b/>
          <w:color w:val="008000"/>
          <w:sz w:val="18"/>
          <w:szCs w:val="18"/>
        </w:rPr>
        <w:t>SeGW</w:t>
      </w:r>
      <w:proofErr w:type="spellEnd"/>
      <w:r>
        <w:rPr>
          <w:rFonts w:ascii="Calibri" w:hAnsi="Calibri" w:cs="Calibri"/>
          <w:b/>
          <w:color w:val="008000"/>
          <w:sz w:val="18"/>
          <w:szCs w:val="18"/>
        </w:rPr>
        <w:t xml:space="preserve">. </w:t>
      </w:r>
    </w:p>
    <w:p w14:paraId="263E825C"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 xml:space="preserve">WAB-MT authorization provides the WAB MT with the right to support BH PDU sessions.  </w:t>
      </w:r>
    </w:p>
    <w:p w14:paraId="471BCA3B" w14:textId="77777777" w:rsidR="00892E32" w:rsidRDefault="00892E32" w:rsidP="00892E32">
      <w:pPr>
        <w:rPr>
          <w:rFonts w:ascii="Calibri" w:hAnsi="Calibri" w:cs="Calibri"/>
          <w:b/>
          <w:bCs/>
          <w:color w:val="70AD47"/>
        </w:rPr>
      </w:pPr>
      <w:r>
        <w:rPr>
          <w:rFonts w:ascii="Calibri" w:hAnsi="Calibri" w:cs="Calibri"/>
          <w:b/>
          <w:color w:val="008000"/>
          <w:sz w:val="18"/>
          <w:szCs w:val="18"/>
        </w:rPr>
        <w:t xml:space="preserve">In case MT authorization is based on slice, </w:t>
      </w:r>
      <w:proofErr w:type="spellStart"/>
      <w:r>
        <w:rPr>
          <w:rFonts w:ascii="Calibri" w:hAnsi="Calibri" w:cs="Calibri"/>
          <w:b/>
          <w:color w:val="008000"/>
          <w:sz w:val="18"/>
          <w:szCs w:val="18"/>
        </w:rPr>
        <w:t>signaling</w:t>
      </w:r>
      <w:proofErr w:type="spellEnd"/>
      <w:r>
        <w:rPr>
          <w:rFonts w:ascii="Calibri" w:hAnsi="Calibri" w:cs="Calibri"/>
          <w:b/>
          <w:color w:val="008000"/>
          <w:sz w:val="18"/>
          <w:szCs w:val="18"/>
        </w:rPr>
        <w:t xml:space="preserve"> enhancements to the AS layer for the support of WAB-MT authorization are not needed. SA2 to decide whether MT authorization based on slicing is supported.</w:t>
      </w:r>
      <w:r>
        <w:rPr>
          <w:rFonts w:ascii="Calibri" w:hAnsi="Calibri" w:cs="Calibri"/>
          <w:b/>
          <w:bCs/>
          <w:color w:val="70AD47"/>
        </w:rPr>
        <w:t xml:space="preserve"> </w:t>
      </w:r>
    </w:p>
    <w:p w14:paraId="6493C864" w14:textId="06A7D093" w:rsidR="00892E32" w:rsidRDefault="00892E32" w:rsidP="00892E32">
      <w:pPr>
        <w:overflowPunct w:val="0"/>
        <w:autoSpaceDE w:val="0"/>
        <w:autoSpaceDN w:val="0"/>
        <w:adjustRightInd w:val="0"/>
        <w:spacing w:after="120"/>
        <w:textAlignment w:val="baseline"/>
        <w:rPr>
          <w:rFonts w:ascii="Calibri" w:hAnsi="Calibri" w:cs="Calibri"/>
          <w:b/>
          <w:color w:val="008000"/>
          <w:sz w:val="18"/>
          <w:szCs w:val="18"/>
        </w:rPr>
      </w:pPr>
      <w:r>
        <w:rPr>
          <w:rFonts w:ascii="Calibri" w:hAnsi="Calibri" w:cs="Calibri"/>
          <w:b/>
          <w:color w:val="008000"/>
          <w:sz w:val="18"/>
          <w:szCs w:val="18"/>
        </w:rPr>
        <w:t>Authorization of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provides service authorization, i.e., the right to serve UEs.</w:t>
      </w:r>
    </w:p>
    <w:p w14:paraId="319D0254"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It is RAN3 understanding that WAB-</w:t>
      </w:r>
      <w:proofErr w:type="spellStart"/>
      <w:r>
        <w:rPr>
          <w:rFonts w:ascii="Calibri" w:hAnsi="Calibri" w:cs="Calibri"/>
          <w:b/>
          <w:color w:val="008000"/>
          <w:sz w:val="18"/>
          <w:szCs w:val="18"/>
        </w:rPr>
        <w:t>gNB’s</w:t>
      </w:r>
      <w:proofErr w:type="spellEnd"/>
      <w:r>
        <w:rPr>
          <w:rFonts w:ascii="Calibri" w:hAnsi="Calibri" w:cs="Calibri"/>
          <w:b/>
          <w:color w:val="008000"/>
          <w:sz w:val="18"/>
          <w:szCs w:val="18"/>
        </w:rPr>
        <w:t xml:space="preserve"> authorization status can change. </w:t>
      </w:r>
    </w:p>
    <w:p w14:paraId="6F6F1226" w14:textId="77777777" w:rsidR="00892E32" w:rsidRDefault="00892E32" w:rsidP="00892E32">
      <w:pPr>
        <w:rPr>
          <w:rFonts w:ascii="Calibri" w:hAnsi="Calibri" w:cs="Calibri"/>
          <w:b/>
          <w:color w:val="008000"/>
          <w:sz w:val="18"/>
          <w:szCs w:val="18"/>
        </w:rPr>
      </w:pPr>
      <w:r>
        <w:rPr>
          <w:rFonts w:ascii="Calibri" w:hAnsi="Calibri" w:cs="Calibri"/>
          <w:b/>
          <w:color w:val="008000"/>
          <w:sz w:val="18"/>
          <w:szCs w:val="18"/>
        </w:rPr>
        <w:t>The UEs served by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either be handed over to other RAN nodes or released.</w:t>
      </w:r>
    </w:p>
    <w:p w14:paraId="6EF940AF" w14:textId="66572DB2" w:rsidR="00892E32" w:rsidRDefault="00892E32" w:rsidP="00892E32">
      <w:pPr>
        <w:rPr>
          <w:rFonts w:ascii="Calibri" w:hAnsi="Calibri" w:cs="Calibri"/>
          <w:b/>
          <w:color w:val="008000"/>
          <w:sz w:val="18"/>
          <w:szCs w:val="18"/>
        </w:rPr>
      </w:pPr>
      <w:r>
        <w:rPr>
          <w:rFonts w:ascii="Calibri" w:hAnsi="Calibri" w:cs="Calibri"/>
          <w:b/>
          <w:color w:val="008000"/>
          <w:sz w:val="18"/>
          <w:szCs w:val="18"/>
        </w:rPr>
        <w:t>The NG connection(s) of a WAB-</w:t>
      </w:r>
      <w:proofErr w:type="spellStart"/>
      <w:r>
        <w:rPr>
          <w:rFonts w:ascii="Calibri" w:hAnsi="Calibri" w:cs="Calibri"/>
          <w:b/>
          <w:color w:val="008000"/>
          <w:sz w:val="18"/>
          <w:szCs w:val="18"/>
        </w:rPr>
        <w:t>gNB</w:t>
      </w:r>
      <w:proofErr w:type="spellEnd"/>
      <w:r>
        <w:rPr>
          <w:rFonts w:ascii="Calibri" w:hAnsi="Calibri" w:cs="Calibri"/>
          <w:b/>
          <w:color w:val="008000"/>
          <w:sz w:val="18"/>
          <w:szCs w:val="18"/>
        </w:rPr>
        <w:t xml:space="preserve"> whose authorization status changes from “authorized” to “not authorized” can be removed. It needs to be further studied whether they can be suspended. Any Stage 3 decisions are to be taken during normative work.</w:t>
      </w:r>
    </w:p>
    <w:p w14:paraId="3B165268" w14:textId="77777777" w:rsidR="00892E32" w:rsidRDefault="00892E32" w:rsidP="00892E32">
      <w:pPr>
        <w:overflowPunct w:val="0"/>
        <w:autoSpaceDE w:val="0"/>
        <w:autoSpaceDN w:val="0"/>
        <w:adjustRightInd w:val="0"/>
        <w:spacing w:after="120"/>
        <w:textAlignment w:val="baseline"/>
        <w:rPr>
          <w:rFonts w:eastAsia="宋体"/>
          <w:lang w:eastAsia="zh-CN"/>
        </w:rPr>
      </w:pPr>
    </w:p>
    <w:p w14:paraId="2DA7B142" w14:textId="77777777" w:rsidR="00152B3E" w:rsidRPr="000A25A2" w:rsidRDefault="00152B3E" w:rsidP="00152B3E">
      <w:pPr>
        <w:widowControl w:val="0"/>
        <w:rPr>
          <w:rFonts w:ascii="Calibri" w:hAnsi="Calibri" w:cs="Calibri"/>
          <w:b/>
          <w:color w:val="FF00FF"/>
          <w:sz w:val="18"/>
        </w:rPr>
      </w:pPr>
      <w:r w:rsidRPr="000A25A2">
        <w:rPr>
          <w:rFonts w:ascii="Calibri" w:hAnsi="Calibri" w:cs="Calibri" w:hint="eastAsia"/>
          <w:b/>
          <w:color w:val="FF00FF"/>
          <w:sz w:val="18"/>
        </w:rPr>
        <w:t>C</w:t>
      </w:r>
      <w:r w:rsidRPr="000A25A2">
        <w:rPr>
          <w:rFonts w:ascii="Calibri" w:hAnsi="Calibri" w:cs="Calibri"/>
          <w:b/>
          <w:color w:val="FF00FF"/>
          <w:sz w:val="18"/>
        </w:rPr>
        <w:t>B: # WAB</w:t>
      </w:r>
    </w:p>
    <w:p w14:paraId="1547FED4"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Resolve the FFS captured above</w:t>
      </w:r>
    </w:p>
    <w:p w14:paraId="0607DA4B"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Converge on the TPs below, where agreements taken above will be captured. If any more agreements are taken, they can be included in the TPs below:</w:t>
      </w:r>
    </w:p>
    <w:p w14:paraId="764E2976"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TP for </w:t>
      </w:r>
      <w:r w:rsidRPr="000A25A2">
        <w:rPr>
          <w:rFonts w:ascii="Calibri" w:hAnsi="Calibri" w:cs="Calibri" w:hint="eastAsia"/>
          <w:b/>
          <w:color w:val="FF00FF"/>
          <w:sz w:val="18"/>
        </w:rPr>
        <w:t>A</w:t>
      </w:r>
      <w:r w:rsidRPr="000A25A2">
        <w:rPr>
          <w:rFonts w:ascii="Calibri" w:hAnsi="Calibri" w:cs="Calibri"/>
          <w:b/>
          <w:color w:val="FF00FF"/>
          <w:sz w:val="18"/>
        </w:rPr>
        <w:t>rchitecture (Nokia)</w:t>
      </w:r>
    </w:p>
    <w:p w14:paraId="2F99993E"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Integration procedure (Huawei)</w:t>
      </w:r>
    </w:p>
    <w:p w14:paraId="32989F4A"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Authorization (CATT)</w:t>
      </w:r>
    </w:p>
    <w:p w14:paraId="2423A377"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TP for Mobility (Ericsson)</w:t>
      </w:r>
    </w:p>
    <w:p w14:paraId="0642CDF2" w14:textId="77777777" w:rsidR="00152B3E" w:rsidRPr="000A25A2" w:rsidRDefault="00152B3E" w:rsidP="00152B3E">
      <w:pPr>
        <w:widowControl w:val="0"/>
        <w:numPr>
          <w:ilvl w:val="1"/>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T</w:t>
      </w:r>
      <w:r w:rsidRPr="000A25A2">
        <w:rPr>
          <w:rFonts w:ascii="Calibri" w:hAnsi="Calibri" w:cs="Calibri"/>
          <w:b/>
          <w:color w:val="FF00FF"/>
          <w:sz w:val="18"/>
        </w:rPr>
        <w:t>P for miscellaneous issues (ZTE)</w:t>
      </w:r>
    </w:p>
    <w:p w14:paraId="4BE37BDA"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W</w:t>
      </w:r>
      <w:r w:rsidRPr="000A25A2">
        <w:rPr>
          <w:rFonts w:ascii="Calibri" w:hAnsi="Calibri" w:cs="Calibri"/>
          <w:b/>
          <w:color w:val="FF00FF"/>
          <w:sz w:val="18"/>
        </w:rPr>
        <w:t>AB configuration</w:t>
      </w:r>
    </w:p>
    <w:p w14:paraId="71134A36" w14:textId="77777777" w:rsidR="00152B3E" w:rsidRPr="000A25A2" w:rsidRDefault="00152B3E" w:rsidP="00152B3E">
      <w:pPr>
        <w:widowControl w:val="0"/>
        <w:numPr>
          <w:ilvl w:val="2"/>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b/>
          <w:color w:val="FF00FF"/>
          <w:sz w:val="18"/>
        </w:rPr>
        <w:t xml:space="preserve">Etc </w:t>
      </w:r>
    </w:p>
    <w:p w14:paraId="0C12E8AA" w14:textId="77777777" w:rsidR="00152B3E" w:rsidRPr="000A25A2" w:rsidRDefault="00152B3E" w:rsidP="00152B3E">
      <w:pPr>
        <w:widowControl w:val="0"/>
        <w:numPr>
          <w:ilvl w:val="0"/>
          <w:numId w:val="18"/>
        </w:numPr>
        <w:overflowPunct w:val="0"/>
        <w:autoSpaceDE w:val="0"/>
        <w:autoSpaceDN w:val="0"/>
        <w:adjustRightInd w:val="0"/>
        <w:spacing w:before="100" w:beforeAutospacing="1"/>
        <w:textAlignment w:val="baseline"/>
        <w:rPr>
          <w:rFonts w:ascii="Calibri" w:hAnsi="Calibri" w:cs="Calibri"/>
          <w:b/>
          <w:color w:val="FF00FF"/>
          <w:sz w:val="18"/>
        </w:rPr>
      </w:pPr>
      <w:r w:rsidRPr="000A25A2">
        <w:rPr>
          <w:rFonts w:ascii="Calibri" w:hAnsi="Calibri" w:cs="Calibri" w:hint="eastAsia"/>
          <w:b/>
          <w:color w:val="FF00FF"/>
          <w:sz w:val="18"/>
        </w:rPr>
        <w:t>S</w:t>
      </w:r>
      <w:r w:rsidRPr="000A25A2">
        <w:rPr>
          <w:rFonts w:ascii="Calibri" w:hAnsi="Calibri" w:cs="Calibri"/>
          <w:b/>
          <w:color w:val="FF00FF"/>
          <w:sz w:val="18"/>
        </w:rPr>
        <w:t>A2 reply LS (Qualcomm)</w:t>
      </w:r>
    </w:p>
    <w:p w14:paraId="2BE1C38A" w14:textId="77777777" w:rsidR="00152B3E" w:rsidRDefault="00152B3E" w:rsidP="00152B3E">
      <w:pPr>
        <w:pStyle w:val="afe"/>
        <w:spacing w:before="120" w:after="0"/>
        <w:ind w:left="0"/>
        <w:rPr>
          <w:rFonts w:ascii="Calibri" w:hAnsi="Calibri" w:cs="Calibri"/>
          <w:sz w:val="18"/>
        </w:rPr>
      </w:pPr>
      <w:r>
        <w:rPr>
          <w:rFonts w:ascii="Calibri" w:hAnsi="Calibri" w:cs="Calibri"/>
          <w:sz w:val="18"/>
        </w:rPr>
        <w:lastRenderedPageBreak/>
        <w:t>(Moderator – Docomo)</w:t>
      </w:r>
    </w:p>
    <w:p w14:paraId="7ED788CA" w14:textId="4C2BB3AE" w:rsidR="00152B3E" w:rsidRPr="00892E32" w:rsidRDefault="00152B3E" w:rsidP="00892E32">
      <w:pPr>
        <w:widowControl w:val="0"/>
        <w:rPr>
          <w:rFonts w:ascii="Calibri" w:hAnsi="Calibri" w:cs="Calibri" w:hint="eastAsia"/>
          <w:sz w:val="18"/>
        </w:rPr>
      </w:pPr>
      <w:r w:rsidRPr="000A25A2">
        <w:rPr>
          <w:rFonts w:ascii="Calibri" w:hAnsi="Calibri" w:cs="Calibri"/>
          <w:sz w:val="18"/>
        </w:rPr>
        <w:t>Summary of offline disc in R3-243844</w:t>
      </w:r>
    </w:p>
    <w:p w14:paraId="0FBE7E6B" w14:textId="3B79D6A1" w:rsidR="0034688E" w:rsidRDefault="00215D57" w:rsidP="00DB548A">
      <w:pPr>
        <w:pStyle w:val="10"/>
      </w:pPr>
      <w:r>
        <w:t>Annex</w:t>
      </w:r>
      <w:r w:rsidR="0034688E">
        <w:t xml:space="preserve"> </w:t>
      </w:r>
      <w:r w:rsidR="00892E32">
        <w:t>(</w:t>
      </w:r>
      <w:r w:rsidR="0034688E">
        <w:t xml:space="preserve">TP </w:t>
      </w:r>
      <w:r w:rsidR="00892E32">
        <w:t>to</w:t>
      </w:r>
      <w:r w:rsidR="0034688E">
        <w:t xml:space="preserve"> TR</w:t>
      </w:r>
      <w:r w:rsidR="00BB0786">
        <w:t xml:space="preserve"> 38.799</w:t>
      </w:r>
      <w:r w:rsidR="00892E32">
        <w:t>)</w:t>
      </w:r>
    </w:p>
    <w:p w14:paraId="4C03A9EE" w14:textId="439AF105" w:rsidR="00892E32" w:rsidRPr="00892E32" w:rsidRDefault="00892E32" w:rsidP="00892E32">
      <w:pPr>
        <w:jc w:val="cente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p w14:paraId="70965A52" w14:textId="77777777" w:rsidR="00152B3E" w:rsidRDefault="00152B3E" w:rsidP="00152B3E">
      <w:pPr>
        <w:pStyle w:val="20"/>
      </w:pPr>
      <w:bookmarkStart w:id="3" w:name="_Toc248178753"/>
      <w:bookmarkStart w:id="4" w:name="_Toc527969759"/>
      <w:bookmarkStart w:id="5" w:name="_Toc49857374"/>
      <w:bookmarkStart w:id="6" w:name="_Toc7688"/>
      <w:bookmarkStart w:id="7" w:name="_Toc76687132"/>
      <w:r>
        <w:t>4</w:t>
      </w:r>
      <w:r w:rsidRPr="004D3578">
        <w:t>.</w:t>
      </w:r>
      <w:r>
        <w:t>3</w:t>
      </w:r>
      <w:r w:rsidRPr="004D3578">
        <w:tab/>
      </w:r>
      <w:r>
        <w:t>Operational aspects</w:t>
      </w:r>
    </w:p>
    <w:p w14:paraId="5313F53F" w14:textId="77777777" w:rsidR="00152B3E" w:rsidRDefault="00152B3E" w:rsidP="00152B3E">
      <w:pPr>
        <w:pStyle w:val="Guidance"/>
        <w:rPr>
          <w:color w:val="FF0000"/>
        </w:rPr>
      </w:pPr>
      <w:r w:rsidRPr="00884863">
        <w:rPr>
          <w:color w:val="FF0000"/>
        </w:rPr>
        <w:t xml:space="preserve">Editor Note: </w:t>
      </w:r>
    </w:p>
    <w:p w14:paraId="3FB45CA9" w14:textId="77777777" w:rsidR="00152B3E" w:rsidRPr="006925B2" w:rsidRDefault="00152B3E" w:rsidP="00152B3E">
      <w:pPr>
        <w:pStyle w:val="Guidance"/>
        <w:rPr>
          <w:color w:val="FF0000"/>
        </w:rPr>
      </w:pPr>
      <w:r w:rsidRPr="006925B2">
        <w:rPr>
          <w:color w:val="FF0000"/>
        </w:rPr>
        <w:t>- Impact of WAB mobility within an existing RAN (e.g., inter-gNB neighbour relations).</w:t>
      </w:r>
    </w:p>
    <w:p w14:paraId="3EBDC6E4" w14:textId="738D0FF8" w:rsidR="00892E32" w:rsidRPr="00892E32" w:rsidRDefault="00152B3E" w:rsidP="00152B3E">
      <w:pPr>
        <w:pStyle w:val="Guidance"/>
        <w:rPr>
          <w:color w:val="FF0000"/>
        </w:rPr>
      </w:pPr>
      <w:r w:rsidRPr="006925B2">
        <w:rPr>
          <w:color w:val="FF0000"/>
        </w:rPr>
        <w:t>- Inter-gNB- and gNB-to-CN signalling to address the support of WAB.</w:t>
      </w:r>
    </w:p>
    <w:bookmarkEnd w:id="3"/>
    <w:bookmarkEnd w:id="4"/>
    <w:bookmarkEnd w:id="5"/>
    <w:bookmarkEnd w:id="6"/>
    <w:bookmarkEnd w:id="7"/>
    <w:p w14:paraId="723BCF33" w14:textId="6BA41590" w:rsidR="00152B3E" w:rsidRPr="00A01F5C" w:rsidRDefault="00892E32" w:rsidP="00152B3E">
      <w:pPr>
        <w:keepNext/>
        <w:keepLines/>
        <w:overflowPunct w:val="0"/>
        <w:autoSpaceDE w:val="0"/>
        <w:autoSpaceDN w:val="0"/>
        <w:adjustRightInd w:val="0"/>
        <w:spacing w:before="120"/>
        <w:ind w:left="1134" w:hanging="1134"/>
        <w:outlineLvl w:val="2"/>
        <w:rPr>
          <w:rFonts w:ascii="Arial" w:eastAsia="Times New Roman" w:hAnsi="Arial"/>
          <w:sz w:val="28"/>
          <w:lang w:eastAsia="zh-CN"/>
        </w:rPr>
      </w:pPr>
      <w:ins w:id="8" w:author="CATT" w:date="2024-05-23T13:40:00Z">
        <w:r>
          <w:rPr>
            <w:rFonts w:ascii="Arial" w:eastAsia="Times New Roman" w:hAnsi="Arial"/>
            <w:sz w:val="28"/>
            <w:lang w:eastAsia="ja-JP"/>
          </w:rPr>
          <w:t>4</w:t>
        </w:r>
        <w:r w:rsidRPr="00A01F5C">
          <w:rPr>
            <w:rFonts w:ascii="Arial" w:eastAsia="Times New Roman" w:hAnsi="Arial"/>
            <w:sz w:val="28"/>
            <w:lang w:eastAsia="ja-JP"/>
          </w:rPr>
          <w:t>.</w:t>
        </w:r>
        <w:r>
          <w:rPr>
            <w:rFonts w:ascii="Arial" w:eastAsia="Times New Roman" w:hAnsi="Arial"/>
            <w:sz w:val="28"/>
            <w:lang w:eastAsia="ja-JP"/>
          </w:rPr>
          <w:t>3.x</w:t>
        </w:r>
        <w:r w:rsidRPr="00A01F5C">
          <w:rPr>
            <w:rFonts w:ascii="Arial" w:eastAsia="Times New Roman" w:hAnsi="Arial"/>
            <w:sz w:val="28"/>
            <w:lang w:eastAsia="ja-JP"/>
          </w:rPr>
          <w:tab/>
        </w:r>
        <w:r w:rsidRPr="00421C48">
          <w:rPr>
            <w:rFonts w:ascii="Arial" w:eastAsia="Times New Roman" w:hAnsi="Arial" w:hint="eastAsia"/>
            <w:sz w:val="28"/>
            <w:lang w:eastAsia="zh-CN"/>
          </w:rPr>
          <w:t>WAB-node</w:t>
        </w:r>
        <w:r>
          <w:rPr>
            <w:rFonts w:ascii="Arial" w:eastAsia="Times New Roman" w:hAnsi="Arial"/>
            <w:sz w:val="28"/>
            <w:lang w:eastAsia="zh-CN"/>
          </w:rPr>
          <w:t xml:space="preserve"> authorization</w:t>
        </w:r>
      </w:ins>
    </w:p>
    <w:p w14:paraId="6C2CDBA0" w14:textId="77777777" w:rsidR="00F9477B" w:rsidRDefault="00FD0BA5" w:rsidP="00FB7B35">
      <w:pPr>
        <w:rPr>
          <w:ins w:id="9" w:author="CATT" w:date="2024-05-23T14:54:00Z"/>
          <w:lang w:eastAsia="zh-CN"/>
        </w:rPr>
      </w:pPr>
      <w:ins w:id="10" w:author="CATT" w:date="2024-05-23T14:20:00Z">
        <w:r>
          <w:rPr>
            <w:lang w:eastAsia="zh-CN"/>
          </w:rPr>
          <w:t>The authorization of the WAB-MT is different from the WAB-</w:t>
        </w:r>
        <w:proofErr w:type="spellStart"/>
        <w:r>
          <w:rPr>
            <w:lang w:eastAsia="zh-CN"/>
          </w:rPr>
          <w:t>gNB</w:t>
        </w:r>
        <w:proofErr w:type="spellEnd"/>
        <w:r>
          <w:rPr>
            <w:lang w:eastAsia="zh-CN"/>
          </w:rPr>
          <w:t xml:space="preserve"> service authoriz</w:t>
        </w:r>
      </w:ins>
      <w:ins w:id="11" w:author="CATT" w:date="2024-05-23T14:21:00Z">
        <w:r>
          <w:rPr>
            <w:lang w:eastAsia="zh-CN"/>
          </w:rPr>
          <w:t xml:space="preserve">ation, configuration or activation by e.g., OAM or </w:t>
        </w:r>
        <w:proofErr w:type="spellStart"/>
        <w:r>
          <w:rPr>
            <w:lang w:eastAsia="zh-CN"/>
          </w:rPr>
          <w:t>SeGW</w:t>
        </w:r>
        <w:proofErr w:type="spellEnd"/>
        <w:r>
          <w:rPr>
            <w:lang w:eastAsia="zh-CN"/>
          </w:rPr>
          <w:t>.</w:t>
        </w:r>
      </w:ins>
      <w:ins w:id="12" w:author="CATT" w:date="2024-05-23T14:49:00Z">
        <w:r w:rsidR="009E6CDA">
          <w:rPr>
            <w:lang w:eastAsia="zh-CN"/>
          </w:rPr>
          <w:t xml:space="preserve"> </w:t>
        </w:r>
      </w:ins>
    </w:p>
    <w:p w14:paraId="110970ED" w14:textId="475B8859" w:rsidR="00FB7B35" w:rsidRDefault="009E6CDA" w:rsidP="00FB7B35">
      <w:pPr>
        <w:rPr>
          <w:ins w:id="13" w:author="CATT" w:date="2024-05-23T13:56:00Z"/>
          <w:rFonts w:hint="eastAsia"/>
          <w:lang w:eastAsia="zh-CN"/>
        </w:rPr>
      </w:pPr>
      <w:ins w:id="14" w:author="CATT" w:date="2024-05-23T14:49:00Z">
        <w:r>
          <w:rPr>
            <w:lang w:eastAsia="zh-CN"/>
          </w:rPr>
          <w:t xml:space="preserve">WAB-MT authorization provides </w:t>
        </w:r>
      </w:ins>
      <w:ins w:id="15" w:author="CATT" w:date="2024-05-23T14:52:00Z">
        <w:r>
          <w:rPr>
            <w:lang w:eastAsia="zh-CN"/>
          </w:rPr>
          <w:t>the WAB-MT with the right to support BH PDU session.</w:t>
        </w:r>
      </w:ins>
      <w:ins w:id="16" w:author="CATT" w:date="2024-05-23T14:54:00Z">
        <w:r w:rsidR="00F9477B">
          <w:rPr>
            <w:lang w:eastAsia="zh-CN"/>
          </w:rPr>
          <w:t xml:space="preserve"> </w:t>
        </w:r>
        <w:r w:rsidR="00F9477B" w:rsidRPr="00F9477B">
          <w:rPr>
            <w:lang w:eastAsia="zh-CN"/>
          </w:rPr>
          <w:t xml:space="preserve">In case </w:t>
        </w:r>
        <w:r w:rsidR="00F9477B">
          <w:rPr>
            <w:lang w:eastAsia="zh-CN"/>
          </w:rPr>
          <w:t>WAB-</w:t>
        </w:r>
        <w:r w:rsidR="00F9477B" w:rsidRPr="00F9477B">
          <w:rPr>
            <w:lang w:eastAsia="zh-CN"/>
          </w:rPr>
          <w:t xml:space="preserve">MT authorization is based on slice, </w:t>
        </w:r>
        <w:proofErr w:type="spellStart"/>
        <w:r w:rsidR="00F9477B" w:rsidRPr="00F9477B">
          <w:rPr>
            <w:lang w:eastAsia="zh-CN"/>
          </w:rPr>
          <w:t>signaling</w:t>
        </w:r>
        <w:proofErr w:type="spellEnd"/>
        <w:r w:rsidR="00F9477B" w:rsidRPr="00F9477B">
          <w:rPr>
            <w:lang w:eastAsia="zh-CN"/>
          </w:rPr>
          <w:t xml:space="preserve"> enhancements to the AS layer for the support of WAB-MT authorization are not needed.</w:t>
        </w:r>
      </w:ins>
    </w:p>
    <w:p w14:paraId="5C648A98" w14:textId="72EEB716" w:rsidR="00FD0BA5" w:rsidRDefault="00F9477B" w:rsidP="00FB7B35">
      <w:pPr>
        <w:rPr>
          <w:ins w:id="17" w:author="CATT" w:date="2024-05-23T14:22:00Z"/>
          <w:lang w:eastAsia="zh-CN"/>
        </w:rPr>
      </w:pPr>
      <w:ins w:id="18" w:author="CATT" w:date="2024-05-23T14:56:00Z">
        <w:r w:rsidRPr="00F9477B">
          <w:rPr>
            <w:lang w:eastAsia="zh-CN"/>
          </w:rPr>
          <w:t>Authorization of WAB-</w:t>
        </w:r>
        <w:proofErr w:type="spellStart"/>
        <w:r w:rsidRPr="00F9477B">
          <w:rPr>
            <w:lang w:eastAsia="zh-CN"/>
          </w:rPr>
          <w:t>gNB</w:t>
        </w:r>
        <w:proofErr w:type="spellEnd"/>
        <w:r w:rsidRPr="00F9477B">
          <w:rPr>
            <w:lang w:eastAsia="zh-CN"/>
          </w:rPr>
          <w:t xml:space="preserve"> provides service authorization</w:t>
        </w:r>
      </w:ins>
      <w:ins w:id="19" w:author="CATT" w:date="2024-05-23T13:56:00Z">
        <w:r w:rsidR="00FB7B35">
          <w:rPr>
            <w:lang w:eastAsia="zh-CN"/>
          </w:rPr>
          <w:t xml:space="preserve">, i.e., the right to serve UEs. </w:t>
        </w:r>
      </w:ins>
      <w:ins w:id="20" w:author="CATT" w:date="2024-05-23T14:55:00Z">
        <w:r>
          <w:rPr>
            <w:lang w:eastAsia="zh-CN"/>
          </w:rPr>
          <w:t>The WAB-</w:t>
        </w:r>
        <w:proofErr w:type="spellStart"/>
        <w:r>
          <w:rPr>
            <w:lang w:eastAsia="zh-CN"/>
          </w:rPr>
          <w:t>gNB</w:t>
        </w:r>
        <w:proofErr w:type="spellEnd"/>
        <w:r>
          <w:rPr>
            <w:lang w:eastAsia="zh-CN"/>
          </w:rPr>
          <w:t xml:space="preserve"> service authorization may be executed when WAB-</w:t>
        </w:r>
        <w:proofErr w:type="spellStart"/>
        <w:r>
          <w:rPr>
            <w:lang w:eastAsia="zh-CN"/>
          </w:rPr>
          <w:t>gNB</w:t>
        </w:r>
        <w:proofErr w:type="spellEnd"/>
        <w:r>
          <w:rPr>
            <w:lang w:eastAsia="zh-CN"/>
          </w:rPr>
          <w:t xml:space="preserve"> connects to the </w:t>
        </w:r>
        <w:proofErr w:type="spellStart"/>
        <w:r>
          <w:rPr>
            <w:lang w:eastAsia="zh-CN"/>
          </w:rPr>
          <w:t>SeGW</w:t>
        </w:r>
        <w:proofErr w:type="spellEnd"/>
        <w:r>
          <w:rPr>
            <w:lang w:eastAsia="zh-CN"/>
          </w:rPr>
          <w:t>, or when it connects to the OAM and retrieves the configuration parameters during the plug-and-connect procedure as specified in TS 28.315 [x].</w:t>
        </w:r>
      </w:ins>
    </w:p>
    <w:p w14:paraId="7D8FC6E3" w14:textId="5F71D542" w:rsidR="00FB7B35" w:rsidRDefault="00F9477B" w:rsidP="00FB7B35">
      <w:pPr>
        <w:rPr>
          <w:lang w:eastAsia="zh-CN"/>
        </w:rPr>
      </w:pPr>
      <w:ins w:id="21" w:author="CATT" w:date="2024-05-23T15:01:00Z">
        <w:r>
          <w:rPr>
            <w:lang w:eastAsia="zh-CN"/>
          </w:rPr>
          <w:t>WAB-</w:t>
        </w:r>
        <w:proofErr w:type="spellStart"/>
        <w:r>
          <w:rPr>
            <w:lang w:eastAsia="zh-CN"/>
          </w:rPr>
          <w:t>gNB’s</w:t>
        </w:r>
        <w:proofErr w:type="spellEnd"/>
        <w:r>
          <w:rPr>
            <w:lang w:eastAsia="zh-CN"/>
          </w:rPr>
          <w:t xml:space="preserve"> authorization status can change. The UEs served by a WAB-</w:t>
        </w:r>
        <w:proofErr w:type="spellStart"/>
        <w:r>
          <w:rPr>
            <w:lang w:eastAsia="zh-CN"/>
          </w:rPr>
          <w:t>gNB</w:t>
        </w:r>
        <w:proofErr w:type="spellEnd"/>
        <w:r>
          <w:rPr>
            <w:lang w:eastAsia="zh-CN"/>
          </w:rPr>
          <w:t xml:space="preserve"> whose authorization status changes from “authorized” to “not authorized” can either be handed over to other RAN nodes or released.</w:t>
        </w:r>
      </w:ins>
      <w:ins w:id="22" w:author="CATT" w:date="2024-05-23T15:03:00Z">
        <w:r>
          <w:rPr>
            <w:rFonts w:hint="eastAsia"/>
            <w:lang w:eastAsia="zh-CN"/>
          </w:rPr>
          <w:t xml:space="preserve"> </w:t>
        </w:r>
        <w:r>
          <w:rPr>
            <w:lang w:eastAsia="zh-CN"/>
          </w:rPr>
          <w:t>And then t</w:t>
        </w:r>
      </w:ins>
      <w:ins w:id="23" w:author="CATT" w:date="2024-05-23T15:02:00Z">
        <w:r w:rsidRPr="00F9477B">
          <w:rPr>
            <w:lang w:eastAsia="zh-CN"/>
          </w:rPr>
          <w:t>he NG connection(s) of a WAB-</w:t>
        </w:r>
        <w:proofErr w:type="spellStart"/>
        <w:r w:rsidRPr="00F9477B">
          <w:rPr>
            <w:lang w:eastAsia="zh-CN"/>
          </w:rPr>
          <w:t>gNB</w:t>
        </w:r>
        <w:proofErr w:type="spellEnd"/>
        <w:r w:rsidRPr="00F9477B">
          <w:rPr>
            <w:lang w:eastAsia="zh-CN"/>
          </w:rPr>
          <w:t xml:space="preserve"> can be removed.</w:t>
        </w:r>
      </w:ins>
    </w:p>
    <w:p w14:paraId="70B81A77" w14:textId="2E6DA932" w:rsidR="00FB7B35" w:rsidRPr="00FB7B35" w:rsidRDefault="00FB7B35" w:rsidP="00FB7B35">
      <w:pPr>
        <w:jc w:val="center"/>
        <w:rPr>
          <w:rFonts w:hint="eastAsia"/>
          <w:lang w:eastAsia="zh-CN"/>
        </w:rPr>
      </w:pPr>
      <w:r w:rsidRPr="000C7165">
        <w:rPr>
          <w:rFonts w:eastAsia="宋体" w:cs="Calibri"/>
          <w:highlight w:val="yellow"/>
        </w:rPr>
        <w:t xml:space="preserve">&gt;&gt;&gt;&gt;&gt;&gt;&gt;&gt;&gt;&gt;&gt;&gt;&gt;&gt;&gt;&gt;&gt;&gt;&gt;&gt;&gt;&gt;&gt;&gt;&gt;&gt;&gt;&gt;&gt;&gt;&gt;&gt;&gt;&gt;Start of </w:t>
      </w:r>
      <w:r>
        <w:rPr>
          <w:rFonts w:eastAsia="宋体" w:cs="Calibri"/>
          <w:highlight w:val="yellow"/>
        </w:rPr>
        <w:t>Changes</w:t>
      </w:r>
      <w:r w:rsidRPr="000C7165">
        <w:rPr>
          <w:rFonts w:eastAsia="宋体" w:cs="Calibri"/>
          <w:highlight w:val="yellow"/>
        </w:rPr>
        <w:t>&lt;&lt;&lt;&lt;&lt;&lt;&lt;&lt;&lt;&lt;&lt;&lt;&lt;&lt;&lt;&lt;&lt;&lt;&lt;&lt;&lt;&lt;&lt;&lt;&lt;&lt;&lt;&lt;&lt;&lt;&lt;&lt;&lt;</w:t>
      </w:r>
    </w:p>
    <w:sectPr w:rsidR="00FB7B35" w:rsidRPr="00FB7B35" w:rsidSect="004A4717">
      <w:head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9F2F" w14:textId="77777777" w:rsidR="003D065F" w:rsidRDefault="003D065F">
      <w:r>
        <w:separator/>
      </w:r>
    </w:p>
  </w:endnote>
  <w:endnote w:type="continuationSeparator" w:id="0">
    <w:p w14:paraId="535E1CCB" w14:textId="77777777" w:rsidR="003D065F" w:rsidRDefault="003D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C984" w14:textId="77777777" w:rsidR="003D065F" w:rsidRDefault="003D065F">
      <w:r>
        <w:separator/>
      </w:r>
    </w:p>
  </w:footnote>
  <w:footnote w:type="continuationSeparator" w:id="0">
    <w:p w14:paraId="5C9F0282" w14:textId="77777777" w:rsidR="003D065F" w:rsidRDefault="003D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E7"/>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4606B20"/>
    <w:multiLevelType w:val="hybridMultilevel"/>
    <w:tmpl w:val="02D05380"/>
    <w:lvl w:ilvl="0" w:tplc="FFFFFFFF">
      <w:start w:val="2"/>
      <w:numFmt w:val="bullet"/>
      <w:lvlText w:val="-"/>
      <w:lvlJc w:val="left"/>
      <w:pPr>
        <w:ind w:left="440" w:hanging="44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4518"/>
    <w:multiLevelType w:val="hybridMultilevel"/>
    <w:tmpl w:val="E6FCEFF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87E0363"/>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4"/>
  </w:num>
  <w:num w:numId="6">
    <w:abstractNumId w:val="1"/>
  </w:num>
  <w:num w:numId="7">
    <w:abstractNumId w:val="10"/>
  </w:num>
  <w:num w:numId="8">
    <w:abstractNumId w:val="5"/>
  </w:num>
  <w:num w:numId="9">
    <w:abstractNumId w:val="6"/>
  </w:num>
  <w:num w:numId="10">
    <w:abstractNumId w:val="13"/>
  </w:num>
  <w:num w:numId="11">
    <w:abstractNumId w:val="11"/>
  </w:num>
  <w:num w:numId="12">
    <w:abstractNumId w:val="9"/>
  </w:num>
  <w:num w:numId="13">
    <w:abstractNumId w:val="7"/>
  </w:num>
  <w:num w:numId="14">
    <w:abstractNumId w:val="0"/>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BE"/>
    <w:rsid w:val="000009DA"/>
    <w:rsid w:val="00000DF0"/>
    <w:rsid w:val="000012DF"/>
    <w:rsid w:val="00001E8F"/>
    <w:rsid w:val="00004986"/>
    <w:rsid w:val="000113EF"/>
    <w:rsid w:val="0001263D"/>
    <w:rsid w:val="00014226"/>
    <w:rsid w:val="00015170"/>
    <w:rsid w:val="00020D4D"/>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D70B9"/>
    <w:rsid w:val="000E0D90"/>
    <w:rsid w:val="000E1199"/>
    <w:rsid w:val="000E6D74"/>
    <w:rsid w:val="000F03C9"/>
    <w:rsid w:val="000F23FA"/>
    <w:rsid w:val="00106962"/>
    <w:rsid w:val="00107634"/>
    <w:rsid w:val="00111006"/>
    <w:rsid w:val="0011235C"/>
    <w:rsid w:val="00112C4C"/>
    <w:rsid w:val="001216BA"/>
    <w:rsid w:val="00121ED9"/>
    <w:rsid w:val="0012271B"/>
    <w:rsid w:val="00124274"/>
    <w:rsid w:val="00137854"/>
    <w:rsid w:val="00144E4F"/>
    <w:rsid w:val="00145D43"/>
    <w:rsid w:val="00152B3E"/>
    <w:rsid w:val="001562B4"/>
    <w:rsid w:val="001568D5"/>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509D"/>
    <w:rsid w:val="002D7BA6"/>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065F"/>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9E2"/>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19C2"/>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3ED1"/>
    <w:rsid w:val="00724B51"/>
    <w:rsid w:val="007266FA"/>
    <w:rsid w:val="007300F8"/>
    <w:rsid w:val="007342B2"/>
    <w:rsid w:val="00742578"/>
    <w:rsid w:val="00747646"/>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62D6"/>
    <w:rsid w:val="00805D95"/>
    <w:rsid w:val="0080628E"/>
    <w:rsid w:val="0080640A"/>
    <w:rsid w:val="0081219D"/>
    <w:rsid w:val="008227DB"/>
    <w:rsid w:val="008247A4"/>
    <w:rsid w:val="008279FA"/>
    <w:rsid w:val="0083140E"/>
    <w:rsid w:val="00831B2D"/>
    <w:rsid w:val="00832A74"/>
    <w:rsid w:val="00833743"/>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122E"/>
    <w:rsid w:val="00892E32"/>
    <w:rsid w:val="00897A2E"/>
    <w:rsid w:val="008A1674"/>
    <w:rsid w:val="008A190A"/>
    <w:rsid w:val="008A55C7"/>
    <w:rsid w:val="008B1F20"/>
    <w:rsid w:val="008B4F53"/>
    <w:rsid w:val="008B5FF4"/>
    <w:rsid w:val="008C1F6A"/>
    <w:rsid w:val="008C4751"/>
    <w:rsid w:val="008C6F52"/>
    <w:rsid w:val="008D1DE7"/>
    <w:rsid w:val="008E1A41"/>
    <w:rsid w:val="008E5507"/>
    <w:rsid w:val="008F4E66"/>
    <w:rsid w:val="008F686C"/>
    <w:rsid w:val="009017EE"/>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0057"/>
    <w:rsid w:val="00991B88"/>
    <w:rsid w:val="00995252"/>
    <w:rsid w:val="00995348"/>
    <w:rsid w:val="0099621D"/>
    <w:rsid w:val="00996397"/>
    <w:rsid w:val="009A1081"/>
    <w:rsid w:val="009A579D"/>
    <w:rsid w:val="009C6F84"/>
    <w:rsid w:val="009D75E8"/>
    <w:rsid w:val="009E0762"/>
    <w:rsid w:val="009E3297"/>
    <w:rsid w:val="009E38FD"/>
    <w:rsid w:val="009E6CDA"/>
    <w:rsid w:val="009F251D"/>
    <w:rsid w:val="009F5FC8"/>
    <w:rsid w:val="009F734F"/>
    <w:rsid w:val="00A035C6"/>
    <w:rsid w:val="00A04081"/>
    <w:rsid w:val="00A07158"/>
    <w:rsid w:val="00A134E6"/>
    <w:rsid w:val="00A167C0"/>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731C5"/>
    <w:rsid w:val="00A7671C"/>
    <w:rsid w:val="00A76A2D"/>
    <w:rsid w:val="00A83173"/>
    <w:rsid w:val="00A84971"/>
    <w:rsid w:val="00A90DB5"/>
    <w:rsid w:val="00AA227C"/>
    <w:rsid w:val="00AB00C3"/>
    <w:rsid w:val="00AB02FD"/>
    <w:rsid w:val="00AB1244"/>
    <w:rsid w:val="00AB2934"/>
    <w:rsid w:val="00AB3B45"/>
    <w:rsid w:val="00AB533B"/>
    <w:rsid w:val="00AC5769"/>
    <w:rsid w:val="00AD1CD8"/>
    <w:rsid w:val="00AD2AFD"/>
    <w:rsid w:val="00AD7521"/>
    <w:rsid w:val="00AD77D8"/>
    <w:rsid w:val="00AE1987"/>
    <w:rsid w:val="00AE5A38"/>
    <w:rsid w:val="00AE5E44"/>
    <w:rsid w:val="00AE6E2C"/>
    <w:rsid w:val="00AF43A8"/>
    <w:rsid w:val="00AF6B18"/>
    <w:rsid w:val="00B029CA"/>
    <w:rsid w:val="00B03B3D"/>
    <w:rsid w:val="00B03D80"/>
    <w:rsid w:val="00B04676"/>
    <w:rsid w:val="00B0502B"/>
    <w:rsid w:val="00B11071"/>
    <w:rsid w:val="00B15958"/>
    <w:rsid w:val="00B1675E"/>
    <w:rsid w:val="00B21733"/>
    <w:rsid w:val="00B24807"/>
    <w:rsid w:val="00B258BB"/>
    <w:rsid w:val="00B34B5B"/>
    <w:rsid w:val="00B35F29"/>
    <w:rsid w:val="00B3701A"/>
    <w:rsid w:val="00B37671"/>
    <w:rsid w:val="00B437CA"/>
    <w:rsid w:val="00B45F23"/>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494"/>
    <w:rsid w:val="00BC27BE"/>
    <w:rsid w:val="00BD279D"/>
    <w:rsid w:val="00BD3FCC"/>
    <w:rsid w:val="00BD5E03"/>
    <w:rsid w:val="00BD6BB8"/>
    <w:rsid w:val="00BE21C6"/>
    <w:rsid w:val="00BE225F"/>
    <w:rsid w:val="00BE3B42"/>
    <w:rsid w:val="00BE470C"/>
    <w:rsid w:val="00BF0F54"/>
    <w:rsid w:val="00BF3501"/>
    <w:rsid w:val="00C040FE"/>
    <w:rsid w:val="00C06BDA"/>
    <w:rsid w:val="00C10914"/>
    <w:rsid w:val="00C1093D"/>
    <w:rsid w:val="00C12DBC"/>
    <w:rsid w:val="00C1683A"/>
    <w:rsid w:val="00C26E95"/>
    <w:rsid w:val="00C31B69"/>
    <w:rsid w:val="00C33487"/>
    <w:rsid w:val="00C33530"/>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512D"/>
    <w:rsid w:val="00CC00EA"/>
    <w:rsid w:val="00CC4432"/>
    <w:rsid w:val="00CC5026"/>
    <w:rsid w:val="00CC5B9C"/>
    <w:rsid w:val="00CD0C25"/>
    <w:rsid w:val="00CD1A23"/>
    <w:rsid w:val="00CD6A0F"/>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2B2E"/>
    <w:rsid w:val="00D84950"/>
    <w:rsid w:val="00D90F1D"/>
    <w:rsid w:val="00D924CA"/>
    <w:rsid w:val="00D9486F"/>
    <w:rsid w:val="00D95B9C"/>
    <w:rsid w:val="00D96016"/>
    <w:rsid w:val="00DA39A8"/>
    <w:rsid w:val="00DA5A0C"/>
    <w:rsid w:val="00DB548A"/>
    <w:rsid w:val="00DB66FE"/>
    <w:rsid w:val="00DB6CAF"/>
    <w:rsid w:val="00DC2030"/>
    <w:rsid w:val="00DC73F3"/>
    <w:rsid w:val="00DC79B8"/>
    <w:rsid w:val="00DD5724"/>
    <w:rsid w:val="00DD63B4"/>
    <w:rsid w:val="00DD7FCB"/>
    <w:rsid w:val="00DE34CF"/>
    <w:rsid w:val="00DE6E1D"/>
    <w:rsid w:val="00DF17AB"/>
    <w:rsid w:val="00DF3FCE"/>
    <w:rsid w:val="00DF7C08"/>
    <w:rsid w:val="00E02866"/>
    <w:rsid w:val="00E12C7D"/>
    <w:rsid w:val="00E15BA1"/>
    <w:rsid w:val="00E202C2"/>
    <w:rsid w:val="00E2101C"/>
    <w:rsid w:val="00E21060"/>
    <w:rsid w:val="00E27CEE"/>
    <w:rsid w:val="00E27E18"/>
    <w:rsid w:val="00E317D9"/>
    <w:rsid w:val="00E3752A"/>
    <w:rsid w:val="00E40977"/>
    <w:rsid w:val="00E4101D"/>
    <w:rsid w:val="00E43426"/>
    <w:rsid w:val="00E4435C"/>
    <w:rsid w:val="00E4624E"/>
    <w:rsid w:val="00E46E11"/>
    <w:rsid w:val="00E627B9"/>
    <w:rsid w:val="00E63E01"/>
    <w:rsid w:val="00E64117"/>
    <w:rsid w:val="00E67C41"/>
    <w:rsid w:val="00E67DEE"/>
    <w:rsid w:val="00E773E1"/>
    <w:rsid w:val="00E856BD"/>
    <w:rsid w:val="00E9536E"/>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0F15"/>
    <w:rsid w:val="00F823D0"/>
    <w:rsid w:val="00F85668"/>
    <w:rsid w:val="00F8601A"/>
    <w:rsid w:val="00F9031B"/>
    <w:rsid w:val="00F93954"/>
    <w:rsid w:val="00F94057"/>
    <w:rsid w:val="00F9477B"/>
    <w:rsid w:val="00F95A50"/>
    <w:rsid w:val="00F95DA1"/>
    <w:rsid w:val="00FA02DD"/>
    <w:rsid w:val="00FA55A0"/>
    <w:rsid w:val="00FB19B2"/>
    <w:rsid w:val="00FB6386"/>
    <w:rsid w:val="00FB7B35"/>
    <w:rsid w:val="00FB7DE3"/>
    <w:rsid w:val="00FD0BA5"/>
    <w:rsid w:val="00FD5304"/>
    <w:rsid w:val="00FE006E"/>
    <w:rsid w:val="00FE57B3"/>
    <w:rsid w:val="00FE57D9"/>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3"/>
      </w:numPr>
      <w:tabs>
        <w:tab w:val="left" w:pos="1560"/>
      </w:tabs>
      <w:ind w:left="72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1"/>
      </w:numPr>
      <w:spacing w:before="60" w:after="0"/>
    </w:pPr>
    <w:rPr>
      <w:rFonts w:ascii="Arial" w:eastAsia="MS Mincho" w:hAnsi="Arial"/>
      <w:b/>
      <w:szCs w:val="24"/>
      <w:lang w:eastAsia="en-GB"/>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1"/>
    <w:link w:val="aff"/>
    <w:uiPriority w:val="34"/>
    <w:qFormat/>
    <w:rsid w:val="00F031A8"/>
    <w:pPr>
      <w:ind w:left="720"/>
      <w:contextualSpacing/>
    </w:pPr>
    <w:rPr>
      <w:rFonts w:eastAsia="Times New Roman"/>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6"/>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5"/>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3"/>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4"/>
      </w:numPr>
    </w:pPr>
    <w:rPr>
      <w:rFonts w:eastAsia="Times New Roman"/>
    </w:rPr>
  </w:style>
  <w:style w:type="paragraph" w:customStyle="1" w:styleId="a0">
    <w:name w:val="表格题注"/>
    <w:basedOn w:val="a1"/>
    <w:rsid w:val="00F0019E"/>
    <w:pPr>
      <w:numPr>
        <w:ilvl w:val="8"/>
        <w:numId w:val="4"/>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9"/>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8"/>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1"/>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ListParagraph">
    <w:name w:val="List Paragraph"/>
    <w:basedOn w:val="a1"/>
    <w:rsid w:val="00892E32"/>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3835">
      <w:bodyDiv w:val="1"/>
      <w:marLeft w:val="0"/>
      <w:marRight w:val="0"/>
      <w:marTop w:val="0"/>
      <w:marBottom w:val="0"/>
      <w:divBdr>
        <w:top w:val="none" w:sz="0" w:space="0" w:color="auto"/>
        <w:left w:val="none" w:sz="0" w:space="0" w:color="auto"/>
        <w:bottom w:val="none" w:sz="0" w:space="0" w:color="auto"/>
        <w:right w:val="none" w:sz="0" w:space="0" w:color="auto"/>
      </w:divBdr>
    </w:div>
    <w:div w:id="171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7932-38DB-473B-BC76-1D3892B5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2</Pages>
  <Words>465</Words>
  <Characters>2651</Characters>
  <Application>Microsoft Office Word</Application>
  <DocSecurity>0</DocSecurity>
  <Lines>22</Lines>
  <Paragraphs>6</Paragraphs>
  <ScaleCrop>false</ScaleCrop>
  <Company>3GPP Support Team</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CATT</cp:lastModifiedBy>
  <cp:revision>4</cp:revision>
  <cp:lastPrinted>2036-02-07T05:28:00Z</cp:lastPrinted>
  <dcterms:created xsi:type="dcterms:W3CDTF">2024-05-23T04:28:00Z</dcterms:created>
  <dcterms:modified xsi:type="dcterms:W3CDTF">2024-05-23T06:08:00Z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ies>
</file>