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5CFC5A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37203B">
        <w:rPr>
          <w:noProof w:val="0"/>
          <w:sz w:val="24"/>
          <w:szCs w:val="24"/>
        </w:rPr>
        <w:t>NR Adhoc 1801</w:t>
      </w:r>
      <w:bookmarkStart w:id="1" w:name="_GoBack"/>
      <w:bookmarkEnd w:id="1"/>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94CFB" w:rsidRPr="00494CFB">
        <w:t xml:space="preserve"> </w:t>
      </w:r>
      <w:r w:rsidR="00494CFB" w:rsidRPr="00494CFB">
        <w:rPr>
          <w:bCs/>
          <w:noProof w:val="0"/>
          <w:sz w:val="24"/>
          <w:szCs w:val="24"/>
        </w:rPr>
        <w:t>1800393</w:t>
      </w:r>
    </w:p>
    <w:p w14:paraId="231362B2" w14:textId="3725CDC8" w:rsidR="00CD4C7B" w:rsidRPr="00B266B0" w:rsidRDefault="00786399"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w:t>
      </w:r>
      <w:r w:rsidR="00C92967">
        <w:rPr>
          <w:rFonts w:eastAsia="SimSun"/>
          <w:noProof w:val="0"/>
          <w:sz w:val="24"/>
          <w:szCs w:val="24"/>
          <w:lang w:eastAsia="zh-CN"/>
        </w:rPr>
        <w:t xml:space="preserve"> - </w:t>
      </w:r>
      <w:r>
        <w:rPr>
          <w:rFonts w:eastAsia="SimSun"/>
          <w:noProof w:val="0"/>
          <w:sz w:val="24"/>
          <w:szCs w:val="24"/>
          <w:lang w:eastAsia="zh-CN"/>
        </w:rPr>
        <w:t>26</w:t>
      </w:r>
      <w:r w:rsidR="00C92967">
        <w:rPr>
          <w:rFonts w:eastAsia="SimSun"/>
          <w:noProof w:val="0"/>
          <w:sz w:val="24"/>
          <w:szCs w:val="24"/>
          <w:lang w:eastAsia="zh-CN"/>
        </w:rPr>
        <w:t xml:space="preserve"> </w:t>
      </w:r>
      <w:r w:rsidR="00112F1A">
        <w:rPr>
          <w:rFonts w:eastAsia="SimSun"/>
          <w:noProof w:val="0"/>
          <w:sz w:val="24"/>
          <w:szCs w:val="24"/>
          <w:lang w:eastAsia="zh-CN"/>
        </w:rPr>
        <w:t>J</w:t>
      </w:r>
      <w:r>
        <w:rPr>
          <w:rFonts w:eastAsia="SimSun"/>
          <w:noProof w:val="0"/>
          <w:sz w:val="24"/>
          <w:szCs w:val="24"/>
          <w:lang w:eastAsia="zh-CN"/>
        </w:rPr>
        <w:t>anuary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FA8277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4D96">
        <w:rPr>
          <w:rFonts w:cs="Arial"/>
          <w:b/>
          <w:bCs/>
          <w:sz w:val="24"/>
          <w:lang w:eastAsia="ja-JP"/>
        </w:rPr>
        <w:t>11.1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065B5A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8BE">
        <w:rPr>
          <w:rFonts w:ascii="Arial" w:hAnsi="Arial" w:cs="Arial"/>
          <w:b/>
          <w:bCs/>
          <w:sz w:val="24"/>
        </w:rPr>
        <w:t>Architecture and Protocols: Connectivity Service Solution for IAB</w:t>
      </w:r>
    </w:p>
    <w:p w14:paraId="3AC3A0B1" w14:textId="20068AF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B3187">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A04C9F9" w:rsidR="00CD4C7B" w:rsidRPr="000E5AE3" w:rsidRDefault="00CD0847" w:rsidP="00CD4C7B">
      <w:pPr>
        <w:rPr>
          <w:lang w:val="en-GB"/>
        </w:rPr>
      </w:pPr>
      <w:r>
        <w:t xml:space="preserve">This paper proposes </w:t>
      </w:r>
      <w:r w:rsidR="00FB78B7">
        <w:t>architecture</w:t>
      </w:r>
      <w:r>
        <w:t>s</w:t>
      </w:r>
      <w:r w:rsidR="00FB78B7">
        <w:t xml:space="preserve"> and protocols for IAB whereby transport between relays and a donor is based on </w:t>
      </w:r>
      <w:r>
        <w:t xml:space="preserve">a 5G </w:t>
      </w:r>
      <w:r w:rsidR="00070E4D">
        <w:t xml:space="preserve">PDU </w:t>
      </w:r>
      <w:r>
        <w:t xml:space="preserve">Connectivity Service.  </w:t>
      </w:r>
      <w:r w:rsidR="00FB78B7">
        <w:t>It presents</w:t>
      </w:r>
      <w:r w:rsidR="00FF057B">
        <w:t xml:space="preserve"> motivation for the solution,</w:t>
      </w:r>
      <w:r w:rsidR="00FB78B7">
        <w:t xml:space="preserve"> </w:t>
      </w:r>
      <w:r w:rsidR="00FF057B">
        <w:t>architecture characteristics and discusses some</w:t>
      </w:r>
      <w:r w:rsidR="00CA5076">
        <w:t xml:space="preserve"> </w:t>
      </w:r>
      <w:r w:rsidR="00FF057B">
        <w:t>solution options.</w:t>
      </w:r>
    </w:p>
    <w:p w14:paraId="127ACA6D" w14:textId="0EB4B030" w:rsidR="00CD4C7B" w:rsidRPr="000E5AE3" w:rsidRDefault="00CD4C7B" w:rsidP="00CD4C7B">
      <w:pPr>
        <w:pStyle w:val="Heading1"/>
      </w:pPr>
      <w:r w:rsidRPr="000E5AE3">
        <w:t>2</w:t>
      </w:r>
      <w:r w:rsidR="00FB78B7" w:rsidRPr="000E5AE3">
        <w:tab/>
      </w:r>
      <w:r w:rsidR="005D5D26" w:rsidRPr="000E5AE3">
        <w:t xml:space="preserve">Concept </w:t>
      </w:r>
      <w:r w:rsidR="00CD0847" w:rsidRPr="000E5AE3">
        <w:t>Discussion</w:t>
      </w:r>
      <w:r w:rsidR="00135B1C" w:rsidRPr="000E5AE3">
        <w:t xml:space="preserve"> and Proposal</w:t>
      </w:r>
    </w:p>
    <w:p w14:paraId="2E190881" w14:textId="598D9F87" w:rsidR="007679B4" w:rsidRDefault="00FB78B7" w:rsidP="00FB78B7">
      <w:r w:rsidRPr="00CD0847">
        <w:t>In R15 3G</w:t>
      </w:r>
      <w:r w:rsidR="00CD0847" w:rsidRPr="00CD0847">
        <w:t>PP defined</w:t>
      </w:r>
      <w:r w:rsidR="00CD0847">
        <w:t xml:space="preserve"> PDU Connectivity Services</w:t>
      </w:r>
      <w:r w:rsidR="009E3603">
        <w:t xml:space="preserve"> to enable the exchange of PDUs between a UE and a data network.  3GPP furthermore defined via network slicing, a mechanism to customize a connectivity service to the needs of a specific use case and isolate that service from other services with different needs.  </w:t>
      </w:r>
      <w:r w:rsidR="00CA5076">
        <w:t xml:space="preserve">Subscriber services such as </w:t>
      </w:r>
      <w:r w:rsidR="009E3603">
        <w:t>URLLC</w:t>
      </w:r>
      <w:r w:rsidR="00CA5076">
        <w:t>, eMBB and mIOT are typically cited as examples where customized network attributes are needed, and slicing provides virtual isolation.   Customization may be in the lower RAN protocol</w:t>
      </w:r>
      <w:r w:rsidR="007679B4">
        <w:t xml:space="preserve"> layers (eg: for URLLC), </w:t>
      </w:r>
      <w:r w:rsidR="00CA5076">
        <w:t>at higher layers</w:t>
      </w:r>
      <w:r w:rsidR="007679B4">
        <w:t>, or r</w:t>
      </w:r>
      <w:r w:rsidR="00CE2024">
        <w:t xml:space="preserve">eflected in network topology.  Customizations that may involve multiple network vendors require standardization by 3GPP, while those that don’t may be reflected in </w:t>
      </w:r>
      <w:r w:rsidR="00363677">
        <w:t>network function</w:t>
      </w:r>
      <w:r w:rsidR="00F226F3">
        <w:t xml:space="preserve"> implementation, instant</w:t>
      </w:r>
      <w:r w:rsidR="00141CFF">
        <w:t>iation and/or configuration</w:t>
      </w:r>
      <w:r w:rsidR="00CE2024">
        <w:t>.</w:t>
      </w:r>
    </w:p>
    <w:p w14:paraId="19E9D750" w14:textId="3F37558F" w:rsidR="00B56F6F" w:rsidRPr="00B56F6F" w:rsidRDefault="00B56F6F" w:rsidP="00FB78B7">
      <w:pPr>
        <w:rPr>
          <w:b/>
        </w:rPr>
      </w:pPr>
      <w:r w:rsidRPr="00FF5518">
        <w:rPr>
          <w:b/>
        </w:rPr>
        <w:t xml:space="preserve">Observation 1: </w:t>
      </w:r>
      <w:r>
        <w:rPr>
          <w:b/>
        </w:rPr>
        <w:t>PDU Connectivity Services</w:t>
      </w:r>
      <w:r w:rsidR="00A95566">
        <w:rPr>
          <w:b/>
        </w:rPr>
        <w:t xml:space="preserve"> have been defined by 3GPP to support the exchanged of PDUs with a UE, and network slicing has been defined to support use case specific customization of </w:t>
      </w:r>
      <w:r w:rsidR="00DE0873">
        <w:rPr>
          <w:b/>
        </w:rPr>
        <w:t>connectivity services.</w:t>
      </w:r>
    </w:p>
    <w:p w14:paraId="7A223E85" w14:textId="25EF44AA" w:rsidR="00F22367" w:rsidRDefault="00D17661" w:rsidP="00FB78B7">
      <w:r>
        <w:t>S</w:t>
      </w:r>
      <w:r w:rsidR="007679B4">
        <w:t xml:space="preserve">elf-BH hops </w:t>
      </w:r>
      <w:r>
        <w:t xml:space="preserve">may be viewed </w:t>
      </w:r>
      <w:r w:rsidR="007679B4">
        <w:t>as fitting within the scope of a PDU Connectivity Service that</w:t>
      </w:r>
      <w:r w:rsidR="00D87761">
        <w:t xml:space="preserve"> uses a dedicated network slice which</w:t>
      </w:r>
      <w:r w:rsidR="007679B4">
        <w:t xml:space="preserve"> is customized to meet the needs of IAB.  </w:t>
      </w:r>
      <w:r w:rsidR="008B24C0">
        <w:t>Virtual isolation separates t</w:t>
      </w:r>
      <w:r w:rsidR="00EF2770">
        <w:t>he</w:t>
      </w:r>
      <w:r w:rsidR="008B24C0">
        <w:t xml:space="preserve"> resources used to serve the </w:t>
      </w:r>
      <w:r w:rsidR="00363677">
        <w:t>Relay Node (</w:t>
      </w:r>
      <w:r w:rsidR="00A607E7">
        <w:t>RN</w:t>
      </w:r>
      <w:r w:rsidR="00363677">
        <w:t>)</w:t>
      </w:r>
      <w:r w:rsidR="00A607E7">
        <w:t xml:space="preserve"> UE</w:t>
      </w:r>
      <w:r w:rsidR="008B24C0">
        <w:t xml:space="preserve"> from the resources required to provide </w:t>
      </w:r>
      <w:r w:rsidR="00775BA6">
        <w:t xml:space="preserve">subscriber </w:t>
      </w:r>
      <w:r w:rsidR="008B24C0">
        <w:t xml:space="preserve">access.  As needed </w:t>
      </w:r>
      <w:r w:rsidR="00BA5AC7">
        <w:t>depending on the</w:t>
      </w:r>
      <w:r w:rsidR="008B24C0">
        <w:t xml:space="preserve"> network</w:t>
      </w:r>
      <w:r w:rsidR="005F66B3">
        <w:t>/RAN</w:t>
      </w:r>
      <w:r w:rsidR="008B24C0">
        <w:t xml:space="preserve"> topology</w:t>
      </w:r>
      <w:r w:rsidR="00BA5AC7">
        <w:t xml:space="preserve"> and node configurations</w:t>
      </w:r>
      <w:r w:rsidR="008B24C0">
        <w:t xml:space="preserve">, </w:t>
      </w:r>
      <w:r w:rsidR="00363677">
        <w:t>subscriber (</w:t>
      </w:r>
      <w:r w:rsidR="00A971E4">
        <w:t>access</w:t>
      </w:r>
      <w:r w:rsidR="00363677">
        <w:t>)</w:t>
      </w:r>
      <w:r w:rsidR="00A971E4">
        <w:t xml:space="preserve"> </w:t>
      </w:r>
      <w:r w:rsidR="008B24C0">
        <w:t xml:space="preserve">UE N1, F1, </w:t>
      </w:r>
      <w:r w:rsidR="003957ED">
        <w:t xml:space="preserve">N2, N3, </w:t>
      </w:r>
      <w:r w:rsidR="00A971E4">
        <w:t>N4</w:t>
      </w:r>
      <w:r w:rsidR="003957ED">
        <w:t>, Xn and</w:t>
      </w:r>
      <w:r w:rsidR="00CE2024">
        <w:t>/or</w:t>
      </w:r>
      <w:r w:rsidR="003957ED">
        <w:t xml:space="preserve"> OA&amp;M</w:t>
      </w:r>
      <w:r w:rsidR="00363677">
        <w:t xml:space="preserve"> interfaces</w:t>
      </w:r>
      <w:r w:rsidR="00BA5AC7">
        <w:t xml:space="preserve"> can be</w:t>
      </w:r>
      <w:r w:rsidR="00A971E4">
        <w:t xml:space="preserve"> </w:t>
      </w:r>
      <w:r w:rsidR="003957ED">
        <w:t xml:space="preserve">aggregated across </w:t>
      </w:r>
      <w:r w:rsidR="00363677">
        <w:t xml:space="preserve">access </w:t>
      </w:r>
      <w:r w:rsidR="003957ED">
        <w:t xml:space="preserve">UEs and </w:t>
      </w:r>
      <w:r w:rsidR="00A971E4">
        <w:t>mapped</w:t>
      </w:r>
      <w:r w:rsidR="003957ED">
        <w:t xml:space="preserve"> to previously established RN PDU sessions</w:t>
      </w:r>
      <w:r w:rsidR="00BA5AC7">
        <w:t xml:space="preserve"> in a manner </w:t>
      </w:r>
      <w:r w:rsidR="00363677">
        <w:t xml:space="preserve">similar </w:t>
      </w:r>
      <w:r w:rsidR="004708C1">
        <w:t xml:space="preserve">to that used to map </w:t>
      </w:r>
      <w:r w:rsidR="00363677">
        <w:t>a</w:t>
      </w:r>
      <w:r w:rsidR="00F22367">
        <w:t>pplication</w:t>
      </w:r>
      <w:r w:rsidR="004708C1">
        <w:t>s</w:t>
      </w:r>
      <w:r w:rsidR="00F22367">
        <w:t xml:space="preserve"> to a PDU session for subscriber access.  For example, </w:t>
      </w:r>
      <w:r w:rsidR="00ED7AED">
        <w:t xml:space="preserve">one or more </w:t>
      </w:r>
      <w:r w:rsidR="00F22367">
        <w:t xml:space="preserve">separate PDU Sessions may be configured to carry </w:t>
      </w:r>
      <w:r w:rsidR="00ED7AED">
        <w:t xml:space="preserve">each of </w:t>
      </w:r>
      <w:r w:rsidR="00F22367">
        <w:t xml:space="preserve">RN OA&amp;M, </w:t>
      </w:r>
      <w:r w:rsidR="00ED7AED">
        <w:t>the a</w:t>
      </w:r>
      <w:r w:rsidR="00F22367">
        <w:t xml:space="preserve">ccess </w:t>
      </w:r>
      <w:r w:rsidR="00ED7AED">
        <w:t>r</w:t>
      </w:r>
      <w:r w:rsidR="00F22367">
        <w:t xml:space="preserve">elated </w:t>
      </w:r>
      <w:r w:rsidR="00ED7AED">
        <w:t>control p</w:t>
      </w:r>
      <w:r w:rsidR="00F22367">
        <w:t xml:space="preserve">lane and </w:t>
      </w:r>
      <w:r w:rsidR="00ED7AED">
        <w:t xml:space="preserve">the </w:t>
      </w:r>
      <w:r w:rsidR="00A55B64">
        <w:t>access</w:t>
      </w:r>
      <w:r w:rsidR="00EA6249">
        <w:t xml:space="preserve"> </w:t>
      </w:r>
      <w:r w:rsidR="00F22367">
        <w:t>UE User Plane</w:t>
      </w:r>
      <w:r w:rsidR="00EA6249">
        <w:t xml:space="preserve"> over a backhaul hop</w:t>
      </w:r>
      <w:r w:rsidR="00F22367">
        <w:t xml:space="preserve">.  Within each PDU Session </w:t>
      </w:r>
      <w:r w:rsidR="003957ED">
        <w:t xml:space="preserve">QoS </w:t>
      </w:r>
      <w:r w:rsidR="00F22367">
        <w:t xml:space="preserve">may be </w:t>
      </w:r>
      <w:r w:rsidR="003957ED">
        <w:t xml:space="preserve">applied using mechanisms defined in R15 </w:t>
      </w:r>
      <w:r w:rsidR="00F22367">
        <w:t>to differentiate</w:t>
      </w:r>
      <w:r w:rsidR="00ED7AED">
        <w:t xml:space="preserve"> traffic treatment.</w:t>
      </w:r>
      <w:r w:rsidR="00F22367">
        <w:t xml:space="preserve"> </w:t>
      </w:r>
      <w:r w:rsidR="007C5B47">
        <w:t xml:space="preserve"> </w:t>
      </w:r>
      <w:r w:rsidR="005D5D26">
        <w:t xml:space="preserve">Since the contents of the “Application” is transparent to the PDU Session, </w:t>
      </w:r>
      <w:r w:rsidR="005F66B3">
        <w:t>a</w:t>
      </w:r>
      <w:r w:rsidR="005D5D26">
        <w:t xml:space="preserve"> connectivity service may in addition transport </w:t>
      </w:r>
      <w:r w:rsidR="005F66B3">
        <w:t>PDUs supporting Wifi, LTE and other access options available at the cell site or subtending RNs.</w:t>
      </w:r>
    </w:p>
    <w:p w14:paraId="472A1A3C" w14:textId="22C261FD" w:rsidR="00912AD6" w:rsidRDefault="00677339" w:rsidP="00FB78B7">
      <w:pPr>
        <w:rPr>
          <w:b/>
        </w:rPr>
      </w:pPr>
      <w:r>
        <w:rPr>
          <w:b/>
        </w:rPr>
        <w:t>Observation 2</w:t>
      </w:r>
      <w:r w:rsidR="00FF5518" w:rsidRPr="00FF5518">
        <w:rPr>
          <w:b/>
        </w:rPr>
        <w:t xml:space="preserve">: </w:t>
      </w:r>
      <w:r w:rsidR="00912AD6">
        <w:rPr>
          <w:b/>
        </w:rPr>
        <w:t>The “Application” packet transported by a</w:t>
      </w:r>
      <w:r w:rsidR="00FF5518" w:rsidRPr="00FF5518">
        <w:rPr>
          <w:b/>
        </w:rPr>
        <w:t xml:space="preserve"> RN PDU Connectivity Service </w:t>
      </w:r>
      <w:r w:rsidR="00912AD6">
        <w:rPr>
          <w:b/>
        </w:rPr>
        <w:t xml:space="preserve">may be an </w:t>
      </w:r>
      <w:r w:rsidR="00912AD6" w:rsidRPr="00FF5518">
        <w:rPr>
          <w:b/>
        </w:rPr>
        <w:t xml:space="preserve">N1, N2, N3, N4, </w:t>
      </w:r>
      <w:r w:rsidR="000B1AB4">
        <w:rPr>
          <w:b/>
        </w:rPr>
        <w:t xml:space="preserve">Xn, </w:t>
      </w:r>
      <w:r w:rsidR="00912AD6" w:rsidRPr="00FF5518">
        <w:rPr>
          <w:b/>
        </w:rPr>
        <w:t xml:space="preserve">F1, N3, OA&amp;M, </w:t>
      </w:r>
      <w:r w:rsidR="00912AD6">
        <w:rPr>
          <w:b/>
        </w:rPr>
        <w:t xml:space="preserve">Wifi Ethernet, LTE S1 or other packet, as the </w:t>
      </w:r>
      <w:r w:rsidR="004B321D">
        <w:rPr>
          <w:b/>
        </w:rPr>
        <w:t>“</w:t>
      </w:r>
      <w:r w:rsidR="00912AD6" w:rsidRPr="00912AD6">
        <w:rPr>
          <w:b/>
        </w:rPr>
        <w:t>Application” is transparent to the PDU Session</w:t>
      </w:r>
      <w:r w:rsidR="00912AD6">
        <w:rPr>
          <w:b/>
        </w:rPr>
        <w:t>.</w:t>
      </w:r>
    </w:p>
    <w:p w14:paraId="545FD35F" w14:textId="53F2F27E" w:rsidR="00084AC4" w:rsidRDefault="00BA5AC7" w:rsidP="00FB78B7">
      <w:r>
        <w:t>As with other IAB solution options</w:t>
      </w:r>
      <w:r w:rsidR="00F226F3">
        <w:t>, some customizations</w:t>
      </w:r>
      <w:r w:rsidR="00084AC4">
        <w:t>,</w:t>
      </w:r>
      <w:r w:rsidR="00F226F3">
        <w:t xml:space="preserve"> such as</w:t>
      </w:r>
      <w:r w:rsidR="007679B4">
        <w:t xml:space="preserve"> </w:t>
      </w:r>
      <w:r w:rsidR="00F226F3">
        <w:t>those to</w:t>
      </w:r>
      <w:r w:rsidR="00084AC4">
        <w:t xml:space="preserve"> </w:t>
      </w:r>
      <w:r w:rsidR="007679B4">
        <w:t xml:space="preserve">coordinate </w:t>
      </w:r>
      <w:r w:rsidR="00F226F3">
        <w:t xml:space="preserve">in-band access and backhaul scheduling at L1/L2 are likely needed only for </w:t>
      </w:r>
      <w:r>
        <w:t xml:space="preserve">the </w:t>
      </w:r>
      <w:r w:rsidR="00F226F3">
        <w:t>IAB</w:t>
      </w:r>
      <w:r>
        <w:t xml:space="preserve"> Connectivity Service</w:t>
      </w:r>
      <w:r w:rsidR="00F226F3">
        <w:t xml:space="preserve">.   </w:t>
      </w:r>
      <w:r w:rsidR="00084AC4">
        <w:t>However, o</w:t>
      </w:r>
      <w:r w:rsidR="00F226F3">
        <w:t>ther customizations,</w:t>
      </w:r>
      <w:r w:rsidR="00ED7AED">
        <w:t xml:space="preserve"> such as</w:t>
      </w:r>
      <w:r w:rsidR="00084AC4">
        <w:t xml:space="preserve"> a</w:t>
      </w:r>
      <w:r w:rsidR="00F226F3">
        <w:t xml:space="preserve"> reduced-functionality UPF co-located with a</w:t>
      </w:r>
      <w:r w:rsidR="00084AC4">
        <w:t xml:space="preserve"> gNB, </w:t>
      </w:r>
      <w:r w:rsidR="002649A2">
        <w:t xml:space="preserve">and </w:t>
      </w:r>
      <w:r w:rsidR="00A55B64">
        <w:t xml:space="preserve">simplified </w:t>
      </w:r>
      <w:r w:rsidR="002649A2">
        <w:t xml:space="preserve">UPF mobility </w:t>
      </w:r>
      <w:r w:rsidR="00BC468A">
        <w:t>are likely</w:t>
      </w:r>
      <w:r>
        <w:t xml:space="preserve"> applicable to </w:t>
      </w:r>
      <w:r w:rsidR="00ED7AED">
        <w:t xml:space="preserve">other </w:t>
      </w:r>
      <w:r w:rsidR="00084AC4">
        <w:t xml:space="preserve">use cases such as industrial automation and </w:t>
      </w:r>
      <w:r w:rsidR="0094062C">
        <w:t>private</w:t>
      </w:r>
      <w:r w:rsidR="00DC596F">
        <w:t xml:space="preserve"> enterprise content delivery</w:t>
      </w:r>
      <w:r w:rsidR="007B0F5B">
        <w:t>,</w:t>
      </w:r>
      <w:r>
        <w:t xml:space="preserve"> where local connectivity is required</w:t>
      </w:r>
      <w:r w:rsidR="00084AC4">
        <w:t xml:space="preserve">.  Hence support of IAB via a connectivity service has the ancillary benefit that it </w:t>
      </w:r>
      <w:r w:rsidR="00EF2770">
        <w:t xml:space="preserve">helps </w:t>
      </w:r>
      <w:r w:rsidR="0094062C">
        <w:t>build</w:t>
      </w:r>
      <w:r w:rsidR="00EF2770">
        <w:t xml:space="preserve"> a tool kit</w:t>
      </w:r>
      <w:r w:rsidR="0094062C">
        <w:t xml:space="preserve"> of reusable </w:t>
      </w:r>
      <w:r w:rsidR="005D3CFA">
        <w:t>capabilities</w:t>
      </w:r>
      <w:r w:rsidR="00EF2770">
        <w:t xml:space="preserve"> </w:t>
      </w:r>
      <w:r w:rsidR="007B0F5B">
        <w:t>that can</w:t>
      </w:r>
      <w:r w:rsidR="00084AC4">
        <w:t xml:space="preserve"> facilitate </w:t>
      </w:r>
      <w:r w:rsidR="0094062C">
        <w:t xml:space="preserve">support of </w:t>
      </w:r>
      <w:r w:rsidR="0015537D">
        <w:t>other scenarios.</w:t>
      </w:r>
    </w:p>
    <w:p w14:paraId="3928EA32" w14:textId="099F2DD9" w:rsidR="004B321D" w:rsidRPr="004B321D" w:rsidRDefault="004B321D" w:rsidP="00FB78B7">
      <w:pPr>
        <w:rPr>
          <w:b/>
        </w:rPr>
      </w:pPr>
      <w:r w:rsidRPr="004B321D">
        <w:rPr>
          <w:b/>
        </w:rPr>
        <w:t xml:space="preserve">Observation 3:  RN PDU Connectivity </w:t>
      </w:r>
      <w:r w:rsidR="00070E4D">
        <w:rPr>
          <w:b/>
        </w:rPr>
        <w:t xml:space="preserve">Service </w:t>
      </w:r>
      <w:r w:rsidRPr="004B321D">
        <w:rPr>
          <w:b/>
        </w:rPr>
        <w:t>f</w:t>
      </w:r>
      <w:r w:rsidR="000B1AB4">
        <w:rPr>
          <w:b/>
        </w:rPr>
        <w:t>eatures</w:t>
      </w:r>
      <w:r w:rsidR="00070E4D">
        <w:rPr>
          <w:b/>
        </w:rPr>
        <w:t xml:space="preserve"> standardized with IAB in mind</w:t>
      </w:r>
      <w:r w:rsidR="000B1AB4">
        <w:rPr>
          <w:b/>
        </w:rPr>
        <w:t>, such as</w:t>
      </w:r>
      <w:r w:rsidR="00070E4D">
        <w:rPr>
          <w:b/>
        </w:rPr>
        <w:t xml:space="preserve"> streamlined</w:t>
      </w:r>
      <w:r w:rsidR="000B1AB4">
        <w:rPr>
          <w:b/>
        </w:rPr>
        <w:t xml:space="preserve"> support for a gNB co-located UPF,</w:t>
      </w:r>
      <w:r w:rsidRPr="004B321D">
        <w:rPr>
          <w:b/>
        </w:rPr>
        <w:t xml:space="preserve"> </w:t>
      </w:r>
      <w:r w:rsidR="000B1AB4">
        <w:rPr>
          <w:b/>
        </w:rPr>
        <w:t>may be used for</w:t>
      </w:r>
      <w:r w:rsidRPr="004B321D">
        <w:rPr>
          <w:b/>
        </w:rPr>
        <w:t xml:space="preserve"> other use cases</w:t>
      </w:r>
      <w:r w:rsidR="00070E4D">
        <w:rPr>
          <w:b/>
        </w:rPr>
        <w:t xml:space="preserve"> that require a </w:t>
      </w:r>
      <w:r w:rsidR="007B0F5B">
        <w:rPr>
          <w:b/>
        </w:rPr>
        <w:t xml:space="preserve">local </w:t>
      </w:r>
      <w:r w:rsidR="00070E4D">
        <w:rPr>
          <w:b/>
        </w:rPr>
        <w:t>Connectivity Service</w:t>
      </w:r>
      <w:r w:rsidRPr="004B321D">
        <w:rPr>
          <w:b/>
        </w:rPr>
        <w:t xml:space="preserve">.  </w:t>
      </w:r>
    </w:p>
    <w:p w14:paraId="53286A24" w14:textId="3CC647CF" w:rsidR="007864D2" w:rsidRDefault="007864D2" w:rsidP="00FB78B7">
      <w:r>
        <w:t xml:space="preserve">PDU connectivity service </w:t>
      </w:r>
      <w:r w:rsidR="00E267BC">
        <w:t>and network slicing are</w:t>
      </w:r>
      <w:r>
        <w:t xml:space="preserve"> the mechanism</w:t>
      </w:r>
      <w:r w:rsidR="00E267BC">
        <w:t xml:space="preserve">s </w:t>
      </w:r>
      <w:r>
        <w:t xml:space="preserve">3GPP has defined for 5G wireless communications with </w:t>
      </w:r>
      <w:r w:rsidR="00E267BC">
        <w:t>the hope and expectation that they</w:t>
      </w:r>
      <w:r>
        <w:t xml:space="preserve"> will be adopted by a diverse set of industries with specialized communication </w:t>
      </w:r>
      <w:r>
        <w:lastRenderedPageBreak/>
        <w:t xml:space="preserve">needs.  IAB provides 3GPP with the opportunity </w:t>
      </w:r>
      <w:r w:rsidR="00E267BC">
        <w:t>to demonstrate the</w:t>
      </w:r>
      <w:r>
        <w:t xml:space="preserve"> utility and adaptability</w:t>
      </w:r>
      <w:r w:rsidR="007B0F5B">
        <w:t xml:space="preserve"> of this</w:t>
      </w:r>
      <w:r w:rsidR="00E267BC">
        <w:t xml:space="preserve"> approach</w:t>
      </w:r>
      <w:r>
        <w:t xml:space="preserve"> by usi</w:t>
      </w:r>
      <w:r w:rsidR="00E267BC">
        <w:t xml:space="preserve">ng it for </w:t>
      </w:r>
      <w:r w:rsidR="007B0F5B">
        <w:t>backhaul transport via NR</w:t>
      </w:r>
      <w:r w:rsidR="00E267BC">
        <w:t>.</w:t>
      </w:r>
      <w:r>
        <w:t xml:space="preserve"> </w:t>
      </w:r>
    </w:p>
    <w:p w14:paraId="4F7677EC" w14:textId="0264F987" w:rsidR="00F226F3" w:rsidRPr="00257D72" w:rsidRDefault="000E5AE3" w:rsidP="00FB78B7">
      <w:pPr>
        <w:rPr>
          <w:b/>
        </w:rPr>
      </w:pPr>
      <w:r>
        <w:rPr>
          <w:b/>
        </w:rPr>
        <w:t xml:space="preserve">Proposal 1: </w:t>
      </w:r>
      <w:r w:rsidR="00257D72">
        <w:rPr>
          <w:b/>
        </w:rPr>
        <w:t xml:space="preserve">RN </w:t>
      </w:r>
      <w:r w:rsidR="00257D72" w:rsidRPr="00257D72">
        <w:rPr>
          <w:b/>
        </w:rPr>
        <w:t xml:space="preserve">PDU Connectivity Services for backhaul hops should be studied further in the 3GPP </w:t>
      </w:r>
      <w:r w:rsidR="004D4DD3">
        <w:rPr>
          <w:b/>
        </w:rPr>
        <w:t>IAB Study Item and included in</w:t>
      </w:r>
      <w:r w:rsidR="00257D72" w:rsidRPr="00257D72">
        <w:rPr>
          <w:b/>
        </w:rPr>
        <w:t xml:space="preserve"> the technical report.</w:t>
      </w:r>
    </w:p>
    <w:p w14:paraId="5FF0E443" w14:textId="6545164A" w:rsidR="00CD4C7B" w:rsidRPr="0001093E" w:rsidRDefault="00CD4C7B" w:rsidP="00CD4C7B">
      <w:pPr>
        <w:pStyle w:val="Heading1"/>
        <w:rPr>
          <w:lang w:val="en-US"/>
        </w:rPr>
      </w:pPr>
      <w:r w:rsidRPr="0001093E">
        <w:rPr>
          <w:lang w:val="en-US"/>
        </w:rPr>
        <w:t>3</w:t>
      </w:r>
      <w:r w:rsidRPr="0001093E">
        <w:rPr>
          <w:lang w:val="en-US"/>
        </w:rPr>
        <w:tab/>
      </w:r>
      <w:r w:rsidR="001F1788" w:rsidRPr="0001093E">
        <w:rPr>
          <w:lang w:val="en-US"/>
        </w:rPr>
        <w:t>Solution Summary</w:t>
      </w:r>
    </w:p>
    <w:p w14:paraId="5446541D" w14:textId="73645DCE" w:rsidR="007A6665" w:rsidRDefault="002C59F0" w:rsidP="006D7912">
      <w:pPr>
        <w:pStyle w:val="Heading2"/>
        <w:ind w:left="0" w:firstLine="0"/>
        <w:rPr>
          <w:rFonts w:ascii="Times New Roman" w:hAnsi="Times New Roman"/>
          <w:sz w:val="20"/>
          <w:lang w:val="en-US"/>
        </w:rPr>
      </w:pPr>
      <w:r>
        <w:rPr>
          <w:rFonts w:ascii="Times New Roman" w:hAnsi="Times New Roman"/>
          <w:sz w:val="20"/>
          <w:lang w:val="en-US"/>
        </w:rPr>
        <w:t xml:space="preserve">Use of </w:t>
      </w:r>
      <w:r w:rsidR="00744E8C">
        <w:rPr>
          <w:rFonts w:ascii="Times New Roman" w:hAnsi="Times New Roman"/>
          <w:sz w:val="20"/>
          <w:lang w:val="en-US"/>
        </w:rPr>
        <w:t>RN PDU Session Connectivity service</w:t>
      </w:r>
      <w:r>
        <w:rPr>
          <w:rFonts w:ascii="Times New Roman" w:hAnsi="Times New Roman"/>
          <w:sz w:val="20"/>
          <w:lang w:val="en-US"/>
        </w:rPr>
        <w:t>s for backhaul hops</w:t>
      </w:r>
      <w:r w:rsidR="00744E8C" w:rsidRPr="00744E8C">
        <w:rPr>
          <w:rFonts w:ascii="Times New Roman" w:hAnsi="Times New Roman"/>
          <w:sz w:val="20"/>
          <w:lang w:val="en-US"/>
        </w:rPr>
        <w:t xml:space="preserve"> has the advantage of simple standardization si</w:t>
      </w:r>
      <w:r w:rsidR="00E51DFE">
        <w:rPr>
          <w:rFonts w:ascii="Times New Roman" w:hAnsi="Times New Roman"/>
          <w:sz w:val="20"/>
          <w:lang w:val="en-US"/>
        </w:rPr>
        <w:t xml:space="preserve">nce </w:t>
      </w:r>
      <w:r w:rsidR="009923E0">
        <w:rPr>
          <w:rFonts w:ascii="Times New Roman" w:hAnsi="Times New Roman"/>
          <w:sz w:val="20"/>
          <w:lang w:val="en-US"/>
        </w:rPr>
        <w:t>the RN</w:t>
      </w:r>
      <w:r w:rsidR="00E51DFE">
        <w:rPr>
          <w:rFonts w:ascii="Times New Roman" w:hAnsi="Times New Roman"/>
          <w:sz w:val="20"/>
          <w:lang w:val="en-US"/>
        </w:rPr>
        <w:t xml:space="preserve"> ma</w:t>
      </w:r>
      <w:r>
        <w:rPr>
          <w:rFonts w:ascii="Times New Roman" w:hAnsi="Times New Roman"/>
          <w:sz w:val="20"/>
          <w:lang w:val="en-US"/>
        </w:rPr>
        <w:t>y behave as a “normal” UE that</w:t>
      </w:r>
      <w:r w:rsidR="00744E8C" w:rsidRPr="00744E8C">
        <w:rPr>
          <w:rFonts w:ascii="Times New Roman" w:hAnsi="Times New Roman"/>
          <w:sz w:val="20"/>
          <w:lang w:val="en-US"/>
        </w:rPr>
        <w:t xml:space="preserve"> attach</w:t>
      </w:r>
      <w:r w:rsidR="00E51DFE">
        <w:rPr>
          <w:rFonts w:ascii="Times New Roman" w:hAnsi="Times New Roman"/>
          <w:sz w:val="20"/>
          <w:lang w:val="en-US"/>
        </w:rPr>
        <w:t>es</w:t>
      </w:r>
      <w:r w:rsidR="00744E8C" w:rsidRPr="00744E8C">
        <w:rPr>
          <w:rFonts w:ascii="Times New Roman" w:hAnsi="Times New Roman"/>
          <w:sz w:val="20"/>
          <w:lang w:val="en-US"/>
        </w:rPr>
        <w:t xml:space="preserve"> to the n</w:t>
      </w:r>
      <w:r w:rsidR="001D6493">
        <w:rPr>
          <w:rFonts w:ascii="Times New Roman" w:hAnsi="Times New Roman"/>
          <w:sz w:val="20"/>
          <w:lang w:val="en-US"/>
        </w:rPr>
        <w:t>etwork.  It</w:t>
      </w:r>
      <w:r>
        <w:rPr>
          <w:rFonts w:ascii="Times New Roman" w:hAnsi="Times New Roman"/>
          <w:sz w:val="20"/>
          <w:lang w:val="en-US"/>
        </w:rPr>
        <w:t xml:space="preserve"> </w:t>
      </w:r>
      <w:r w:rsidR="00E51DFE">
        <w:rPr>
          <w:rFonts w:ascii="Times New Roman" w:hAnsi="Times New Roman"/>
          <w:sz w:val="20"/>
          <w:lang w:val="en-US"/>
        </w:rPr>
        <w:t>gets allocated a</w:t>
      </w:r>
      <w:r>
        <w:rPr>
          <w:rFonts w:ascii="Times New Roman" w:hAnsi="Times New Roman"/>
          <w:sz w:val="20"/>
          <w:lang w:val="en-US"/>
        </w:rPr>
        <w:t xml:space="preserve"> UPF, attains</w:t>
      </w:r>
      <w:r w:rsidR="00744E8C" w:rsidRPr="00744E8C">
        <w:rPr>
          <w:rFonts w:ascii="Times New Roman" w:hAnsi="Times New Roman"/>
          <w:sz w:val="20"/>
          <w:lang w:val="en-US"/>
        </w:rPr>
        <w:t xml:space="preserve"> connectivity </w:t>
      </w:r>
      <w:r w:rsidR="00E51DFE">
        <w:rPr>
          <w:rFonts w:ascii="Times New Roman" w:hAnsi="Times New Roman"/>
          <w:sz w:val="20"/>
          <w:lang w:val="en-US"/>
        </w:rPr>
        <w:t>over the BH hop</w:t>
      </w:r>
      <w:r>
        <w:rPr>
          <w:rFonts w:ascii="Times New Roman" w:hAnsi="Times New Roman"/>
          <w:sz w:val="20"/>
          <w:lang w:val="en-US"/>
        </w:rPr>
        <w:t xml:space="preserve"> and transports a desired application payload</w:t>
      </w:r>
      <w:r w:rsidR="00E51DFE">
        <w:rPr>
          <w:rFonts w:ascii="Times New Roman" w:hAnsi="Times New Roman"/>
          <w:sz w:val="20"/>
          <w:lang w:val="en-US"/>
        </w:rPr>
        <w:t xml:space="preserve">.  </w:t>
      </w:r>
      <w:r w:rsidR="006D7912">
        <w:rPr>
          <w:rFonts w:ascii="Times New Roman" w:hAnsi="Times New Roman"/>
          <w:sz w:val="20"/>
          <w:lang w:val="en-US"/>
        </w:rPr>
        <w:t>For clarity, an</w:t>
      </w:r>
      <w:r w:rsidR="008B2FCF">
        <w:rPr>
          <w:rFonts w:ascii="Times New Roman" w:hAnsi="Times New Roman"/>
          <w:sz w:val="20"/>
          <w:lang w:val="en-US"/>
        </w:rPr>
        <w:t xml:space="preserve"> example configuration of IAB </w:t>
      </w:r>
      <w:r w:rsidR="006D7912">
        <w:rPr>
          <w:rFonts w:ascii="Times New Roman" w:hAnsi="Times New Roman"/>
          <w:sz w:val="20"/>
          <w:lang w:val="en-US"/>
        </w:rPr>
        <w:t>using RN connectivity s</w:t>
      </w:r>
      <w:r w:rsidR="008B2FCF" w:rsidRPr="008B2FCF">
        <w:rPr>
          <w:rFonts w:ascii="Times New Roman" w:hAnsi="Times New Roman"/>
          <w:sz w:val="20"/>
          <w:lang w:val="en-US"/>
        </w:rPr>
        <w:t>ervice</w:t>
      </w:r>
      <w:r w:rsidR="006D7912">
        <w:rPr>
          <w:rFonts w:ascii="Times New Roman" w:hAnsi="Times New Roman"/>
          <w:sz w:val="20"/>
          <w:lang w:val="en-US"/>
        </w:rPr>
        <w:t>s and network slicing</w:t>
      </w:r>
      <w:r w:rsidR="008B2FCF" w:rsidRPr="008B2FCF">
        <w:rPr>
          <w:rFonts w:ascii="Times New Roman" w:hAnsi="Times New Roman"/>
          <w:sz w:val="20"/>
          <w:lang w:val="en-US"/>
        </w:rPr>
        <w:t xml:space="preserve"> </w:t>
      </w:r>
      <w:r w:rsidR="008B2FCF">
        <w:rPr>
          <w:rFonts w:ascii="Times New Roman" w:hAnsi="Times New Roman"/>
          <w:sz w:val="20"/>
          <w:lang w:val="en-US"/>
        </w:rPr>
        <w:t>is shown in figure 1</w:t>
      </w:r>
      <w:r w:rsidR="004E6227">
        <w:rPr>
          <w:rFonts w:ascii="Times New Roman" w:hAnsi="Times New Roman"/>
          <w:sz w:val="20"/>
          <w:lang w:val="en-US"/>
        </w:rPr>
        <w:t xml:space="preserve"> for the single hop case.</w:t>
      </w:r>
      <w:r w:rsidR="006D7912">
        <w:rPr>
          <w:rFonts w:ascii="Times New Roman" w:hAnsi="Times New Roman"/>
          <w:sz w:val="20"/>
          <w:lang w:val="en-US"/>
        </w:rPr>
        <w:t xml:space="preserve"> </w:t>
      </w:r>
      <w:r w:rsidR="006E557D" w:rsidRPr="000E5AE3">
        <w:rPr>
          <w:rFonts w:ascii="Times New Roman" w:hAnsi="Times New Roman"/>
          <w:color w:val="000000" w:themeColor="text1"/>
          <w:sz w:val="20"/>
          <w:lang w:val="en-US"/>
        </w:rPr>
        <w:t>This is an exampl</w:t>
      </w:r>
      <w:r w:rsidR="00E90492" w:rsidRPr="000E5AE3">
        <w:rPr>
          <w:rFonts w:ascii="Times New Roman" w:hAnsi="Times New Roman"/>
          <w:color w:val="000000" w:themeColor="text1"/>
          <w:sz w:val="20"/>
          <w:lang w:val="en-US"/>
        </w:rPr>
        <w:t xml:space="preserve">e </w:t>
      </w:r>
      <w:r w:rsidR="00744E8C" w:rsidRPr="000E5AE3">
        <w:rPr>
          <w:rFonts w:ascii="Times New Roman" w:hAnsi="Times New Roman"/>
          <w:color w:val="000000" w:themeColor="text1"/>
          <w:sz w:val="20"/>
          <w:lang w:val="en-US"/>
        </w:rPr>
        <w:t xml:space="preserve">which we believe can be supported without changes to the CN, and is shown </w:t>
      </w:r>
      <w:r w:rsidR="00E90492" w:rsidRPr="000E5AE3">
        <w:rPr>
          <w:rFonts w:ascii="Times New Roman" w:hAnsi="Times New Roman"/>
          <w:color w:val="000000" w:themeColor="text1"/>
          <w:sz w:val="20"/>
          <w:lang w:val="en-US"/>
        </w:rPr>
        <w:t>to illustrate the principle attributes of the solution</w:t>
      </w:r>
      <w:r w:rsidR="00744E8C" w:rsidRPr="000E5AE3">
        <w:rPr>
          <w:rFonts w:ascii="Times New Roman" w:hAnsi="Times New Roman"/>
          <w:color w:val="000000" w:themeColor="text1"/>
          <w:sz w:val="20"/>
          <w:lang w:val="en-US"/>
        </w:rPr>
        <w:t>.  The</w:t>
      </w:r>
      <w:r w:rsidR="006E557D" w:rsidRPr="000E5AE3">
        <w:rPr>
          <w:rFonts w:ascii="Times New Roman" w:hAnsi="Times New Roman"/>
          <w:color w:val="000000" w:themeColor="text1"/>
          <w:sz w:val="20"/>
          <w:lang w:val="en-US"/>
        </w:rPr>
        <w:t xml:space="preserve"> </w:t>
      </w:r>
      <w:r w:rsidR="00E90492" w:rsidRPr="000E5AE3">
        <w:rPr>
          <w:rFonts w:ascii="Times New Roman" w:hAnsi="Times New Roman"/>
          <w:color w:val="000000" w:themeColor="text1"/>
          <w:sz w:val="20"/>
          <w:lang w:val="en-US"/>
        </w:rPr>
        <w:t>s</w:t>
      </w:r>
      <w:r w:rsidR="006D7912" w:rsidRPr="000E5AE3">
        <w:rPr>
          <w:rFonts w:ascii="Times New Roman" w:hAnsi="Times New Roman"/>
          <w:color w:val="000000" w:themeColor="text1"/>
          <w:sz w:val="20"/>
          <w:lang w:val="en-US"/>
        </w:rPr>
        <w:t xml:space="preserve">pecific configurations </w:t>
      </w:r>
      <w:r w:rsidR="007A6665" w:rsidRPr="000E5AE3">
        <w:rPr>
          <w:rFonts w:ascii="Times New Roman" w:hAnsi="Times New Roman"/>
          <w:color w:val="000000" w:themeColor="text1"/>
          <w:sz w:val="20"/>
          <w:lang w:val="en-US"/>
        </w:rPr>
        <w:t xml:space="preserve">to be supported </w:t>
      </w:r>
      <w:r w:rsidR="006D7912" w:rsidRPr="000E5AE3">
        <w:rPr>
          <w:rFonts w:ascii="Times New Roman" w:hAnsi="Times New Roman"/>
          <w:color w:val="000000" w:themeColor="text1"/>
          <w:sz w:val="20"/>
          <w:lang w:val="en-US"/>
        </w:rPr>
        <w:t xml:space="preserve">and the degree to which they must be standardized is FFS.   </w:t>
      </w:r>
    </w:p>
    <w:p w14:paraId="43B0815B" w14:textId="711F77D1" w:rsidR="0001093E" w:rsidRDefault="004E6227" w:rsidP="006D7912">
      <w:pPr>
        <w:pStyle w:val="Heading2"/>
        <w:ind w:left="0" w:firstLine="0"/>
        <w:rPr>
          <w:rFonts w:ascii="Times New Roman" w:hAnsi="Times New Roman"/>
          <w:sz w:val="20"/>
          <w:lang w:val="en-US"/>
        </w:rPr>
      </w:pPr>
      <w:r>
        <w:rPr>
          <w:rFonts w:ascii="Times New Roman" w:hAnsi="Times New Roman"/>
          <w:sz w:val="20"/>
          <w:lang w:val="en-US"/>
        </w:rPr>
        <w:t>The RN slice is indicated in red while the UE Access slice is indicated in blue.  A CU/DU split is used in both slices though that need not be required</w:t>
      </w:r>
      <w:r w:rsidR="007A6665">
        <w:rPr>
          <w:rFonts w:ascii="Times New Roman" w:hAnsi="Times New Roman"/>
          <w:sz w:val="20"/>
          <w:lang w:val="en-US"/>
        </w:rPr>
        <w:t xml:space="preserve"> and in the case of multi-hop may not be desirable</w:t>
      </w:r>
      <w:r>
        <w:rPr>
          <w:rFonts w:ascii="Times New Roman" w:hAnsi="Times New Roman"/>
          <w:sz w:val="20"/>
          <w:lang w:val="en-US"/>
        </w:rPr>
        <w:t xml:space="preserve">.   </w:t>
      </w:r>
      <w:r w:rsidR="00860607" w:rsidRPr="00860607">
        <w:rPr>
          <w:rFonts w:ascii="Times New Roman" w:hAnsi="Times New Roman"/>
          <w:sz w:val="20"/>
          <w:lang w:val="en-US"/>
        </w:rPr>
        <w:t xml:space="preserve">The RN slice uses a standard R15 </w:t>
      </w:r>
      <w:r w:rsidR="00860607">
        <w:rPr>
          <w:rFonts w:ascii="Times New Roman" w:hAnsi="Times New Roman"/>
          <w:sz w:val="20"/>
          <w:lang w:val="en-US"/>
        </w:rPr>
        <w:t xml:space="preserve">system </w:t>
      </w:r>
      <w:r w:rsidR="00860607" w:rsidRPr="00860607">
        <w:rPr>
          <w:rFonts w:ascii="Times New Roman" w:hAnsi="Times New Roman"/>
          <w:sz w:val="20"/>
          <w:lang w:val="en-US"/>
        </w:rPr>
        <w:t>architecture</w:t>
      </w:r>
      <w:r w:rsidR="00860607">
        <w:rPr>
          <w:rFonts w:ascii="Times New Roman" w:hAnsi="Times New Roman"/>
          <w:sz w:val="20"/>
          <w:lang w:val="en-US"/>
        </w:rPr>
        <w:t>.</w:t>
      </w:r>
      <w:r w:rsidR="00860607" w:rsidRPr="00860607">
        <w:rPr>
          <w:rFonts w:ascii="Times New Roman" w:hAnsi="Times New Roman"/>
          <w:sz w:val="20"/>
          <w:lang w:val="en-US"/>
        </w:rPr>
        <w:t xml:space="preserve"> </w:t>
      </w:r>
      <w:r w:rsidR="00860607">
        <w:rPr>
          <w:rFonts w:ascii="Times New Roman" w:hAnsi="Times New Roman"/>
          <w:sz w:val="20"/>
          <w:lang w:val="en-US"/>
        </w:rPr>
        <w:t xml:space="preserve"> </w:t>
      </w:r>
      <w:r>
        <w:rPr>
          <w:rFonts w:ascii="Times New Roman" w:hAnsi="Times New Roman"/>
          <w:sz w:val="20"/>
          <w:lang w:val="en-US"/>
        </w:rPr>
        <w:t xml:space="preserve">Transport </w:t>
      </w:r>
      <w:r w:rsidR="00860607">
        <w:rPr>
          <w:rFonts w:ascii="Times New Roman" w:hAnsi="Times New Roman"/>
          <w:sz w:val="20"/>
          <w:lang w:val="en-US"/>
        </w:rPr>
        <w:t xml:space="preserve">of UE Access Slice PDUs </w:t>
      </w:r>
      <w:r>
        <w:rPr>
          <w:rFonts w:ascii="Times New Roman" w:hAnsi="Times New Roman"/>
          <w:sz w:val="20"/>
          <w:lang w:val="en-US"/>
        </w:rPr>
        <w:t>between the RN and Donor gNB is provided using three RN Slice PDU sessions, one for the Access UP</w:t>
      </w:r>
      <w:r w:rsidR="007A6665">
        <w:rPr>
          <w:rFonts w:ascii="Times New Roman" w:hAnsi="Times New Roman"/>
          <w:sz w:val="20"/>
          <w:lang w:val="en-US"/>
        </w:rPr>
        <w:t xml:space="preserve"> (F1-U)</w:t>
      </w:r>
      <w:r>
        <w:rPr>
          <w:rFonts w:ascii="Times New Roman" w:hAnsi="Times New Roman"/>
          <w:sz w:val="20"/>
          <w:lang w:val="en-US"/>
        </w:rPr>
        <w:t>, a second for RN and UE (N1) signaling and a third for OA&amp;M</w:t>
      </w:r>
      <w:r w:rsidR="007A6665">
        <w:rPr>
          <w:rFonts w:ascii="Times New Roman" w:hAnsi="Times New Roman"/>
          <w:sz w:val="20"/>
          <w:lang w:val="en-US"/>
        </w:rPr>
        <w:t xml:space="preserve">.  The </w:t>
      </w:r>
      <w:r w:rsidR="00860607">
        <w:rPr>
          <w:rFonts w:ascii="Times New Roman" w:hAnsi="Times New Roman"/>
          <w:sz w:val="20"/>
          <w:lang w:val="en-US"/>
        </w:rPr>
        <w:t>RN Slice PDU S</w:t>
      </w:r>
      <w:r w:rsidR="007A6665">
        <w:rPr>
          <w:rFonts w:ascii="Times New Roman" w:hAnsi="Times New Roman"/>
          <w:sz w:val="20"/>
          <w:lang w:val="en-US"/>
        </w:rPr>
        <w:t xml:space="preserve">essions </w:t>
      </w:r>
      <w:r>
        <w:rPr>
          <w:rFonts w:ascii="Times New Roman" w:hAnsi="Times New Roman"/>
          <w:sz w:val="20"/>
          <w:lang w:val="en-US"/>
        </w:rPr>
        <w:t>are terminated respectively in UPF-1, UPF-2 and UPF3.</w:t>
      </w:r>
      <w:r w:rsidR="007A6665">
        <w:rPr>
          <w:rFonts w:ascii="Times New Roman" w:hAnsi="Times New Roman"/>
          <w:sz w:val="20"/>
          <w:lang w:val="en-US"/>
        </w:rPr>
        <w:t xml:space="preserve">  The access UP (F1-U) is aggregated across UEs into the RN PDU session terminating in UPF-1.  </w:t>
      </w:r>
      <w:r w:rsidR="00860607">
        <w:rPr>
          <w:rFonts w:ascii="Times New Roman" w:hAnsi="Times New Roman"/>
          <w:sz w:val="20"/>
          <w:lang w:val="en-US"/>
        </w:rPr>
        <w:t>Similarly,</w:t>
      </w:r>
      <w:r w:rsidR="007A6665">
        <w:rPr>
          <w:rFonts w:ascii="Times New Roman" w:hAnsi="Times New Roman"/>
          <w:sz w:val="20"/>
          <w:lang w:val="en-US"/>
        </w:rPr>
        <w:t xml:space="preserve"> the CP </w:t>
      </w:r>
      <w:r w:rsidR="00CE32CE">
        <w:rPr>
          <w:rFonts w:ascii="Times New Roman" w:hAnsi="Times New Roman"/>
          <w:sz w:val="20"/>
          <w:lang w:val="en-US"/>
        </w:rPr>
        <w:t>is aggregated across UEs into the RN PDU session terminating in UPF-2.</w:t>
      </w:r>
      <w:r w:rsidR="007A6665">
        <w:rPr>
          <w:rFonts w:ascii="Times New Roman" w:hAnsi="Times New Roman"/>
          <w:sz w:val="20"/>
          <w:lang w:val="en-US"/>
        </w:rPr>
        <w:t xml:space="preserve"> </w:t>
      </w:r>
    </w:p>
    <w:p w14:paraId="775B3801" w14:textId="04D78D18" w:rsidR="008B2FCF" w:rsidRDefault="00B91985" w:rsidP="008B2FCF">
      <w:r>
        <w:rPr>
          <w:noProof/>
        </w:rPr>
        <w:drawing>
          <wp:inline distT="0" distB="0" distL="0" distR="0" wp14:anchorId="6E6DB2C5" wp14:editId="7E8AB51C">
            <wp:extent cx="6122035" cy="1962098"/>
            <wp:effectExtent l="0" t="0" r="0" b="63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962098"/>
                    </a:xfrm>
                    <a:prstGeom prst="rect">
                      <a:avLst/>
                    </a:prstGeom>
                    <a:noFill/>
                  </pic:spPr>
                </pic:pic>
              </a:graphicData>
            </a:graphic>
          </wp:inline>
        </w:drawing>
      </w:r>
    </w:p>
    <w:p w14:paraId="00E346B7" w14:textId="0AB28C06" w:rsidR="001C5448" w:rsidRPr="0001093E" w:rsidRDefault="001C5448" w:rsidP="001C5448">
      <w:pPr>
        <w:pStyle w:val="TF"/>
      </w:pPr>
      <w:r>
        <w:t>Figure 1</w:t>
      </w:r>
      <w:r w:rsidRPr="0001093E">
        <w:t xml:space="preserve">: </w:t>
      </w:r>
      <w:r w:rsidR="009C36D1">
        <w:t xml:space="preserve">Example of </w:t>
      </w:r>
      <w:r>
        <w:t>IAB using PDU Connectivity Services and Network Slicing</w:t>
      </w:r>
    </w:p>
    <w:p w14:paraId="5C4C9454" w14:textId="77777777" w:rsidR="001C5448" w:rsidRPr="008B2FCF" w:rsidRDefault="001C5448" w:rsidP="008B2FCF"/>
    <w:p w14:paraId="3771C9CA" w14:textId="74073424" w:rsidR="00CD4C7B" w:rsidRPr="0001093E" w:rsidRDefault="0001093E" w:rsidP="00155BE8">
      <w:pPr>
        <w:pStyle w:val="Heading2"/>
        <w:numPr>
          <w:ilvl w:val="1"/>
          <w:numId w:val="7"/>
        </w:numPr>
        <w:ind w:left="1134" w:hanging="851"/>
        <w:rPr>
          <w:lang w:val="en-US"/>
        </w:rPr>
      </w:pPr>
      <w:r w:rsidRPr="0001093E">
        <w:rPr>
          <w:lang w:val="en-US"/>
        </w:rPr>
        <w:t>Principle Characteristics</w:t>
      </w:r>
      <w:r>
        <w:rPr>
          <w:lang w:val="en-US"/>
        </w:rPr>
        <w:t xml:space="preserve"> </w:t>
      </w:r>
    </w:p>
    <w:p w14:paraId="60C500BE" w14:textId="58E7A5FA" w:rsidR="00860607" w:rsidRDefault="004B1634" w:rsidP="0055373D">
      <w:pPr>
        <w:ind w:left="360"/>
      </w:pPr>
      <w:r>
        <w:t xml:space="preserve">The following attributes are based on the architecture and protocols </w:t>
      </w:r>
      <w:r w:rsidR="00E36C38">
        <w:t xml:space="preserve">defined in 3GPP </w:t>
      </w:r>
      <w:r>
        <w:t>Release 15</w:t>
      </w:r>
    </w:p>
    <w:p w14:paraId="7F0500F8" w14:textId="44A74DEE" w:rsidR="008D3647" w:rsidRPr="007F75DB" w:rsidRDefault="00370644" w:rsidP="004316A9">
      <w:pPr>
        <w:pStyle w:val="ListParagraph"/>
        <w:numPr>
          <w:ilvl w:val="0"/>
          <w:numId w:val="5"/>
        </w:numPr>
        <w:contextualSpacing w:val="0"/>
      </w:pPr>
      <w:r>
        <w:t>RN PDU Sessions are of type “Ethernet”.   Ethernet is used between the RN UE and RN Slice UPF.</w:t>
      </w:r>
      <w:r w:rsidR="00155BE8">
        <w:t xml:space="preserve">  </w:t>
      </w:r>
      <w:r>
        <w:t xml:space="preserve">The RN connectivity service can </w:t>
      </w:r>
      <w:r w:rsidR="00155BE8">
        <w:t>in principle</w:t>
      </w:r>
      <w:r w:rsidR="001E700F">
        <w:t xml:space="preserve"> transport any Ethernet frame, </w:t>
      </w:r>
      <w:r w:rsidR="00155BE8">
        <w:t>including</w:t>
      </w:r>
      <w:r w:rsidR="001D6493">
        <w:t xml:space="preserve"> those carrying</w:t>
      </w:r>
      <w:r w:rsidR="00155BE8">
        <w:t xml:space="preserve"> F1</w:t>
      </w:r>
      <w:r w:rsidR="0060455D" w:rsidRPr="007F75DB">
        <w:t>,</w:t>
      </w:r>
      <w:r w:rsidR="00804099">
        <w:t xml:space="preserve"> N1</w:t>
      </w:r>
      <w:r w:rsidR="00155BE8">
        <w:t>, LTE (S1) and</w:t>
      </w:r>
      <w:r w:rsidR="0060455D" w:rsidRPr="007F75DB">
        <w:t xml:space="preserve"> </w:t>
      </w:r>
      <w:r w:rsidR="00155BE8">
        <w:t>Wifi</w:t>
      </w:r>
      <w:r w:rsidR="000E5AE3">
        <w:rPr>
          <w:color w:val="000000" w:themeColor="text1"/>
        </w:rPr>
        <w:t xml:space="preserve">. </w:t>
      </w:r>
      <w:r w:rsidR="005E311C" w:rsidRPr="000E5AE3">
        <w:rPr>
          <w:color w:val="000000" w:themeColor="text1"/>
        </w:rPr>
        <w:t>It is FF</w:t>
      </w:r>
      <w:r w:rsidRPr="000E5AE3">
        <w:rPr>
          <w:color w:val="000000" w:themeColor="text1"/>
        </w:rPr>
        <w:t xml:space="preserve">S whether </w:t>
      </w:r>
      <w:r w:rsidR="001E700F" w:rsidRPr="000E5AE3">
        <w:rPr>
          <w:color w:val="000000" w:themeColor="text1"/>
        </w:rPr>
        <w:t>this i</w:t>
      </w:r>
      <w:r w:rsidR="001D6493" w:rsidRPr="000E5AE3">
        <w:rPr>
          <w:color w:val="000000" w:themeColor="text1"/>
        </w:rPr>
        <w:t>s initially restricted to a subset of access options.</w:t>
      </w:r>
    </w:p>
    <w:p w14:paraId="5CADDE02" w14:textId="0084CCF7" w:rsidR="008D3647" w:rsidRPr="007F75DB" w:rsidRDefault="0060455D" w:rsidP="004316A9">
      <w:pPr>
        <w:pStyle w:val="ListParagraph"/>
        <w:numPr>
          <w:ilvl w:val="0"/>
          <w:numId w:val="5"/>
        </w:numPr>
        <w:contextualSpacing w:val="0"/>
      </w:pPr>
      <w:r w:rsidRPr="007F75DB">
        <w:t xml:space="preserve">The </w:t>
      </w:r>
      <w:r w:rsidR="00096276">
        <w:t>Access UE</w:t>
      </w:r>
      <w:r w:rsidRPr="007F75DB">
        <w:t xml:space="preserve"> tra</w:t>
      </w:r>
      <w:r w:rsidR="00155BE8">
        <w:t xml:space="preserve">ffic is </w:t>
      </w:r>
      <w:r w:rsidR="00096276">
        <w:t xml:space="preserve">aggregated and </w:t>
      </w:r>
      <w:r w:rsidR="00155BE8">
        <w:t>carried over the RN</w:t>
      </w:r>
      <w:r w:rsidRPr="007F75DB">
        <w:t xml:space="preserve"> PDU session</w:t>
      </w:r>
      <w:r w:rsidR="00155BE8">
        <w:t>s</w:t>
      </w:r>
    </w:p>
    <w:p w14:paraId="12A098FD" w14:textId="26282F25" w:rsidR="005D1BB9" w:rsidRDefault="005E311C" w:rsidP="004316A9">
      <w:pPr>
        <w:pStyle w:val="ListParagraph"/>
        <w:numPr>
          <w:ilvl w:val="0"/>
          <w:numId w:val="5"/>
        </w:numPr>
        <w:contextualSpacing w:val="0"/>
      </w:pPr>
      <w:r>
        <w:t xml:space="preserve">RN UE slice is </w:t>
      </w:r>
      <w:r w:rsidR="00096276">
        <w:t>identified to the network with a S-NS</w:t>
      </w:r>
      <w:r>
        <w:t>SAI during General R</w:t>
      </w:r>
      <w:r w:rsidR="004B1634">
        <w:t>egistration, allowing for normal slice-based AMF, SMF and UPF assignment.</w:t>
      </w:r>
    </w:p>
    <w:p w14:paraId="5C159E90" w14:textId="5B3C53B5" w:rsidR="009F7C65" w:rsidRDefault="00096276" w:rsidP="004316A9">
      <w:pPr>
        <w:pStyle w:val="ListParagraph"/>
        <w:numPr>
          <w:ilvl w:val="0"/>
          <w:numId w:val="5"/>
        </w:numPr>
        <w:contextualSpacing w:val="0"/>
      </w:pPr>
      <w:r>
        <w:t xml:space="preserve">RN UEs are “normal” UEs with a full protocol stack.  </w:t>
      </w:r>
      <w:r w:rsidR="005E311C">
        <w:t>T</w:t>
      </w:r>
      <w:r w:rsidR="007373B3">
        <w:t xml:space="preserve">he </w:t>
      </w:r>
      <w:r w:rsidR="005E311C">
        <w:t>F1-U or N3</w:t>
      </w:r>
      <w:r w:rsidR="00DE6073">
        <w:t xml:space="preserve"> (if</w:t>
      </w:r>
      <w:r w:rsidR="00566951">
        <w:t xml:space="preserve"> no CU/DU split</w:t>
      </w:r>
      <w:r w:rsidR="00DE6073">
        <w:t xml:space="preserve"> is preferred</w:t>
      </w:r>
      <w:r w:rsidR="00566951">
        <w:t>)</w:t>
      </w:r>
      <w:r w:rsidR="005E311C">
        <w:t xml:space="preserve"> </w:t>
      </w:r>
      <w:r>
        <w:t>GTP/UDP/IP packet</w:t>
      </w:r>
      <w:r w:rsidR="005E311C">
        <w:t xml:space="preserve"> produced by the Access RAN</w:t>
      </w:r>
      <w:r w:rsidR="00566951">
        <w:t xml:space="preserve"> UP</w:t>
      </w:r>
      <w:r>
        <w:t xml:space="preserve"> is the “Application” transported by the</w:t>
      </w:r>
      <w:r w:rsidR="005D1BB9">
        <w:t xml:space="preserve"> RN UE in</w:t>
      </w:r>
      <w:r>
        <w:t xml:space="preserve"> Ethernet PDU session</w:t>
      </w:r>
      <w:r w:rsidR="005D1BB9">
        <w:t>s</w:t>
      </w:r>
      <w:r>
        <w:t>.</w:t>
      </w:r>
    </w:p>
    <w:p w14:paraId="4020B5CD" w14:textId="381FF14E" w:rsidR="00F0580F" w:rsidRDefault="004B1634" w:rsidP="004316A9">
      <w:pPr>
        <w:pStyle w:val="ListParagraph"/>
        <w:numPr>
          <w:ilvl w:val="0"/>
          <w:numId w:val="5"/>
        </w:numPr>
        <w:contextualSpacing w:val="0"/>
      </w:pPr>
      <w:r>
        <w:t>After</w:t>
      </w:r>
      <w:r w:rsidR="005D1BB9">
        <w:t xml:space="preserve"> General Registration with</w:t>
      </w:r>
      <w:r>
        <w:t xml:space="preserve"> successful completion of authentication, the RN UE sets up PDU sessions</w:t>
      </w:r>
      <w:r w:rsidR="005E311C">
        <w:t xml:space="preserve"> for IAB.   </w:t>
      </w:r>
      <w:r w:rsidR="005E311C" w:rsidRPr="007F75DB">
        <w:t>Separate Relay PDU se</w:t>
      </w:r>
      <w:r w:rsidR="00DE6073">
        <w:t>ssions may be</w:t>
      </w:r>
      <w:r w:rsidR="005E311C" w:rsidRPr="007F75DB">
        <w:t xml:space="preserve"> s</w:t>
      </w:r>
      <w:r w:rsidR="005E311C">
        <w:t>etup to transport signaling, UP</w:t>
      </w:r>
      <w:r w:rsidR="005E311C" w:rsidRPr="007F75DB">
        <w:t xml:space="preserve"> and OA&amp;M</w:t>
      </w:r>
      <w:r w:rsidR="009F7C65">
        <w:t xml:space="preserve">.   </w:t>
      </w:r>
    </w:p>
    <w:p w14:paraId="4AEBF2FD" w14:textId="46DE2816" w:rsidR="004316A9" w:rsidRDefault="004316A9" w:rsidP="004316A9">
      <w:pPr>
        <w:pStyle w:val="ListParagraph"/>
        <w:numPr>
          <w:ilvl w:val="0"/>
          <w:numId w:val="5"/>
        </w:numPr>
        <w:contextualSpacing w:val="0"/>
      </w:pPr>
      <w:r w:rsidRPr="00876A4E">
        <w:lastRenderedPageBreak/>
        <w:t>UPFs for the RN Slice, whether instantiated in a data center or located in a RN or Donor have minimal functionality.   The principle UPF function is forwarding of Ethernet PDUs.</w:t>
      </w:r>
    </w:p>
    <w:p w14:paraId="3C90E54A" w14:textId="1CFC0923" w:rsidR="009F7C65" w:rsidRDefault="00F0580F" w:rsidP="004316A9">
      <w:pPr>
        <w:pStyle w:val="ListParagraph"/>
        <w:numPr>
          <w:ilvl w:val="0"/>
          <w:numId w:val="5"/>
        </w:numPr>
        <w:contextualSpacing w:val="0"/>
      </w:pPr>
      <w:r>
        <w:t xml:space="preserve">UPFs anchoring RN PDU sessions </w:t>
      </w:r>
      <w:r w:rsidR="00F6188A">
        <w:t>include their location</w:t>
      </w:r>
      <w:r w:rsidR="00F87F6A">
        <w:t xml:space="preserve"> in their registration with a </w:t>
      </w:r>
      <w:r w:rsidR="00147833">
        <w:t>Network Repository Function (</w:t>
      </w:r>
      <w:r w:rsidR="00F87F6A">
        <w:t>NRF</w:t>
      </w:r>
      <w:r w:rsidR="00147833">
        <w:t>)</w:t>
      </w:r>
      <w:r>
        <w:t xml:space="preserve">.  </w:t>
      </w:r>
      <w:r w:rsidR="009F7C65">
        <w:t xml:space="preserve">The SMF </w:t>
      </w:r>
      <w:r>
        <w:t>may select</w:t>
      </w:r>
      <w:r w:rsidR="009F7C65">
        <w:t xml:space="preserve"> the UP</w:t>
      </w:r>
      <w:r w:rsidR="0015742A">
        <w:t>F based on UE</w:t>
      </w:r>
      <w:r>
        <w:t xml:space="preserve"> and UPF location</w:t>
      </w:r>
      <w:r w:rsidR="006D1C69">
        <w:t>s</w:t>
      </w:r>
      <w:r>
        <w:t>.</w:t>
      </w:r>
      <w:r w:rsidR="00272413">
        <w:t xml:space="preserve">   An NRF specific to the RN Slice may be used for this purpose.</w:t>
      </w:r>
    </w:p>
    <w:p w14:paraId="0BF7473B" w14:textId="79D6A009" w:rsidR="006D1C69" w:rsidRPr="007F75DB" w:rsidRDefault="006D1C69" w:rsidP="004316A9">
      <w:pPr>
        <w:pStyle w:val="ListParagraph"/>
        <w:numPr>
          <w:ilvl w:val="0"/>
          <w:numId w:val="5"/>
        </w:numPr>
        <w:contextualSpacing w:val="0"/>
      </w:pPr>
      <w:r>
        <w:t>The same architecture may be used for in-band and out-of band IAB.  The structure of the RN PDU sessions is independent of lower layer coordination between access and backhaul</w:t>
      </w:r>
      <w:r w:rsidR="003E40AD">
        <w:t>,</w:t>
      </w:r>
      <w:r>
        <w:t xml:space="preserve"> and </w:t>
      </w:r>
      <w:r w:rsidR="00FF5B50">
        <w:t>of the</w:t>
      </w:r>
      <w:r>
        <w:t xml:space="preserve"> frequency bands used.</w:t>
      </w:r>
    </w:p>
    <w:p w14:paraId="6DCC5BC4" w14:textId="0DC9C18B" w:rsidR="009F7C65" w:rsidRPr="000E5AE3" w:rsidRDefault="005E311C" w:rsidP="007550CD">
      <w:pPr>
        <w:pStyle w:val="ListParagraph"/>
        <w:numPr>
          <w:ilvl w:val="0"/>
          <w:numId w:val="5"/>
        </w:numPr>
        <w:contextualSpacing w:val="0"/>
        <w:rPr>
          <w:color w:val="000000" w:themeColor="text1"/>
        </w:rPr>
      </w:pPr>
      <w:r>
        <w:t>RN node mobility (alteration of tree hierarchy) is handled by</w:t>
      </w:r>
      <w:r w:rsidR="004316A9">
        <w:t xml:space="preserve"> normal</w:t>
      </w:r>
      <w:r>
        <w:t xml:space="preserve"> handover of </w:t>
      </w:r>
      <w:r w:rsidR="004316A9">
        <w:t xml:space="preserve">the </w:t>
      </w:r>
      <w:r w:rsidR="000E5AE3">
        <w:t xml:space="preserve">RN UE. </w:t>
      </w:r>
      <w:r w:rsidR="009C36D1" w:rsidRPr="000E5AE3">
        <w:rPr>
          <w:color w:val="000000" w:themeColor="text1"/>
        </w:rPr>
        <w:t>Support for this in the initial IAB release and possible e</w:t>
      </w:r>
      <w:r w:rsidRPr="000E5AE3">
        <w:rPr>
          <w:color w:val="000000" w:themeColor="text1"/>
        </w:rPr>
        <w:t>nhancements are FFS.</w:t>
      </w:r>
    </w:p>
    <w:p w14:paraId="1A298955" w14:textId="17C3A2CE" w:rsidR="00065B19" w:rsidRPr="0008539D" w:rsidRDefault="007373B3" w:rsidP="0008539D">
      <w:pPr>
        <w:pStyle w:val="Heading2"/>
        <w:rPr>
          <w:lang w:val="en-US"/>
        </w:rPr>
      </w:pPr>
      <w:r w:rsidRPr="0001093E">
        <w:rPr>
          <w:lang w:val="en-US"/>
        </w:rPr>
        <w:t>3.2</w:t>
      </w:r>
      <w:r w:rsidRPr="0001093E">
        <w:rPr>
          <w:lang w:val="en-US"/>
        </w:rPr>
        <w:tab/>
      </w:r>
      <w:r>
        <w:rPr>
          <w:lang w:val="en-US"/>
        </w:rPr>
        <w:t>Support for Multi-hop</w:t>
      </w:r>
    </w:p>
    <w:p w14:paraId="1FD99EF7" w14:textId="2968528C" w:rsidR="00065B19" w:rsidRDefault="00E51E43" w:rsidP="00065B19">
      <w:r>
        <w:t xml:space="preserve">For clarity, an example </w:t>
      </w:r>
      <w:r w:rsidR="00065B19">
        <w:t>configuration for multi-hop</w:t>
      </w:r>
      <w:r w:rsidR="007858F9">
        <w:t xml:space="preserve"> IAB</w:t>
      </w:r>
      <w:r w:rsidR="00065B19">
        <w:t xml:space="preserve"> is shown in figure 2.  To avoid nested tunnels, each hop is a self-contained connectivity service between an RN UE and a UPF.  A CU/DU split is shown for access</w:t>
      </w:r>
      <w:r w:rsidR="00F87F6A">
        <w:t>,</w:t>
      </w:r>
      <w:r w:rsidR="00065B19">
        <w:t xml:space="preserve"> and</w:t>
      </w:r>
      <w:r w:rsidR="001C5448">
        <w:t xml:space="preserve"> the Donor contains only the DU to maximize the degree to which functions are virtualized in the data center. </w:t>
      </w:r>
      <w:r w:rsidR="00065B19">
        <w:t xml:space="preserve"> Note </w:t>
      </w:r>
      <w:r w:rsidR="001C5448">
        <w:t xml:space="preserve">however that </w:t>
      </w:r>
      <w:r w:rsidR="00065B19">
        <w:t>other options may be considered.  For example:</w:t>
      </w:r>
    </w:p>
    <w:p w14:paraId="6E1DEA4E" w14:textId="79100971" w:rsidR="00065B19" w:rsidRDefault="00065B19" w:rsidP="00065B19">
      <w:pPr>
        <w:pStyle w:val="ListParagraph"/>
        <w:numPr>
          <w:ilvl w:val="0"/>
          <w:numId w:val="9"/>
        </w:numPr>
      </w:pPr>
      <w:r>
        <w:t>The Donor may contain the RAN (CU+DU), or both the RAN and the UPF</w:t>
      </w:r>
      <w:r w:rsidR="001C5448">
        <w:t xml:space="preserve"> for the RN1 UE PDU Session</w:t>
      </w:r>
      <w:r>
        <w:t>.</w:t>
      </w:r>
    </w:p>
    <w:p w14:paraId="1C564B4D" w14:textId="339530C1" w:rsidR="00065B19" w:rsidRDefault="00065B19" w:rsidP="00065B19">
      <w:pPr>
        <w:pStyle w:val="ListParagraph"/>
        <w:numPr>
          <w:ilvl w:val="0"/>
          <w:numId w:val="9"/>
        </w:numPr>
      </w:pPr>
      <w:r>
        <w:t>RN2 may conta</w:t>
      </w:r>
      <w:r w:rsidR="00B249B0">
        <w:t xml:space="preserve">in </w:t>
      </w:r>
      <w:r>
        <w:t xml:space="preserve">the </w:t>
      </w:r>
      <w:r w:rsidR="00D2610B">
        <w:t xml:space="preserve">full </w:t>
      </w:r>
      <w:r>
        <w:t>RAN (CU+DU)</w:t>
      </w:r>
      <w:r w:rsidR="001C5448">
        <w:t xml:space="preserve"> for access.</w:t>
      </w:r>
    </w:p>
    <w:p w14:paraId="26402EAD" w14:textId="04F6D462" w:rsidR="00065B19" w:rsidRPr="000E5AE3" w:rsidRDefault="0008539D" w:rsidP="0008539D">
      <w:pPr>
        <w:rPr>
          <w:color w:val="000000" w:themeColor="text1"/>
        </w:rPr>
      </w:pPr>
      <w:r w:rsidRPr="000E5AE3">
        <w:rPr>
          <w:color w:val="000000" w:themeColor="text1"/>
        </w:rPr>
        <w:t>T</w:t>
      </w:r>
      <w:r w:rsidR="00065B19" w:rsidRPr="000E5AE3">
        <w:rPr>
          <w:color w:val="000000" w:themeColor="text1"/>
        </w:rPr>
        <w:t>he specific configurations to be supported and the degree to which they must be standardized is FFS.</w:t>
      </w:r>
    </w:p>
    <w:p w14:paraId="1CC28CF4" w14:textId="29E063CD" w:rsidR="0001093E" w:rsidRPr="0001093E" w:rsidRDefault="00F87F6A" w:rsidP="00065B19">
      <w:pPr>
        <w:pStyle w:val="Heading2"/>
        <w:rPr>
          <w:lang w:val="en-US"/>
        </w:rPr>
      </w:pPr>
      <w:r>
        <w:rPr>
          <w:noProof/>
          <w:lang w:val="en-US"/>
        </w:rPr>
        <w:drawing>
          <wp:inline distT="0" distB="0" distL="0" distR="0" wp14:anchorId="685451A4" wp14:editId="26D566AF">
            <wp:extent cx="6172200" cy="1483744"/>
            <wp:effectExtent l="0" t="0" r="0" b="254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6914" cy="1494493"/>
                    </a:xfrm>
                    <a:prstGeom prst="rect">
                      <a:avLst/>
                    </a:prstGeom>
                    <a:noFill/>
                  </pic:spPr>
                </pic:pic>
              </a:graphicData>
            </a:graphic>
          </wp:inline>
        </w:drawing>
      </w:r>
    </w:p>
    <w:p w14:paraId="06494322" w14:textId="1F1767CB" w:rsidR="00CD4C7B" w:rsidRDefault="001C5448" w:rsidP="001C5448">
      <w:pPr>
        <w:pStyle w:val="TF"/>
      </w:pPr>
      <w:r>
        <w:t>Figure 2</w:t>
      </w:r>
      <w:r w:rsidR="00CD4C7B" w:rsidRPr="0001093E">
        <w:t xml:space="preserve">: </w:t>
      </w:r>
      <w:r>
        <w:t>Multi-Hop Relay</w:t>
      </w:r>
      <w:r w:rsidR="009C36D1">
        <w:t xml:space="preserve"> Example</w:t>
      </w:r>
    </w:p>
    <w:p w14:paraId="3F0C5C3E" w14:textId="018B1DD3" w:rsidR="0008539D" w:rsidRDefault="00100FBD" w:rsidP="00100FBD">
      <w:r>
        <w:t>With the configuration shown in the example, a</w:t>
      </w:r>
      <w:r w:rsidR="0008539D">
        <w:t xml:space="preserve"> </w:t>
      </w:r>
      <w:r w:rsidR="00E63538">
        <w:t xml:space="preserve">node </w:t>
      </w:r>
      <w:r w:rsidR="0008539D">
        <w:t>logically contains a RN UE + UPF + RAN</w:t>
      </w:r>
      <w:r w:rsidR="00E63538">
        <w:t xml:space="preserve"> (CU+DU)</w:t>
      </w:r>
      <w:r w:rsidR="0008539D">
        <w:t xml:space="preserve">.   </w:t>
      </w:r>
      <w:r>
        <w:t>Depending on the role of the node, in serving a UE</w:t>
      </w:r>
      <w:r w:rsidR="00D2610B">
        <w:t xml:space="preserve"> or RN UE</w:t>
      </w:r>
      <w:r>
        <w:t>, one or more of these logical functions may be used</w:t>
      </w:r>
      <w:r w:rsidR="005F4043">
        <w:t>:</w:t>
      </w:r>
    </w:p>
    <w:p w14:paraId="3BE3097D" w14:textId="2061C7AE" w:rsidR="00100FBD" w:rsidRDefault="00100FBD" w:rsidP="00100FBD">
      <w:pPr>
        <w:pStyle w:val="ListParagraph"/>
        <w:numPr>
          <w:ilvl w:val="1"/>
          <w:numId w:val="5"/>
        </w:numPr>
        <w:contextualSpacing w:val="0"/>
      </w:pPr>
      <w:r>
        <w:t>A node acting as a Donor for a RN need only use the DU to serve the RN.</w:t>
      </w:r>
    </w:p>
    <w:p w14:paraId="027B1D72" w14:textId="7ADDCF26" w:rsidR="00100FBD" w:rsidRDefault="00100FBD" w:rsidP="00100FBD">
      <w:pPr>
        <w:pStyle w:val="ListParagraph"/>
        <w:numPr>
          <w:ilvl w:val="1"/>
          <w:numId w:val="5"/>
        </w:numPr>
        <w:contextualSpacing w:val="0"/>
      </w:pPr>
      <w:r>
        <w:t xml:space="preserve">A </w:t>
      </w:r>
      <w:r w:rsidR="00D2610B">
        <w:t>node acting as a RN providing access to a</w:t>
      </w:r>
      <w:r>
        <w:t xml:space="preserve"> UE use</w:t>
      </w:r>
      <w:r w:rsidR="00D2610B">
        <w:t>s the RN UE and DU functions to serve</w:t>
      </w:r>
      <w:r>
        <w:t xml:space="preserve"> that UE.</w:t>
      </w:r>
    </w:p>
    <w:p w14:paraId="55835F3A" w14:textId="696FD5BD" w:rsidR="00D2610B" w:rsidRDefault="00D2610B" w:rsidP="00D2610B">
      <w:pPr>
        <w:pStyle w:val="ListParagraph"/>
        <w:numPr>
          <w:ilvl w:val="1"/>
          <w:numId w:val="5"/>
        </w:numPr>
        <w:contextualSpacing w:val="0"/>
      </w:pPr>
      <w:r>
        <w:t>A node acting as a</w:t>
      </w:r>
      <w:r w:rsidR="004044F1">
        <w:t xml:space="preserve"> RN providing access to a RN UE</w:t>
      </w:r>
      <w:r>
        <w:t xml:space="preserve"> uses the RN UE, UPF and RAN functions to serve that RN UE.</w:t>
      </w:r>
    </w:p>
    <w:p w14:paraId="233EE181" w14:textId="50C500D3" w:rsidR="008A32AA" w:rsidRDefault="009D6987" w:rsidP="00D2610B">
      <w:r>
        <w:t xml:space="preserve">UPF selection within a RN </w:t>
      </w:r>
      <w:r w:rsidR="008A32AA">
        <w:t>may use the same mechanisms defined for 3GPP release 15 that enable local UPF assignment</w:t>
      </w:r>
      <w:r w:rsidR="0015688A">
        <w:t xml:space="preserve"> (see TS23.501, section 6.3.3)</w:t>
      </w:r>
      <w:r w:rsidR="008A32AA">
        <w:t xml:space="preserve">.   </w:t>
      </w:r>
      <w:r w:rsidR="006B1B85">
        <w:t>Summarizing that process</w:t>
      </w:r>
      <w:r w:rsidR="00EC6288">
        <w:t xml:space="preserve"> for </w:t>
      </w:r>
      <w:r w:rsidR="008A32AA">
        <w:t xml:space="preserve">the example </w:t>
      </w:r>
      <w:r w:rsidR="00FF2123">
        <w:t>IAB</w:t>
      </w:r>
      <w:r w:rsidR="00EC6288">
        <w:t xml:space="preserve"> configuration</w:t>
      </w:r>
      <w:r w:rsidR="00FF2123">
        <w:t xml:space="preserve"> in figure 2</w:t>
      </w:r>
      <w:r w:rsidR="008A32AA">
        <w:t>:</w:t>
      </w:r>
    </w:p>
    <w:p w14:paraId="724296B5" w14:textId="3B74D962" w:rsidR="008A32AA" w:rsidRDefault="008A32AA" w:rsidP="008A32AA">
      <w:pPr>
        <w:pStyle w:val="ListParagraph"/>
        <w:numPr>
          <w:ilvl w:val="0"/>
          <w:numId w:val="10"/>
        </w:numPr>
      </w:pPr>
      <w:r>
        <w:t>Precondition: RN 1 UE has established a connectivity service for transport of Signaling</w:t>
      </w:r>
      <w:r w:rsidR="00EC6288">
        <w:t xml:space="preserve"> to the CN</w:t>
      </w:r>
      <w:r w:rsidR="00DF4A3D">
        <w:t xml:space="preserve"> through a DC UPF</w:t>
      </w:r>
      <w:r w:rsidR="00670352">
        <w:t xml:space="preserve"> using the same mechanisms as an Access UE.</w:t>
      </w:r>
    </w:p>
    <w:p w14:paraId="364D92C9" w14:textId="1ECED048" w:rsidR="008A32AA" w:rsidRDefault="00EC6288" w:rsidP="008A32AA">
      <w:pPr>
        <w:pStyle w:val="ListParagraph"/>
        <w:numPr>
          <w:ilvl w:val="0"/>
          <w:numId w:val="10"/>
        </w:numPr>
      </w:pPr>
      <w:r>
        <w:t>RN 1 UPF registers with the NRF providing its location (RN 1 cell ID)</w:t>
      </w:r>
    </w:p>
    <w:p w14:paraId="30798187" w14:textId="13C73A63" w:rsidR="008A32AA" w:rsidRDefault="00EC6288" w:rsidP="008A32AA">
      <w:pPr>
        <w:pStyle w:val="ListParagraph"/>
        <w:numPr>
          <w:ilvl w:val="0"/>
          <w:numId w:val="10"/>
        </w:numPr>
      </w:pPr>
      <w:r>
        <w:t>NRF provides UPF information to SMF, including location</w:t>
      </w:r>
    </w:p>
    <w:p w14:paraId="5D17924C" w14:textId="760710CA" w:rsidR="00EC6288" w:rsidRDefault="00EC6288" w:rsidP="008A32AA">
      <w:pPr>
        <w:pStyle w:val="ListParagraph"/>
        <w:numPr>
          <w:ilvl w:val="0"/>
          <w:numId w:val="10"/>
        </w:numPr>
      </w:pPr>
      <w:r>
        <w:t>RN 2 UE requests PDU session setup through RN 1 RAN.   RAN provides location (RN 1 Cell ID) with setup request.</w:t>
      </w:r>
    </w:p>
    <w:p w14:paraId="3A128E40" w14:textId="2C14BD30" w:rsidR="00EC6288" w:rsidRDefault="00EC6288" w:rsidP="008A32AA">
      <w:pPr>
        <w:pStyle w:val="ListParagraph"/>
        <w:numPr>
          <w:ilvl w:val="0"/>
          <w:numId w:val="10"/>
        </w:numPr>
      </w:pPr>
      <w:r>
        <w:t>SMF selects UPF in RN 1 based on location information.</w:t>
      </w:r>
    </w:p>
    <w:p w14:paraId="0490B8C0" w14:textId="75BC318B" w:rsidR="0008539D" w:rsidRDefault="00CA4C40" w:rsidP="0008539D">
      <w:pPr>
        <w:pStyle w:val="TF"/>
        <w:jc w:val="left"/>
        <w:rPr>
          <w:rFonts w:ascii="Times New Roman" w:hAnsi="Times New Roman"/>
          <w:b w:val="0"/>
        </w:rPr>
      </w:pPr>
      <w:r>
        <w:rPr>
          <w:rFonts w:ascii="Times New Roman" w:hAnsi="Times New Roman"/>
          <w:b w:val="0"/>
        </w:rPr>
        <w:t>RN node mobility will be required, either in the initial release of IAB or in a subsequent release to allow dynamic changes to the network topology (tree or mesh structure).   For intermediate hops, this will require an enhanced mechanism for PDU session anchor relocation for Ethernet PDU sessions that is integrated with handover</w:t>
      </w:r>
      <w:r w:rsidR="00225D66">
        <w:rPr>
          <w:rFonts w:ascii="Times New Roman" w:hAnsi="Times New Roman"/>
          <w:b w:val="0"/>
        </w:rPr>
        <w:t>, and that</w:t>
      </w:r>
      <w:r>
        <w:rPr>
          <w:rFonts w:ascii="Times New Roman" w:hAnsi="Times New Roman"/>
          <w:b w:val="0"/>
        </w:rPr>
        <w:t xml:space="preserve"> minimizes or eliminates PDU session anchor relocation signaling with the CN.</w:t>
      </w:r>
    </w:p>
    <w:p w14:paraId="685E09DD" w14:textId="35D66DF4" w:rsidR="00225D66" w:rsidRPr="000E5AE3" w:rsidRDefault="00225D66" w:rsidP="00225D66">
      <w:pPr>
        <w:rPr>
          <w:color w:val="000000" w:themeColor="text1"/>
        </w:rPr>
      </w:pPr>
      <w:r w:rsidRPr="000E5AE3">
        <w:rPr>
          <w:color w:val="000000" w:themeColor="text1"/>
        </w:rPr>
        <w:lastRenderedPageBreak/>
        <w:t>The mechanism to support optimized PDU session anchor relocation for Ethernet PDU sessions is FFS.</w:t>
      </w:r>
    </w:p>
    <w:p w14:paraId="40802F8A" w14:textId="3CB8697C" w:rsidR="0008539D" w:rsidRDefault="000E5AE3" w:rsidP="00CD4C7B">
      <w:pPr>
        <w:pStyle w:val="Heading1"/>
        <w:rPr>
          <w:lang w:val="en-US"/>
        </w:rPr>
      </w:pPr>
      <w:r>
        <w:rPr>
          <w:lang w:val="en-US"/>
        </w:rPr>
        <w:t>4</w:t>
      </w:r>
      <w:r w:rsidR="003B4B22">
        <w:rPr>
          <w:lang w:val="en-US"/>
        </w:rPr>
        <w:tab/>
      </w:r>
      <w:r>
        <w:rPr>
          <w:lang w:val="en-US"/>
        </w:rPr>
        <w:t>Summary</w:t>
      </w:r>
    </w:p>
    <w:p w14:paraId="478570EC" w14:textId="6C0F424B" w:rsidR="000E5AE3" w:rsidRDefault="000E5AE3" w:rsidP="00247156">
      <w:pPr>
        <w:rPr>
          <w:b/>
        </w:rPr>
      </w:pPr>
      <w:r>
        <w:t>This paper presents a description of how so called L3 relaying could be designed. Based on the discussion it is proposed to agree on the following observations and proposal:</w:t>
      </w:r>
    </w:p>
    <w:p w14:paraId="6873AF90" w14:textId="77777777" w:rsidR="000E5AE3" w:rsidRPr="00B56F6F" w:rsidRDefault="000E5AE3" w:rsidP="000E5AE3">
      <w:pPr>
        <w:rPr>
          <w:b/>
        </w:rPr>
      </w:pPr>
      <w:r w:rsidRPr="00FF5518">
        <w:rPr>
          <w:b/>
        </w:rPr>
        <w:t xml:space="preserve">Observation 1: </w:t>
      </w:r>
      <w:r>
        <w:rPr>
          <w:b/>
        </w:rPr>
        <w:t>PDU Connectivity Services have been defined by 3GPP to support the exchanged of PDUs with a UE, and network slicing has been defined to support use case specific customization of connectivity services.</w:t>
      </w:r>
    </w:p>
    <w:p w14:paraId="39231EC0" w14:textId="77777777" w:rsidR="000E5AE3" w:rsidRDefault="000E5AE3" w:rsidP="000E5AE3">
      <w:pPr>
        <w:rPr>
          <w:b/>
        </w:rPr>
      </w:pPr>
      <w:r>
        <w:rPr>
          <w:b/>
        </w:rPr>
        <w:t>Observation 2</w:t>
      </w:r>
      <w:r w:rsidRPr="00FF5518">
        <w:rPr>
          <w:b/>
        </w:rPr>
        <w:t xml:space="preserve">: </w:t>
      </w:r>
      <w:r>
        <w:rPr>
          <w:b/>
        </w:rPr>
        <w:t>The “Application” packet transported by a</w:t>
      </w:r>
      <w:r w:rsidRPr="00FF5518">
        <w:rPr>
          <w:b/>
        </w:rPr>
        <w:t xml:space="preserve"> RN PDU Connectivity Service </w:t>
      </w:r>
      <w:r>
        <w:rPr>
          <w:b/>
        </w:rPr>
        <w:t xml:space="preserve">may be an </w:t>
      </w:r>
      <w:r w:rsidRPr="00FF5518">
        <w:rPr>
          <w:b/>
        </w:rPr>
        <w:t xml:space="preserve">N1, N2, N3, N4, </w:t>
      </w:r>
      <w:r>
        <w:rPr>
          <w:b/>
        </w:rPr>
        <w:t xml:space="preserve">Xn, </w:t>
      </w:r>
      <w:r w:rsidRPr="00FF5518">
        <w:rPr>
          <w:b/>
        </w:rPr>
        <w:t xml:space="preserve">F1, N3, OA&amp;M, </w:t>
      </w:r>
      <w:r>
        <w:rPr>
          <w:b/>
        </w:rPr>
        <w:t>Wifi Ethernet, LTE S1 or other packet, as the “</w:t>
      </w:r>
      <w:r w:rsidRPr="00912AD6">
        <w:rPr>
          <w:b/>
        </w:rPr>
        <w:t>Application” is transparent to the PDU Session</w:t>
      </w:r>
      <w:r>
        <w:rPr>
          <w:b/>
        </w:rPr>
        <w:t>.</w:t>
      </w:r>
    </w:p>
    <w:p w14:paraId="135F73C2" w14:textId="77777777" w:rsidR="000E5AE3" w:rsidRPr="004B321D" w:rsidRDefault="000E5AE3" w:rsidP="000E5AE3">
      <w:pPr>
        <w:rPr>
          <w:b/>
        </w:rPr>
      </w:pPr>
      <w:r w:rsidRPr="004B321D">
        <w:rPr>
          <w:b/>
        </w:rPr>
        <w:t xml:space="preserve">Observation 3:  RN PDU Connectivity </w:t>
      </w:r>
      <w:r>
        <w:rPr>
          <w:b/>
        </w:rPr>
        <w:t xml:space="preserve">Service </w:t>
      </w:r>
      <w:r w:rsidRPr="004B321D">
        <w:rPr>
          <w:b/>
        </w:rPr>
        <w:t>f</w:t>
      </w:r>
      <w:r>
        <w:rPr>
          <w:b/>
        </w:rPr>
        <w:t>eatures standardized with IAB in mind, such as streamlined support for a gNB co-located UPF,</w:t>
      </w:r>
      <w:r w:rsidRPr="004B321D">
        <w:rPr>
          <w:b/>
        </w:rPr>
        <w:t xml:space="preserve"> </w:t>
      </w:r>
      <w:r>
        <w:rPr>
          <w:b/>
        </w:rPr>
        <w:t>may be used for</w:t>
      </w:r>
      <w:r w:rsidRPr="004B321D">
        <w:rPr>
          <w:b/>
        </w:rPr>
        <w:t xml:space="preserve"> other use cases</w:t>
      </w:r>
      <w:r>
        <w:rPr>
          <w:b/>
        </w:rPr>
        <w:t xml:space="preserve"> that require a local Connectivity Service</w:t>
      </w:r>
      <w:r w:rsidRPr="004B321D">
        <w:rPr>
          <w:b/>
        </w:rPr>
        <w:t xml:space="preserve">.  </w:t>
      </w:r>
    </w:p>
    <w:p w14:paraId="67A994EE" w14:textId="19425E8A" w:rsidR="00247156" w:rsidRPr="00257D72" w:rsidRDefault="000E5AE3" w:rsidP="00247156">
      <w:pPr>
        <w:rPr>
          <w:b/>
        </w:rPr>
      </w:pPr>
      <w:r>
        <w:rPr>
          <w:b/>
        </w:rPr>
        <w:t xml:space="preserve">Proposal: </w:t>
      </w:r>
      <w:r w:rsidR="00247156">
        <w:rPr>
          <w:b/>
        </w:rPr>
        <w:t xml:space="preserve">RN </w:t>
      </w:r>
      <w:r w:rsidR="00247156" w:rsidRPr="00257D72">
        <w:rPr>
          <w:b/>
        </w:rPr>
        <w:t>PDU Connectivity Services for backhaul hops</w:t>
      </w:r>
      <w:r w:rsidR="00257D72" w:rsidRPr="00257D72">
        <w:rPr>
          <w:b/>
        </w:rPr>
        <w:t xml:space="preserve"> should be studied further in the 3GPP IAB Study Item and included into the technical report.</w:t>
      </w:r>
    </w:p>
    <w:p w14:paraId="5524F183" w14:textId="0D7B83F2" w:rsidR="00CD4C7B" w:rsidRPr="0001093E" w:rsidRDefault="00CD4C7B" w:rsidP="00CD4C7B"/>
    <w:p w14:paraId="055200B7" w14:textId="77777777" w:rsidR="00CD4C7B" w:rsidRPr="0001093E" w:rsidRDefault="00CD4C7B" w:rsidP="00CD4C7B"/>
    <w:p w14:paraId="35F222F4" w14:textId="77777777" w:rsidR="00080512" w:rsidRPr="0001093E" w:rsidRDefault="00080512" w:rsidP="00CD4C7B"/>
    <w:sectPr w:rsidR="00080512" w:rsidRPr="000109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D5B78" w14:textId="77777777" w:rsidR="009B7186" w:rsidRDefault="009B7186">
      <w:r>
        <w:separator/>
      </w:r>
    </w:p>
  </w:endnote>
  <w:endnote w:type="continuationSeparator" w:id="0">
    <w:p w14:paraId="6170906B" w14:textId="77777777" w:rsidR="009B7186" w:rsidRDefault="009B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6D8BD" w14:textId="77777777" w:rsidR="009B7186" w:rsidRDefault="009B7186">
      <w:r>
        <w:separator/>
      </w:r>
    </w:p>
  </w:footnote>
  <w:footnote w:type="continuationSeparator" w:id="0">
    <w:p w14:paraId="2A5EF9CA" w14:textId="77777777" w:rsidR="009B7186" w:rsidRDefault="009B7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2"/>
  </w:num>
  <w:num w:numId="7">
    <w:abstractNumId w:val="6"/>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93E"/>
    <w:rsid w:val="00033397"/>
    <w:rsid w:val="00040095"/>
    <w:rsid w:val="00051E25"/>
    <w:rsid w:val="00065B19"/>
    <w:rsid w:val="00070E4D"/>
    <w:rsid w:val="00080512"/>
    <w:rsid w:val="00084AC4"/>
    <w:rsid w:val="0008539D"/>
    <w:rsid w:val="00090468"/>
    <w:rsid w:val="00096276"/>
    <w:rsid w:val="000B1AB4"/>
    <w:rsid w:val="000B7BCF"/>
    <w:rsid w:val="000C522B"/>
    <w:rsid w:val="000D58AB"/>
    <w:rsid w:val="000E5AE3"/>
    <w:rsid w:val="00100FBD"/>
    <w:rsid w:val="00112F1A"/>
    <w:rsid w:val="00135B1C"/>
    <w:rsid w:val="00141CFF"/>
    <w:rsid w:val="00145075"/>
    <w:rsid w:val="00147833"/>
    <w:rsid w:val="0015537D"/>
    <w:rsid w:val="00155BE8"/>
    <w:rsid w:val="0015688A"/>
    <w:rsid w:val="0015742A"/>
    <w:rsid w:val="001741A0"/>
    <w:rsid w:val="001877D8"/>
    <w:rsid w:val="00194CD0"/>
    <w:rsid w:val="001A5E56"/>
    <w:rsid w:val="001B49C9"/>
    <w:rsid w:val="001C5448"/>
    <w:rsid w:val="001D04F6"/>
    <w:rsid w:val="001D5D71"/>
    <w:rsid w:val="001D6493"/>
    <w:rsid w:val="001E700F"/>
    <w:rsid w:val="001F168B"/>
    <w:rsid w:val="001F1788"/>
    <w:rsid w:val="001F5909"/>
    <w:rsid w:val="001F7831"/>
    <w:rsid w:val="002037CC"/>
    <w:rsid w:val="00204045"/>
    <w:rsid w:val="00225D66"/>
    <w:rsid w:val="0022606D"/>
    <w:rsid w:val="00247156"/>
    <w:rsid w:val="00257D72"/>
    <w:rsid w:val="002649A2"/>
    <w:rsid w:val="00272413"/>
    <w:rsid w:val="002747EC"/>
    <w:rsid w:val="002855BF"/>
    <w:rsid w:val="0028709F"/>
    <w:rsid w:val="002A6E2C"/>
    <w:rsid w:val="002C59F0"/>
    <w:rsid w:val="002D3B82"/>
    <w:rsid w:val="002F0D22"/>
    <w:rsid w:val="003172DC"/>
    <w:rsid w:val="00321556"/>
    <w:rsid w:val="00326069"/>
    <w:rsid w:val="0035462D"/>
    <w:rsid w:val="00363677"/>
    <w:rsid w:val="0037051E"/>
    <w:rsid w:val="00370644"/>
    <w:rsid w:val="0037203B"/>
    <w:rsid w:val="003957ED"/>
    <w:rsid w:val="003B40AD"/>
    <w:rsid w:val="003B4B22"/>
    <w:rsid w:val="003C4E37"/>
    <w:rsid w:val="003E16BE"/>
    <w:rsid w:val="003E40AD"/>
    <w:rsid w:val="004006E8"/>
    <w:rsid w:val="00401855"/>
    <w:rsid w:val="004044F1"/>
    <w:rsid w:val="004316A9"/>
    <w:rsid w:val="004378AF"/>
    <w:rsid w:val="004708C1"/>
    <w:rsid w:val="00477455"/>
    <w:rsid w:val="00494CFB"/>
    <w:rsid w:val="004B1634"/>
    <w:rsid w:val="004B321D"/>
    <w:rsid w:val="004D3578"/>
    <w:rsid w:val="004D380D"/>
    <w:rsid w:val="004D4DD3"/>
    <w:rsid w:val="004E213A"/>
    <w:rsid w:val="004E6227"/>
    <w:rsid w:val="00503171"/>
    <w:rsid w:val="00506C28"/>
    <w:rsid w:val="00534DA0"/>
    <w:rsid w:val="00543E6C"/>
    <w:rsid w:val="0055373D"/>
    <w:rsid w:val="00565087"/>
    <w:rsid w:val="0056573F"/>
    <w:rsid w:val="00566951"/>
    <w:rsid w:val="00566C6C"/>
    <w:rsid w:val="005D1BB9"/>
    <w:rsid w:val="005D3CFA"/>
    <w:rsid w:val="005D5D26"/>
    <w:rsid w:val="005E311C"/>
    <w:rsid w:val="005F4043"/>
    <w:rsid w:val="005F66B3"/>
    <w:rsid w:val="0060455D"/>
    <w:rsid w:val="00611566"/>
    <w:rsid w:val="00646D99"/>
    <w:rsid w:val="00651241"/>
    <w:rsid w:val="00654D96"/>
    <w:rsid w:val="00656910"/>
    <w:rsid w:val="00664A69"/>
    <w:rsid w:val="00670352"/>
    <w:rsid w:val="00677339"/>
    <w:rsid w:val="006B1B85"/>
    <w:rsid w:val="006C66D8"/>
    <w:rsid w:val="006D1C69"/>
    <w:rsid w:val="006D1E24"/>
    <w:rsid w:val="006D7912"/>
    <w:rsid w:val="006E1417"/>
    <w:rsid w:val="006E557D"/>
    <w:rsid w:val="006F6A2C"/>
    <w:rsid w:val="00710201"/>
    <w:rsid w:val="00734A5B"/>
    <w:rsid w:val="007373B3"/>
    <w:rsid w:val="00744E76"/>
    <w:rsid w:val="00744E8C"/>
    <w:rsid w:val="007550CD"/>
    <w:rsid w:val="00757D40"/>
    <w:rsid w:val="007679B4"/>
    <w:rsid w:val="00775BA6"/>
    <w:rsid w:val="00781F0F"/>
    <w:rsid w:val="007858F9"/>
    <w:rsid w:val="00786399"/>
    <w:rsid w:val="007864D2"/>
    <w:rsid w:val="0078727C"/>
    <w:rsid w:val="0079049D"/>
    <w:rsid w:val="007A6665"/>
    <w:rsid w:val="007A7555"/>
    <w:rsid w:val="007B0F5B"/>
    <w:rsid w:val="007B18D8"/>
    <w:rsid w:val="007C095F"/>
    <w:rsid w:val="007C5B47"/>
    <w:rsid w:val="007F0C8B"/>
    <w:rsid w:val="007F75DB"/>
    <w:rsid w:val="008028A4"/>
    <w:rsid w:val="00804099"/>
    <w:rsid w:val="00813245"/>
    <w:rsid w:val="008534EE"/>
    <w:rsid w:val="00860607"/>
    <w:rsid w:val="008768CA"/>
    <w:rsid w:val="00876A4E"/>
    <w:rsid w:val="00877EF9"/>
    <w:rsid w:val="00880559"/>
    <w:rsid w:val="008A32AA"/>
    <w:rsid w:val="008B24C0"/>
    <w:rsid w:val="008B2FCF"/>
    <w:rsid w:val="008B5306"/>
    <w:rsid w:val="008D09E5"/>
    <w:rsid w:val="008D1812"/>
    <w:rsid w:val="008D3647"/>
    <w:rsid w:val="0090271F"/>
    <w:rsid w:val="00902DB9"/>
    <w:rsid w:val="0090466A"/>
    <w:rsid w:val="00912AD6"/>
    <w:rsid w:val="00936071"/>
    <w:rsid w:val="00940212"/>
    <w:rsid w:val="0094062C"/>
    <w:rsid w:val="00942EC2"/>
    <w:rsid w:val="00961B32"/>
    <w:rsid w:val="00962D7F"/>
    <w:rsid w:val="00970DB3"/>
    <w:rsid w:val="00974BB0"/>
    <w:rsid w:val="009923E0"/>
    <w:rsid w:val="009A0AF3"/>
    <w:rsid w:val="009B07CD"/>
    <w:rsid w:val="009B7186"/>
    <w:rsid w:val="009C19E9"/>
    <w:rsid w:val="009C36D1"/>
    <w:rsid w:val="009D6987"/>
    <w:rsid w:val="009E3603"/>
    <w:rsid w:val="009F7C65"/>
    <w:rsid w:val="00A10F02"/>
    <w:rsid w:val="00A204CA"/>
    <w:rsid w:val="00A254FF"/>
    <w:rsid w:val="00A53724"/>
    <w:rsid w:val="00A55B64"/>
    <w:rsid w:val="00A607E7"/>
    <w:rsid w:val="00A63F6A"/>
    <w:rsid w:val="00A82346"/>
    <w:rsid w:val="00A95566"/>
    <w:rsid w:val="00A9671C"/>
    <w:rsid w:val="00A971E4"/>
    <w:rsid w:val="00AA1553"/>
    <w:rsid w:val="00AA3FF7"/>
    <w:rsid w:val="00AA42E2"/>
    <w:rsid w:val="00AB648C"/>
    <w:rsid w:val="00AF528A"/>
    <w:rsid w:val="00B15449"/>
    <w:rsid w:val="00B249B0"/>
    <w:rsid w:val="00B47FD1"/>
    <w:rsid w:val="00B516BB"/>
    <w:rsid w:val="00B56F6F"/>
    <w:rsid w:val="00B82819"/>
    <w:rsid w:val="00B91985"/>
    <w:rsid w:val="00BA5AC7"/>
    <w:rsid w:val="00BC468A"/>
    <w:rsid w:val="00C12B51"/>
    <w:rsid w:val="00C24650"/>
    <w:rsid w:val="00C33079"/>
    <w:rsid w:val="00C83A13"/>
    <w:rsid w:val="00C86C7C"/>
    <w:rsid w:val="00C9068C"/>
    <w:rsid w:val="00C92967"/>
    <w:rsid w:val="00C95047"/>
    <w:rsid w:val="00CA3D0C"/>
    <w:rsid w:val="00CA4C40"/>
    <w:rsid w:val="00CA5076"/>
    <w:rsid w:val="00CA654B"/>
    <w:rsid w:val="00CD0847"/>
    <w:rsid w:val="00CD4C7B"/>
    <w:rsid w:val="00CE2024"/>
    <w:rsid w:val="00CE32CE"/>
    <w:rsid w:val="00CF5E0F"/>
    <w:rsid w:val="00D007FF"/>
    <w:rsid w:val="00D06551"/>
    <w:rsid w:val="00D17661"/>
    <w:rsid w:val="00D2610B"/>
    <w:rsid w:val="00D6092B"/>
    <w:rsid w:val="00D628BE"/>
    <w:rsid w:val="00D70055"/>
    <w:rsid w:val="00D738D6"/>
    <w:rsid w:val="00D80795"/>
    <w:rsid w:val="00D8504C"/>
    <w:rsid w:val="00D854BE"/>
    <w:rsid w:val="00D87761"/>
    <w:rsid w:val="00D87E00"/>
    <w:rsid w:val="00D9134D"/>
    <w:rsid w:val="00D96D11"/>
    <w:rsid w:val="00DA7A03"/>
    <w:rsid w:val="00DB0862"/>
    <w:rsid w:val="00DB1818"/>
    <w:rsid w:val="00DC309B"/>
    <w:rsid w:val="00DC4DA2"/>
    <w:rsid w:val="00DC596F"/>
    <w:rsid w:val="00DE0873"/>
    <w:rsid w:val="00DE6073"/>
    <w:rsid w:val="00DF4A3D"/>
    <w:rsid w:val="00E0398F"/>
    <w:rsid w:val="00E217A7"/>
    <w:rsid w:val="00E267BC"/>
    <w:rsid w:val="00E36C38"/>
    <w:rsid w:val="00E51DFE"/>
    <w:rsid w:val="00E51E43"/>
    <w:rsid w:val="00E53F38"/>
    <w:rsid w:val="00E62835"/>
    <w:rsid w:val="00E63538"/>
    <w:rsid w:val="00E64A03"/>
    <w:rsid w:val="00E77645"/>
    <w:rsid w:val="00E83697"/>
    <w:rsid w:val="00E90492"/>
    <w:rsid w:val="00E97384"/>
    <w:rsid w:val="00EA6249"/>
    <w:rsid w:val="00EB3187"/>
    <w:rsid w:val="00EC4A25"/>
    <w:rsid w:val="00EC6288"/>
    <w:rsid w:val="00ED7AED"/>
    <w:rsid w:val="00EE3792"/>
    <w:rsid w:val="00EF2770"/>
    <w:rsid w:val="00F025A2"/>
    <w:rsid w:val="00F0580F"/>
    <w:rsid w:val="00F07388"/>
    <w:rsid w:val="00F2026E"/>
    <w:rsid w:val="00F2210A"/>
    <w:rsid w:val="00F22367"/>
    <w:rsid w:val="00F226F3"/>
    <w:rsid w:val="00F27628"/>
    <w:rsid w:val="00F37743"/>
    <w:rsid w:val="00F549DB"/>
    <w:rsid w:val="00F54A3D"/>
    <w:rsid w:val="00F54CB0"/>
    <w:rsid w:val="00F57476"/>
    <w:rsid w:val="00F6188A"/>
    <w:rsid w:val="00F653B8"/>
    <w:rsid w:val="00F71B89"/>
    <w:rsid w:val="00F7353C"/>
    <w:rsid w:val="00F76F8F"/>
    <w:rsid w:val="00F87F6A"/>
    <w:rsid w:val="00FA0BC2"/>
    <w:rsid w:val="00FA1266"/>
    <w:rsid w:val="00FB36FA"/>
    <w:rsid w:val="00FB78B7"/>
    <w:rsid w:val="00FC1192"/>
    <w:rsid w:val="00FF057B"/>
    <w:rsid w:val="00FF2123"/>
    <w:rsid w:val="00FF5518"/>
    <w:rsid w:val="00FF5B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basedOn w:val="DefaultParagraphFont"/>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basedOn w:val="DefaultParagraphFont"/>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basedOn w:val="CommentText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basedOn w:val="DefaultParagraphFont"/>
    <w:link w:val="BalloonText"/>
    <w:rsid w:val="00051E2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129659971">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250897103">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5AIRPNAIUNRU-859666464-1204</_dlc_DocId>
    <_dlc_DocIdUrl xmlns="71c5aaf6-e6ce-465b-b873-5148d2a4c105">
      <Url>https://nokia.sharepoint.com/sites/c5g/e2earch/_layouts/15/DocIdRedir.aspx?ID=5AIRPNAIUNRU-859666464-1204</Url>
      <Description>5AIRPNAIUNRU-859666464-1204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2.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D904E-30FA-44E5-B9D9-5C10ED169069}">
  <ds:schemaRefs>
    <ds:schemaRef ds:uri="3b34c8f0-1ef5-4d1e-bb66-517ce7fe7356"/>
    <ds:schemaRef ds:uri="a3840f4f-04be-43d1-b2ef-6ff1382503c7"/>
    <ds:schemaRef ds:uri="http://schemas.microsoft.com/office/2006/documentManagement/types"/>
    <ds:schemaRef ds:uri="http://schemas.openxmlformats.org/package/2006/metadata/core-properties"/>
    <ds:schemaRef ds:uri="83f22d2f-d16e-4be6-ad4f-29fa0b067c3c"/>
    <ds:schemaRef ds:uri="http://purl.org/dc/terms/"/>
    <ds:schemaRef ds:uri="http://www.w3.org/XML/1998/namespace"/>
    <ds:schemaRef ds:uri="http://schemas.microsoft.com/office/2006/metadata/properties"/>
    <ds:schemaRef ds:uri="http://schemas.microsoft.com/office/infopath/2007/PartnerControls"/>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8502F548-1CDE-4059-97F0-A77B3BCD7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68</TotalTime>
  <Pages>4</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Concept Discussion and Proposal</vt:lpstr>
      <vt:lpstr>3	Solution Summary</vt:lpstr>
      <vt:lpstr>    Use of RN PDU Session Connectivity services for backhaul hops has the advantage </vt:lpstr>
      <vt:lpstr>    The RN slice is indicated in red while the UE Access slice is indicated in blue.</vt:lpstr>
      <vt:lpstr>    Principle Characteristics </vt:lpstr>
      <vt:lpstr>    3.2	Support for Multi-hop</vt:lpstr>
      <vt:lpstr>    /</vt:lpstr>
      <vt:lpstr>4.0	Proposal</vt:lpstr>
      <vt:lpstr>References</vt:lpstr>
    </vt:vector>
  </TitlesOfParts>
  <Company>Nokia Siemens Networks</Company>
  <LinksUpToDate>false</LinksUpToDate>
  <CharactersWithSpaces>11080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Kahn, Colin (Nokia - US/Murray Hill)</dc:creator>
  <cp:lastModifiedBy>Dawid</cp:lastModifiedBy>
  <cp:revision>8</cp:revision>
  <dcterms:created xsi:type="dcterms:W3CDTF">2018-01-10T23:06:00Z</dcterms:created>
  <dcterms:modified xsi:type="dcterms:W3CDTF">2018-01-11T19:34:00Z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2cd9b19b-910d-4ad0-957b-16d181ffbe45</vt:lpwstr>
  </property>
  <property fmtid="{D5CDD505-2E9C-101B-9397-08002B2CF9AE}" pid="4" name="_NewReviewCycle">
    <vt:lpwstr/>
  </property>
</Properties>
</file>