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9CFB5" w14:textId="2E62DBA0" w:rsidR="001A06F1" w:rsidRPr="007728E8" w:rsidRDefault="001A06F1" w:rsidP="001A06F1">
      <w:pPr>
        <w:pStyle w:val="CRCoverPage"/>
        <w:tabs>
          <w:tab w:val="right" w:pos="9639"/>
        </w:tabs>
        <w:spacing w:after="0"/>
        <w:rPr>
          <w:b/>
          <w:i/>
          <w:noProof/>
          <w:sz w:val="28"/>
        </w:rPr>
      </w:pPr>
      <w:r>
        <w:rPr>
          <w:b/>
          <w:noProof/>
          <w:sz w:val="24"/>
        </w:rPr>
        <w:t>3GPP TSG-RAN WG2 NR</w:t>
      </w:r>
      <w:r w:rsidR="00CF35AD">
        <w:rPr>
          <w:b/>
          <w:noProof/>
          <w:sz w:val="24"/>
        </w:rPr>
        <w:t xml:space="preserve">                                                                                  </w:t>
      </w:r>
      <w:r>
        <w:rPr>
          <w:b/>
          <w:i/>
          <w:noProof/>
          <w:sz w:val="28"/>
        </w:rPr>
        <w:tab/>
      </w:r>
      <w:r w:rsidR="00CF35AD">
        <w:rPr>
          <w:b/>
          <w:i/>
          <w:noProof/>
          <w:sz w:val="28"/>
        </w:rPr>
        <w:t xml:space="preserve">       </w:t>
      </w:r>
      <w:r w:rsidRPr="00071E0C">
        <w:rPr>
          <w:b/>
          <w:noProof/>
          <w:sz w:val="28"/>
        </w:rPr>
        <w:t xml:space="preserve"> </w:t>
      </w:r>
      <w:bookmarkStart w:id="0" w:name="_GoBack"/>
      <w:r w:rsidRPr="00071E0C">
        <w:rPr>
          <w:b/>
          <w:noProof/>
          <w:sz w:val="28"/>
        </w:rPr>
        <w:t>R</w:t>
      </w:r>
      <w:r w:rsidRPr="003A282C">
        <w:rPr>
          <w:b/>
          <w:noProof/>
          <w:sz w:val="28"/>
        </w:rPr>
        <w:t>2-1</w:t>
      </w:r>
      <w:r>
        <w:rPr>
          <w:b/>
          <w:noProof/>
          <w:sz w:val="28"/>
        </w:rPr>
        <w:t>7</w:t>
      </w:r>
      <w:r w:rsidR="007009ED">
        <w:rPr>
          <w:b/>
          <w:noProof/>
          <w:sz w:val="28"/>
        </w:rPr>
        <w:t>00243</w:t>
      </w:r>
      <w:bookmarkEnd w:id="0"/>
    </w:p>
    <w:p w14:paraId="10E224F4" w14:textId="77777777" w:rsidR="001A06F1" w:rsidRDefault="001A06F1" w:rsidP="001A06F1">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4EB06215" w14:textId="4C95606A" w:rsidR="001A06F1" w:rsidRDefault="001A06F1" w:rsidP="001A06F1">
      <w:pPr>
        <w:pStyle w:val="CRCoverPage"/>
        <w:ind w:left="1988" w:hanging="1988"/>
        <w:rPr>
          <w:b/>
          <w:noProof/>
          <w:sz w:val="24"/>
        </w:rPr>
      </w:pPr>
      <w:r>
        <w:rPr>
          <w:b/>
          <w:noProof/>
          <w:sz w:val="24"/>
        </w:rPr>
        <w:t>Agenda Item:</w:t>
      </w:r>
      <w:r>
        <w:rPr>
          <w:b/>
          <w:noProof/>
          <w:sz w:val="24"/>
        </w:rPr>
        <w:tab/>
      </w:r>
      <w:r w:rsidRPr="002664FC">
        <w:rPr>
          <w:b/>
          <w:noProof/>
          <w:sz w:val="24"/>
        </w:rPr>
        <w:t>3.3.1.1.</w:t>
      </w:r>
      <w:r w:rsidR="00D336BB">
        <w:rPr>
          <w:b/>
          <w:noProof/>
          <w:sz w:val="24"/>
        </w:rPr>
        <w:t>2</w:t>
      </w:r>
      <w:r w:rsidRPr="00C7596E">
        <w:rPr>
          <w:b/>
          <w:noProof/>
          <w:sz w:val="24"/>
        </w:rPr>
        <w:tab/>
      </w:r>
    </w:p>
    <w:p w14:paraId="5FAF975E" w14:textId="77777777" w:rsidR="001A06F1" w:rsidRPr="009A6513" w:rsidRDefault="001A06F1" w:rsidP="001A06F1">
      <w:pPr>
        <w:pStyle w:val="CRCoverPage"/>
        <w:ind w:left="1988" w:hanging="1988"/>
        <w:rPr>
          <w:b/>
          <w:noProof/>
          <w:sz w:val="24"/>
        </w:rPr>
      </w:pPr>
      <w:r>
        <w:rPr>
          <w:b/>
          <w:noProof/>
          <w:sz w:val="24"/>
        </w:rPr>
        <w:t>Source:</w:t>
      </w:r>
      <w:r>
        <w:rPr>
          <w:b/>
          <w:noProof/>
          <w:sz w:val="24"/>
        </w:rPr>
        <w:tab/>
        <w:t>MediaTek Inc</w:t>
      </w:r>
    </w:p>
    <w:p w14:paraId="6E4EE5E2" w14:textId="77777777" w:rsidR="001A06F1" w:rsidRPr="00C93A3C" w:rsidRDefault="001A06F1" w:rsidP="001A06F1">
      <w:pPr>
        <w:pStyle w:val="CRCoverPage"/>
        <w:ind w:left="1988" w:hanging="1988"/>
        <w:rPr>
          <w:b/>
          <w:noProof/>
          <w:sz w:val="24"/>
        </w:rPr>
      </w:pPr>
      <w:r>
        <w:rPr>
          <w:b/>
          <w:noProof/>
          <w:sz w:val="24"/>
        </w:rPr>
        <w:t>Title:</w:t>
      </w:r>
      <w:r>
        <w:rPr>
          <w:b/>
          <w:noProof/>
          <w:sz w:val="24"/>
        </w:rPr>
        <w:tab/>
      </w:r>
      <w:bookmarkStart w:id="1" w:name="OLE_LINK1"/>
      <w:bookmarkStart w:id="2" w:name="OLE_LINK2"/>
      <w:r>
        <w:rPr>
          <w:b/>
          <w:noProof/>
          <w:sz w:val="24"/>
        </w:rPr>
        <w:t>RRC involved HO for cell-level mobility</w:t>
      </w:r>
    </w:p>
    <w:bookmarkEnd w:id="1"/>
    <w:bookmarkEnd w:id="2"/>
    <w:p w14:paraId="63D60F27" w14:textId="77777777" w:rsidR="001A06F1" w:rsidRPr="00E15E7F" w:rsidRDefault="001A06F1" w:rsidP="001A06F1">
      <w:pPr>
        <w:pStyle w:val="CRCoverPage"/>
        <w:rPr>
          <w:b/>
          <w:noProof/>
          <w:sz w:val="24"/>
        </w:rPr>
      </w:pPr>
      <w:r>
        <w:rPr>
          <w:b/>
          <w:noProof/>
          <w:sz w:val="24"/>
        </w:rPr>
        <w:t>Document for:     Discussion and decision</w:t>
      </w:r>
    </w:p>
    <w:p w14:paraId="26103558" w14:textId="77777777" w:rsidR="001A06F1" w:rsidRDefault="001A06F1" w:rsidP="001A06F1">
      <w:pPr>
        <w:pStyle w:val="Heading1"/>
        <w:rPr>
          <w:lang w:val="en-US" w:eastAsia="ko-KR"/>
        </w:rPr>
      </w:pPr>
      <w:r>
        <w:rPr>
          <w:lang w:val="en-US" w:eastAsia="ko-KR"/>
        </w:rPr>
        <w:t xml:space="preserve">1 </w:t>
      </w:r>
      <w:r w:rsidRPr="009D35B3">
        <w:rPr>
          <w:lang w:val="en-US" w:eastAsia="ko-KR"/>
        </w:rPr>
        <w:t>Introduction</w:t>
      </w:r>
    </w:p>
    <w:p w14:paraId="56DB3334" w14:textId="77777777" w:rsidR="001A06F1" w:rsidRDefault="001A06F1" w:rsidP="001A06F1">
      <w:pPr>
        <w:rPr>
          <w:rFonts w:ascii="Arial" w:hAnsi="Arial" w:cs="Arial"/>
        </w:rPr>
      </w:pPr>
      <w:r w:rsidRPr="005827DF">
        <w:rPr>
          <w:rFonts w:ascii="Arial" w:eastAsia="MS Mincho" w:hAnsi="Arial"/>
        </w:rPr>
        <w:t xml:space="preserve">During </w:t>
      </w:r>
      <w:r>
        <w:rPr>
          <w:rFonts w:ascii="Arial" w:eastAsia="MS Mincho" w:hAnsi="Arial"/>
        </w:rPr>
        <w:t xml:space="preserve">RAN2#96 meeting, the </w:t>
      </w:r>
      <w:r>
        <w:rPr>
          <w:rFonts w:ascii="Arial" w:hAnsi="Arial" w:cs="Arial"/>
        </w:rPr>
        <w:t>user plane entities actions w.r.t PDCP re-establishment, RLC re-establishment and MAC reset with RRC involved HO were discussed, and following agreements were made.</w:t>
      </w:r>
    </w:p>
    <w:p w14:paraId="3248419C"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Agreements</w:t>
      </w:r>
    </w:p>
    <w:p w14:paraId="1909D0D8"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1:</w:t>
      </w:r>
      <w:r>
        <w:tab/>
        <w:t>RRC involved handover with at least MAC entity reset is supported.</w:t>
      </w:r>
    </w:p>
    <w:p w14:paraId="289DB9C6"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14:paraId="45ECA976"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Agreement 1 does not relate to multi-connectivity mechanisms to perform handover which is still to be studied</w:t>
      </w:r>
    </w:p>
    <w:p w14:paraId="232DE71D" w14:textId="77777777" w:rsidR="001A06F1" w:rsidRDefault="001A06F1" w:rsidP="001A06F1">
      <w:pPr>
        <w:pStyle w:val="Doc-text2"/>
        <w:pBdr>
          <w:top w:val="single" w:sz="4" w:space="1" w:color="auto"/>
          <w:left w:val="single" w:sz="4" w:space="4" w:color="auto"/>
          <w:bottom w:val="single" w:sz="4" w:space="1" w:color="auto"/>
          <w:right w:val="single" w:sz="4" w:space="4" w:color="auto"/>
        </w:pBdr>
        <w:ind w:left="363"/>
      </w:pPr>
      <w:r>
        <w:t xml:space="preserve">FFS whether </w:t>
      </w:r>
      <w:r w:rsidRPr="00953FA9">
        <w:t>RRC involved (single connectivity) han</w:t>
      </w:r>
      <w:r>
        <w:t xml:space="preserve">dover with and without RLC </w:t>
      </w:r>
      <w:r w:rsidRPr="00953FA9">
        <w:t>entity</w:t>
      </w:r>
      <w:r>
        <w:t xml:space="preserve"> reset is supported</w:t>
      </w:r>
    </w:p>
    <w:p w14:paraId="330815CF" w14:textId="77777777" w:rsidR="001A06F1" w:rsidRPr="005827DF" w:rsidRDefault="001A06F1" w:rsidP="001A06F1">
      <w:pPr>
        <w:spacing w:before="120" w:after="120"/>
        <w:rPr>
          <w:rFonts w:ascii="Arial" w:eastAsia="MS Mincho" w:hAnsi="Arial"/>
        </w:rPr>
      </w:pPr>
      <w:r w:rsidRPr="005827DF">
        <w:rPr>
          <w:rFonts w:ascii="Arial" w:eastAsia="MS Mincho" w:hAnsi="Arial"/>
        </w:rPr>
        <w:t xml:space="preserve">In this contribution, we address the FFS issues and </w:t>
      </w:r>
      <w:r>
        <w:rPr>
          <w:rFonts w:ascii="Arial" w:eastAsia="MS Mincho" w:hAnsi="Arial"/>
        </w:rPr>
        <w:t xml:space="preserve">make further clarification on cell definition. </w:t>
      </w:r>
      <w:r w:rsidRPr="005827DF">
        <w:rPr>
          <w:rFonts w:ascii="Arial" w:eastAsia="MS Mincho" w:hAnsi="Arial"/>
        </w:rPr>
        <w:t xml:space="preserve"> </w:t>
      </w:r>
    </w:p>
    <w:p w14:paraId="58396A9C" w14:textId="77777777" w:rsidR="001A06F1" w:rsidRDefault="001A06F1" w:rsidP="001A06F1">
      <w:pPr>
        <w:pStyle w:val="Heading1"/>
        <w:jc w:val="both"/>
        <w:rPr>
          <w:lang w:val="en-US" w:eastAsia="ko-KR"/>
        </w:rPr>
      </w:pPr>
      <w:r>
        <w:rPr>
          <w:lang w:val="en-US" w:eastAsia="ko-KR"/>
        </w:rPr>
        <w:t>2 Discussion</w:t>
      </w:r>
    </w:p>
    <w:p w14:paraId="2DBBB64B" w14:textId="77777777" w:rsidR="001A06F1" w:rsidRDefault="001A06F1" w:rsidP="001A06F1">
      <w:pPr>
        <w:pStyle w:val="Heading2"/>
        <w:jc w:val="both"/>
      </w:pPr>
      <w:r>
        <w:t>2.1 Network deployment and architecture</w:t>
      </w:r>
    </w:p>
    <w:p w14:paraId="154D2A00" w14:textId="77777777" w:rsidR="001A06F1" w:rsidRDefault="001A06F1" w:rsidP="001A06F1">
      <w:pPr>
        <w:spacing w:before="120" w:after="120"/>
        <w:jc w:val="both"/>
        <w:rPr>
          <w:rFonts w:ascii="Arial" w:eastAsia="MS Mincho" w:hAnsi="Arial"/>
        </w:rPr>
      </w:pPr>
      <w:r w:rsidRPr="0044420F">
        <w:rPr>
          <w:rFonts w:ascii="Arial" w:eastAsia="MS Mincho" w:hAnsi="Arial"/>
        </w:rPr>
        <w:t xml:space="preserve">Whether to re-establish PDCP, re-establish RLC or reset MAC depends on the NR network deployment and architecture. </w:t>
      </w:r>
    </w:p>
    <w:p w14:paraId="4C50F1CE" w14:textId="77777777" w:rsidR="001A06F1" w:rsidRPr="0044420F" w:rsidRDefault="001A06F1" w:rsidP="001A06F1">
      <w:pPr>
        <w:rPr>
          <w:rFonts w:ascii="Arial" w:eastAsia="MS Mincho" w:hAnsi="Arial"/>
        </w:rPr>
      </w:pPr>
      <w:r>
        <w:rPr>
          <w:rFonts w:ascii="Arial" w:eastAsia="MS Mincho" w:hAnsi="Arial"/>
        </w:rPr>
        <w:t xml:space="preserve">Mainly two deployment scenarios i.e. </w:t>
      </w:r>
      <w:r>
        <w:rPr>
          <w:rFonts w:ascii="Arial" w:eastAsia="MS Mincho" w:hAnsi="Arial" w:hint="eastAsia"/>
        </w:rPr>
        <w:t>n</w:t>
      </w:r>
      <w:r w:rsidRPr="0044420F">
        <w:rPr>
          <w:rFonts w:ascii="Arial" w:eastAsia="MS Mincho" w:hAnsi="Arial" w:hint="eastAsia"/>
        </w:rPr>
        <w:t>on-centralised deployment</w:t>
      </w:r>
      <w:r w:rsidRPr="0044420F">
        <w:rPr>
          <w:rFonts w:ascii="Arial" w:eastAsia="MS Mincho" w:hAnsi="Arial"/>
        </w:rPr>
        <w:t xml:space="preserve"> and </w:t>
      </w:r>
      <w:r>
        <w:rPr>
          <w:rFonts w:ascii="Arial" w:eastAsia="MS Mincho" w:hAnsi="Arial"/>
        </w:rPr>
        <w:t>c</w:t>
      </w:r>
      <w:r w:rsidRPr="0044420F">
        <w:rPr>
          <w:rFonts w:ascii="Arial" w:eastAsia="MS Mincho" w:hAnsi="Arial" w:hint="eastAsia"/>
        </w:rPr>
        <w:t>entralized deployment</w:t>
      </w:r>
      <w:r w:rsidRPr="0044420F">
        <w:rPr>
          <w:rFonts w:ascii="Arial" w:eastAsia="MS Mincho" w:hAnsi="Arial"/>
        </w:rPr>
        <w:t xml:space="preserve"> are considered for </w:t>
      </w:r>
      <w:r>
        <w:rPr>
          <w:rFonts w:ascii="Arial" w:eastAsia="MS Mincho" w:hAnsi="Arial"/>
        </w:rPr>
        <w:t xml:space="preserve">intra-RAT </w:t>
      </w:r>
      <w:r w:rsidRPr="0044420F">
        <w:rPr>
          <w:rFonts w:ascii="Arial" w:eastAsia="MS Mincho" w:hAnsi="Arial"/>
        </w:rPr>
        <w:t xml:space="preserve">RRC involved HO. </w:t>
      </w:r>
    </w:p>
    <w:p w14:paraId="58594154" w14:textId="77777777" w:rsidR="001A06F1" w:rsidRDefault="001A06F1" w:rsidP="001A06F1">
      <w:pPr>
        <w:spacing w:before="120" w:after="120"/>
        <w:jc w:val="both"/>
      </w:pPr>
      <w:r w:rsidRPr="00C52A1B">
        <w:object w:dxaOrig="8862" w:dyaOrig="5948" w14:anchorId="3B95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69.5pt" o:ole="">
            <v:imagedata r:id="rId7" o:title="" cropbottom="2462f"/>
          </v:shape>
          <o:OLEObject Type="Embed" ProgID="Visio.Drawing.11" ShapeID="_x0000_i1025" DrawAspect="Content" ObjectID="_1545234025" r:id="rId8"/>
        </w:object>
      </w:r>
      <w:r w:rsidRPr="00722937">
        <w:object w:dxaOrig="5856" w:dyaOrig="3929" w14:anchorId="7C54C97F">
          <v:shape id="_x0000_i1026" type="#_x0000_t75" style="width:252.75pt;height:165.75pt" o:ole="">
            <v:imagedata r:id="rId9" o:title=""/>
          </v:shape>
          <o:OLEObject Type="Embed" ProgID="Visio.Drawing.11" ShapeID="_x0000_i1026" DrawAspect="Content" ObjectID="_1545234026" r:id="rId10"/>
        </w:object>
      </w:r>
    </w:p>
    <w:p w14:paraId="732C1705" w14:textId="77777777" w:rsidR="001A06F1" w:rsidRPr="001037D9" w:rsidRDefault="001A06F1" w:rsidP="001A06F1">
      <w:pPr>
        <w:rPr>
          <w:rFonts w:ascii="Arial" w:hAnsi="Arial" w:cs="Arial"/>
          <w:b/>
          <w:lang w:eastAsia="ja-JP"/>
        </w:rPr>
      </w:pPr>
      <w:r>
        <w:rPr>
          <w:rFonts w:ascii="Arial" w:hAnsi="Arial" w:cs="Arial"/>
          <w:b/>
          <w:lang w:eastAsia="ja-JP"/>
        </w:rPr>
        <w:t xml:space="preserve">            </w:t>
      </w:r>
      <w:r w:rsidRPr="001037D9">
        <w:rPr>
          <w:rFonts w:ascii="Arial" w:hAnsi="Arial" w:cs="Arial"/>
          <w:b/>
          <w:lang w:eastAsia="ja-JP"/>
        </w:rPr>
        <w:t xml:space="preserve">Figure 1.a Non-centralised deployment     </w:t>
      </w:r>
      <w:r>
        <w:rPr>
          <w:rFonts w:ascii="Arial" w:hAnsi="Arial" w:cs="Arial"/>
          <w:b/>
          <w:lang w:eastAsia="ja-JP"/>
        </w:rPr>
        <w:t xml:space="preserve">                      </w:t>
      </w:r>
      <w:r w:rsidRPr="001037D9">
        <w:rPr>
          <w:rFonts w:ascii="Arial" w:hAnsi="Arial" w:cs="Arial"/>
          <w:b/>
          <w:lang w:eastAsia="ja-JP"/>
        </w:rPr>
        <w:t xml:space="preserve"> Figure 1.b</w:t>
      </w:r>
      <w:r w:rsidRPr="001037D9">
        <w:rPr>
          <w:rFonts w:ascii="Arial" w:hAnsi="Arial" w:cs="Arial"/>
          <w:b/>
        </w:rPr>
        <w:t xml:space="preserve">: </w:t>
      </w:r>
      <w:r w:rsidRPr="001037D9">
        <w:rPr>
          <w:rFonts w:ascii="Arial" w:hAnsi="Arial" w:cs="Arial"/>
          <w:b/>
          <w:lang w:eastAsia="ja-JP"/>
        </w:rPr>
        <w:t>Centralized deployment</w:t>
      </w:r>
    </w:p>
    <w:p w14:paraId="7D7BFD0B" w14:textId="77777777" w:rsidR="001A06F1" w:rsidRPr="001037D9" w:rsidRDefault="001A06F1" w:rsidP="001A06F1">
      <w:pPr>
        <w:jc w:val="center"/>
        <w:rPr>
          <w:rFonts w:ascii="Arial" w:hAnsi="Arial" w:cs="Arial"/>
          <w:b/>
        </w:rPr>
      </w:pPr>
      <w:r w:rsidRPr="001037D9">
        <w:rPr>
          <w:rFonts w:ascii="Arial" w:hAnsi="Arial" w:cs="Arial"/>
          <w:b/>
          <w:lang w:eastAsia="ja-JP"/>
        </w:rPr>
        <w:t>Figure 1 Network deployment scenarios in NR [1]</w:t>
      </w:r>
    </w:p>
    <w:p w14:paraId="18A7944C" w14:textId="77777777" w:rsidR="001A06F1" w:rsidRDefault="001A06F1" w:rsidP="001A06F1">
      <w:pPr>
        <w:spacing w:before="120" w:after="120"/>
        <w:jc w:val="both"/>
        <w:rPr>
          <w:rFonts w:ascii="Arial" w:eastAsia="MS Mincho" w:hAnsi="Arial"/>
        </w:rPr>
      </w:pPr>
      <w:r>
        <w:rPr>
          <w:rFonts w:ascii="Arial" w:eastAsia="MS Mincho" w:hAnsi="Arial"/>
        </w:rPr>
        <w:t xml:space="preserve">For non-centralised deployment, when UE moves between gNBs, RRC involved HO is performed with PDCP re-establishment, RLC re-establishment and MAC reset. </w:t>
      </w:r>
    </w:p>
    <w:p w14:paraId="6FF0E07A" w14:textId="77777777" w:rsidR="001A06F1" w:rsidRPr="00E02552" w:rsidRDefault="001A06F1" w:rsidP="001A06F1">
      <w:pPr>
        <w:spacing w:before="120" w:after="120"/>
        <w:jc w:val="both"/>
        <w:rPr>
          <w:rFonts w:ascii="Arial" w:eastAsia="MS Mincho" w:hAnsi="Arial"/>
        </w:rPr>
      </w:pPr>
      <w:r>
        <w:rPr>
          <w:rFonts w:ascii="Arial" w:eastAsia="MS Mincho" w:hAnsi="Arial"/>
        </w:rPr>
        <w:t>For centralised deployment, whether to re-establish PDCP, re-establish RLC and reset MAC depends on the different RAN architecture with different functional split options between CU and DU. 8 different CU/DU split options are identified, just as illustrated in the appendix.F</w:t>
      </w:r>
      <w:r w:rsidRPr="00E02552">
        <w:rPr>
          <w:rFonts w:ascii="Arial" w:eastAsia="MS Mincho" w:hAnsi="Arial"/>
        </w:rPr>
        <w:t xml:space="preserve">lexible functional split between CU and DU is desired, which support the flexibility to move RAN functions between DU and CU considering the specific QoS for the services, user density, load condition and different performances of transport network (ideal/non-ideal). However, it doesn’t necessarily mean that all the options should be supported by NR. Certain options doesn’t need to be supported, e.g. due to lack of benefits or concerns on complexity.  </w:t>
      </w:r>
    </w:p>
    <w:p w14:paraId="06E0A35B" w14:textId="77777777" w:rsidR="001A06F1" w:rsidRDefault="001A06F1" w:rsidP="001A06F1">
      <w:pPr>
        <w:spacing w:before="120" w:after="120"/>
        <w:jc w:val="both"/>
        <w:rPr>
          <w:rFonts w:ascii="Arial" w:eastAsia="MS Mincho" w:hAnsi="Arial"/>
        </w:rPr>
      </w:pPr>
      <w:r>
        <w:rPr>
          <w:rFonts w:ascii="Arial" w:eastAsia="MS Mincho" w:hAnsi="Arial"/>
        </w:rPr>
        <w:t xml:space="preserve">Table 1 summarizes the different RAN architectures and the corresponding UP entities actions. </w:t>
      </w:r>
    </w:p>
    <w:p w14:paraId="72E7976C" w14:textId="77777777" w:rsidR="001A06F1" w:rsidRDefault="001A06F1" w:rsidP="001A06F1">
      <w:pPr>
        <w:spacing w:after="160" w:line="259" w:lineRule="auto"/>
        <w:rPr>
          <w:rFonts w:ascii="Arial" w:eastAsia="MS Mincho" w:hAnsi="Arial"/>
        </w:rPr>
      </w:pPr>
      <w:r>
        <w:rPr>
          <w:rFonts w:ascii="Arial" w:eastAsia="MS Mincho" w:hAnsi="Arial"/>
        </w:rPr>
        <w:br w:type="page"/>
      </w:r>
    </w:p>
    <w:p w14:paraId="39A9015F" w14:textId="77777777" w:rsidR="001A06F1" w:rsidRPr="00D668EC" w:rsidRDefault="001A06F1" w:rsidP="001A06F1">
      <w:pPr>
        <w:jc w:val="center"/>
        <w:rPr>
          <w:rFonts w:ascii="Arial" w:hAnsi="Arial" w:cs="Arial"/>
          <w:b/>
          <w:lang w:eastAsia="ja-JP"/>
        </w:rPr>
      </w:pPr>
      <w:r w:rsidRPr="00D668EC">
        <w:rPr>
          <w:rFonts w:ascii="Arial" w:hAnsi="Arial" w:cs="Arial"/>
          <w:b/>
          <w:lang w:eastAsia="ja-JP"/>
        </w:rPr>
        <w:lastRenderedPageBreak/>
        <w:t>Table 1 UP entity actions in different RAN architecture</w:t>
      </w:r>
    </w:p>
    <w:tbl>
      <w:tblPr>
        <w:tblStyle w:val="TableGrid"/>
        <w:tblW w:w="0" w:type="auto"/>
        <w:tblInd w:w="85" w:type="dxa"/>
        <w:tblLayout w:type="fixed"/>
        <w:tblLook w:val="04A0" w:firstRow="1" w:lastRow="0" w:firstColumn="1" w:lastColumn="0" w:noHBand="0" w:noVBand="1"/>
      </w:tblPr>
      <w:tblGrid>
        <w:gridCol w:w="3240"/>
        <w:gridCol w:w="2120"/>
        <w:gridCol w:w="2920"/>
        <w:gridCol w:w="2092"/>
      </w:tblGrid>
      <w:tr w:rsidR="001A06F1" w14:paraId="3F90EDC0" w14:textId="77777777" w:rsidTr="007657F2">
        <w:trPr>
          <w:trHeight w:val="620"/>
        </w:trPr>
        <w:tc>
          <w:tcPr>
            <w:tcW w:w="3240" w:type="dxa"/>
          </w:tcPr>
          <w:p w14:paraId="23A66C29" w14:textId="77777777" w:rsidR="001A06F1" w:rsidRPr="00920DB4" w:rsidRDefault="001A06F1" w:rsidP="007657F2">
            <w:pPr>
              <w:spacing w:after="160" w:line="259" w:lineRule="auto"/>
              <w:contextualSpacing/>
              <w:rPr>
                <w:rFonts w:ascii="Arial" w:eastAsia="MS Mincho" w:hAnsi="Arial"/>
              </w:rPr>
            </w:pPr>
            <w:r w:rsidRPr="00920DB4">
              <w:rPr>
                <w:rFonts w:ascii="Arial" w:eastAsia="MS Mincho" w:hAnsi="Arial"/>
              </w:rPr>
              <w:t>RAN Architecture</w:t>
            </w:r>
          </w:p>
        </w:tc>
        <w:tc>
          <w:tcPr>
            <w:tcW w:w="2120" w:type="dxa"/>
          </w:tcPr>
          <w:p w14:paraId="429021C8" w14:textId="77777777" w:rsidR="001A06F1" w:rsidRPr="00920DB4" w:rsidRDefault="001A06F1" w:rsidP="007657F2">
            <w:pPr>
              <w:spacing w:after="160" w:line="259" w:lineRule="auto"/>
              <w:contextualSpacing/>
              <w:rPr>
                <w:rFonts w:ascii="Arial" w:eastAsia="MS Mincho" w:hAnsi="Arial"/>
              </w:rPr>
            </w:pPr>
            <w:r>
              <w:rPr>
                <w:rFonts w:ascii="Arial" w:eastAsia="MS Mincho" w:hAnsi="Arial"/>
              </w:rPr>
              <w:t xml:space="preserve">UP Entity Actions </w:t>
            </w:r>
          </w:p>
        </w:tc>
        <w:tc>
          <w:tcPr>
            <w:tcW w:w="2920" w:type="dxa"/>
          </w:tcPr>
          <w:p w14:paraId="2E6CDB09" w14:textId="77777777" w:rsidR="001A06F1" w:rsidRPr="00920DB4" w:rsidRDefault="001A06F1" w:rsidP="007657F2">
            <w:pPr>
              <w:spacing w:after="160" w:line="259" w:lineRule="auto"/>
              <w:contextualSpacing/>
              <w:rPr>
                <w:rFonts w:ascii="Arial" w:eastAsia="MS Mincho" w:hAnsi="Arial"/>
              </w:rPr>
            </w:pPr>
            <w:r w:rsidRPr="00920DB4">
              <w:rPr>
                <w:rFonts w:ascii="Arial" w:eastAsia="MS Mincho" w:hAnsi="Arial"/>
              </w:rPr>
              <w:t>RAN Architecture</w:t>
            </w:r>
          </w:p>
        </w:tc>
        <w:tc>
          <w:tcPr>
            <w:tcW w:w="2092" w:type="dxa"/>
          </w:tcPr>
          <w:p w14:paraId="211BB8E5" w14:textId="77777777" w:rsidR="001A06F1" w:rsidRPr="00920DB4" w:rsidRDefault="001A06F1" w:rsidP="007657F2">
            <w:pPr>
              <w:spacing w:after="160" w:line="259" w:lineRule="auto"/>
              <w:contextualSpacing/>
              <w:rPr>
                <w:rFonts w:ascii="Arial" w:eastAsia="MS Mincho" w:hAnsi="Arial"/>
              </w:rPr>
            </w:pPr>
            <w:r>
              <w:rPr>
                <w:rFonts w:ascii="Arial" w:eastAsia="MS Mincho" w:hAnsi="Arial"/>
              </w:rPr>
              <w:t xml:space="preserve">UP Entity Actions </w:t>
            </w:r>
          </w:p>
        </w:tc>
      </w:tr>
      <w:tr w:rsidR="001A06F1" w14:paraId="7E4A84A8" w14:textId="77777777" w:rsidTr="007657F2">
        <w:trPr>
          <w:trHeight w:val="2330"/>
        </w:trPr>
        <w:tc>
          <w:tcPr>
            <w:tcW w:w="3240" w:type="dxa"/>
          </w:tcPr>
          <w:p w14:paraId="35FDC04F" w14:textId="77777777" w:rsidR="001A06F1" w:rsidRDefault="001A06F1" w:rsidP="007657F2">
            <w:pPr>
              <w:spacing w:before="120" w:after="120"/>
              <w:jc w:val="center"/>
            </w:pPr>
            <w:r>
              <w:object w:dxaOrig="5177" w:dyaOrig="5013" w14:anchorId="5BC305C5">
                <v:shape id="_x0000_i1027" type="#_x0000_t75" style="width:114pt;height:110.25pt" o:ole="">
                  <v:imagedata r:id="rId11" o:title=""/>
                </v:shape>
                <o:OLEObject Type="Embed" ProgID="Visio.Drawing.11" ShapeID="_x0000_i1027" DrawAspect="Content" ObjectID="_1545234027" r:id="rId12"/>
              </w:object>
            </w:r>
          </w:p>
          <w:p w14:paraId="62C75D34" w14:textId="77777777" w:rsidR="001A06F1" w:rsidRDefault="001A06F1" w:rsidP="007657F2">
            <w:pPr>
              <w:spacing w:before="120" w:after="120"/>
              <w:jc w:val="center"/>
              <w:rPr>
                <w:rFonts w:ascii="Arial" w:eastAsia="MS Mincho" w:hAnsi="Arial"/>
              </w:rPr>
            </w:pPr>
            <w:r w:rsidRPr="00920DB4">
              <w:rPr>
                <w:rFonts w:ascii="Arial" w:eastAsia="MS Mincho" w:hAnsi="Arial"/>
              </w:rPr>
              <w:t>Option 1: (1A-like split)</w:t>
            </w:r>
          </w:p>
        </w:tc>
        <w:tc>
          <w:tcPr>
            <w:tcW w:w="2120" w:type="dxa"/>
          </w:tcPr>
          <w:p w14:paraId="154F912C"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28811370" w14:textId="77777777" w:rsidR="001A06F1" w:rsidRPr="00D50847" w:rsidRDefault="001A06F1" w:rsidP="001A06F1">
            <w:pPr>
              <w:pStyle w:val="ListParagraph"/>
              <w:numPr>
                <w:ilvl w:val="0"/>
                <w:numId w:val="2"/>
              </w:numPr>
              <w:spacing w:after="160" w:line="259" w:lineRule="auto"/>
              <w:contextualSpacing/>
              <w:rPr>
                <w:rFonts w:ascii="Arial" w:eastAsia="MS Mincho" w:hAnsi="Arial"/>
                <w:sz w:val="20"/>
                <w:szCs w:val="20"/>
              </w:rPr>
            </w:pPr>
            <w:r w:rsidRPr="00D50847">
              <w:rPr>
                <w:rFonts w:ascii="Arial" w:eastAsia="MS Mincho" w:hAnsi="Arial"/>
                <w:sz w:val="20"/>
                <w:szCs w:val="20"/>
              </w:rPr>
              <w:t>Re-establish PDCP;</w:t>
            </w:r>
          </w:p>
          <w:p w14:paraId="7AD369FA" w14:textId="77777777" w:rsidR="001A06F1" w:rsidRPr="00B63A95" w:rsidRDefault="001A06F1" w:rsidP="001A06F1">
            <w:pPr>
              <w:pStyle w:val="ListParagraph"/>
              <w:numPr>
                <w:ilvl w:val="0"/>
                <w:numId w:val="2"/>
              </w:numPr>
              <w:spacing w:after="160" w:line="259" w:lineRule="auto"/>
              <w:contextualSpacing/>
              <w:rPr>
                <w:rFonts w:ascii="Arial" w:eastAsia="MS Mincho" w:hAnsi="Arial"/>
                <w:b/>
                <w:sz w:val="20"/>
                <w:szCs w:val="20"/>
              </w:rPr>
            </w:pPr>
            <w:r w:rsidRPr="00B63A95">
              <w:rPr>
                <w:rFonts w:ascii="Arial" w:eastAsia="MS Mincho" w:hAnsi="Arial"/>
                <w:b/>
                <w:sz w:val="20"/>
                <w:szCs w:val="20"/>
              </w:rPr>
              <w:t>Re-establish RLC;</w:t>
            </w:r>
          </w:p>
          <w:p w14:paraId="1B95A82A" w14:textId="77777777" w:rsidR="001A06F1" w:rsidRPr="00D50847" w:rsidRDefault="001A06F1" w:rsidP="001A06F1">
            <w:pPr>
              <w:pStyle w:val="ListParagraph"/>
              <w:numPr>
                <w:ilvl w:val="0"/>
                <w:numId w:val="2"/>
              </w:numPr>
              <w:spacing w:after="160" w:line="259" w:lineRule="auto"/>
              <w:contextualSpacing/>
              <w:rPr>
                <w:rFonts w:ascii="Arial" w:eastAsia="MS Mincho" w:hAnsi="Arial"/>
                <w:sz w:val="20"/>
                <w:szCs w:val="20"/>
              </w:rPr>
            </w:pPr>
            <w:r w:rsidRPr="00D50847">
              <w:rPr>
                <w:rFonts w:ascii="Arial" w:eastAsia="MS Mincho" w:hAnsi="Arial"/>
                <w:sz w:val="20"/>
                <w:szCs w:val="20"/>
              </w:rPr>
              <w:t>Reset MAC</w:t>
            </w:r>
            <w:r>
              <w:rPr>
                <w:rFonts w:ascii="Arial" w:eastAsia="MS Mincho" w:hAnsi="Arial"/>
                <w:sz w:val="20"/>
                <w:szCs w:val="20"/>
              </w:rPr>
              <w:t>.</w:t>
            </w:r>
          </w:p>
          <w:p w14:paraId="57610EF9" w14:textId="77777777" w:rsidR="001A06F1" w:rsidRDefault="001A06F1" w:rsidP="007657F2">
            <w:pPr>
              <w:spacing w:before="120" w:after="120"/>
              <w:jc w:val="both"/>
              <w:rPr>
                <w:rFonts w:ascii="Arial" w:eastAsia="MS Mincho" w:hAnsi="Arial"/>
              </w:rPr>
            </w:pPr>
          </w:p>
        </w:tc>
        <w:tc>
          <w:tcPr>
            <w:tcW w:w="2920" w:type="dxa"/>
          </w:tcPr>
          <w:p w14:paraId="41885DBE" w14:textId="77777777" w:rsidR="001A06F1" w:rsidRDefault="001A06F1" w:rsidP="007657F2">
            <w:pPr>
              <w:spacing w:before="120" w:after="120"/>
              <w:jc w:val="center"/>
            </w:pPr>
            <w:r>
              <w:object w:dxaOrig="5177" w:dyaOrig="4326" w14:anchorId="63C1417D">
                <v:shape id="_x0000_i1028" type="#_x0000_t75" style="width:132.75pt;height:110.25pt" o:ole="">
                  <v:imagedata r:id="rId13" o:title=""/>
                </v:shape>
                <o:OLEObject Type="Embed" ProgID="Visio.Drawing.11" ShapeID="_x0000_i1028" DrawAspect="Content" ObjectID="_1545234028" r:id="rId14"/>
              </w:object>
            </w:r>
          </w:p>
          <w:p w14:paraId="27812275" w14:textId="77777777" w:rsidR="001A06F1" w:rsidRPr="00920DB4" w:rsidRDefault="001A06F1" w:rsidP="007657F2">
            <w:pPr>
              <w:spacing w:before="120" w:after="120"/>
              <w:jc w:val="center"/>
              <w:rPr>
                <w:rFonts w:ascii="Arial" w:eastAsia="MS Mincho" w:hAnsi="Arial"/>
              </w:rPr>
            </w:pPr>
            <w:r w:rsidRPr="00920DB4">
              <w:rPr>
                <w:rFonts w:ascii="Arial" w:eastAsia="MS Mincho" w:hAnsi="Arial"/>
              </w:rPr>
              <w:t>Option 2: PDCP/RLC split</w:t>
            </w:r>
          </w:p>
          <w:p w14:paraId="2013B394" w14:textId="77777777" w:rsidR="001A06F1" w:rsidRPr="00D50847" w:rsidRDefault="001A06F1" w:rsidP="007657F2">
            <w:pPr>
              <w:pStyle w:val="ListParagraph"/>
              <w:spacing w:after="160" w:line="259" w:lineRule="auto"/>
              <w:contextualSpacing/>
              <w:rPr>
                <w:rFonts w:ascii="Arial" w:eastAsia="MS Mincho" w:hAnsi="Arial"/>
                <w:sz w:val="20"/>
                <w:szCs w:val="20"/>
              </w:rPr>
            </w:pPr>
          </w:p>
        </w:tc>
        <w:tc>
          <w:tcPr>
            <w:tcW w:w="2092" w:type="dxa"/>
          </w:tcPr>
          <w:p w14:paraId="2EDCFCC6"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6EDA00C2"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N</w:t>
            </w:r>
            <w:r w:rsidRPr="00282EFB">
              <w:rPr>
                <w:rFonts w:ascii="Arial" w:eastAsia="MS Mincho" w:hAnsi="Arial"/>
                <w:sz w:val="20"/>
                <w:szCs w:val="20"/>
              </w:rPr>
              <w:t>ot</w:t>
            </w:r>
            <w:r>
              <w:rPr>
                <w:rFonts w:ascii="Arial" w:eastAsia="MS Mincho" w:hAnsi="Arial"/>
                <w:sz w:val="20"/>
                <w:szCs w:val="20"/>
              </w:rPr>
              <w:t xml:space="preserve"> re-established PDCP;</w:t>
            </w:r>
          </w:p>
          <w:p w14:paraId="3C5C0199" w14:textId="77777777" w:rsidR="001A06F1" w:rsidRPr="00B63A95" w:rsidRDefault="001A06F1" w:rsidP="001A06F1">
            <w:pPr>
              <w:pStyle w:val="ListParagraph"/>
              <w:numPr>
                <w:ilvl w:val="0"/>
                <w:numId w:val="2"/>
              </w:numPr>
              <w:spacing w:after="160" w:line="259" w:lineRule="auto"/>
              <w:contextualSpacing/>
              <w:rPr>
                <w:rFonts w:ascii="Arial" w:eastAsia="MS Mincho" w:hAnsi="Arial"/>
                <w:b/>
                <w:sz w:val="20"/>
                <w:szCs w:val="20"/>
              </w:rPr>
            </w:pPr>
            <w:r w:rsidRPr="00B63A95">
              <w:rPr>
                <w:rFonts w:ascii="Arial" w:eastAsia="MS Mincho" w:hAnsi="Arial"/>
                <w:b/>
                <w:sz w:val="20"/>
                <w:szCs w:val="20"/>
              </w:rPr>
              <w:t>Re-established RLC;</w:t>
            </w:r>
          </w:p>
          <w:p w14:paraId="30B60C72"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Reset MAC.</w:t>
            </w:r>
          </w:p>
          <w:p w14:paraId="53083E4A" w14:textId="77777777" w:rsidR="001A06F1" w:rsidRPr="00920DB4" w:rsidRDefault="001A06F1" w:rsidP="007657F2">
            <w:pPr>
              <w:spacing w:after="160" w:line="259" w:lineRule="auto"/>
              <w:contextualSpacing/>
              <w:rPr>
                <w:rFonts w:ascii="Arial" w:eastAsia="MS Mincho" w:hAnsi="Arial"/>
              </w:rPr>
            </w:pPr>
          </w:p>
        </w:tc>
      </w:tr>
      <w:tr w:rsidR="001A06F1" w14:paraId="3722E46A" w14:textId="77777777" w:rsidTr="007657F2">
        <w:tc>
          <w:tcPr>
            <w:tcW w:w="3240" w:type="dxa"/>
          </w:tcPr>
          <w:p w14:paraId="0BD010D4" w14:textId="77777777" w:rsidR="001A06F1" w:rsidRPr="00920DB4" w:rsidRDefault="001A06F1" w:rsidP="007657F2">
            <w:pPr>
              <w:spacing w:before="120" w:after="120"/>
              <w:jc w:val="center"/>
            </w:pPr>
            <w:r>
              <w:object w:dxaOrig="5177" w:dyaOrig="4893" w14:anchorId="07FA39F8">
                <v:shape id="_x0000_i1029" type="#_x0000_t75" style="width:144.75pt;height:136.5pt" o:ole="">
                  <v:imagedata r:id="rId15" o:title=""/>
                </v:shape>
                <o:OLEObject Type="Embed" ProgID="Visio.Drawing.11" ShapeID="_x0000_i1029" DrawAspect="Content" ObjectID="_1545234029" r:id="rId16"/>
              </w:object>
            </w:r>
            <w:r w:rsidRPr="00920DB4">
              <w:rPr>
                <w:rFonts w:ascii="Arial" w:eastAsia="MS Mincho" w:hAnsi="Arial"/>
              </w:rPr>
              <w:t xml:space="preserve">Option </w:t>
            </w:r>
            <w:r w:rsidRPr="00920DB4">
              <w:rPr>
                <w:rFonts w:ascii="Arial" w:eastAsia="MS Mincho" w:hAnsi="Arial" w:hint="eastAsia"/>
              </w:rPr>
              <w:t>3-1</w:t>
            </w:r>
            <w:r w:rsidRPr="00920DB4">
              <w:rPr>
                <w:rFonts w:ascii="Arial" w:eastAsia="MS Mincho" w:hAnsi="Arial"/>
              </w:rPr>
              <w:t>:</w:t>
            </w:r>
            <w:r w:rsidRPr="00920DB4">
              <w:rPr>
                <w:rFonts w:ascii="Arial" w:eastAsia="MS Mincho" w:hAnsi="Arial" w:hint="eastAsia"/>
              </w:rPr>
              <w:t xml:space="preserve"> Split based on ARQ</w:t>
            </w:r>
          </w:p>
        </w:tc>
        <w:tc>
          <w:tcPr>
            <w:tcW w:w="2120" w:type="dxa"/>
          </w:tcPr>
          <w:p w14:paraId="482248CA"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664F5AED"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N</w:t>
            </w:r>
            <w:r w:rsidRPr="00282EFB">
              <w:rPr>
                <w:rFonts w:ascii="Arial" w:eastAsia="MS Mincho" w:hAnsi="Arial"/>
                <w:sz w:val="20"/>
                <w:szCs w:val="20"/>
              </w:rPr>
              <w:t>ot</w:t>
            </w:r>
            <w:r>
              <w:rPr>
                <w:rFonts w:ascii="Arial" w:eastAsia="MS Mincho" w:hAnsi="Arial"/>
                <w:sz w:val="20"/>
                <w:szCs w:val="20"/>
              </w:rPr>
              <w:t xml:space="preserve"> re-established PDCP;</w:t>
            </w:r>
          </w:p>
          <w:p w14:paraId="0D60255F" w14:textId="77777777" w:rsidR="001A06F1" w:rsidRPr="00B63A95" w:rsidRDefault="001A06F1" w:rsidP="001A06F1">
            <w:pPr>
              <w:pStyle w:val="ListParagraph"/>
              <w:numPr>
                <w:ilvl w:val="0"/>
                <w:numId w:val="2"/>
              </w:numPr>
              <w:spacing w:after="160" w:line="259" w:lineRule="auto"/>
              <w:contextualSpacing/>
              <w:rPr>
                <w:rFonts w:ascii="Arial" w:eastAsia="MS Mincho" w:hAnsi="Arial"/>
                <w:b/>
                <w:sz w:val="20"/>
                <w:szCs w:val="20"/>
              </w:rPr>
            </w:pPr>
            <w:r w:rsidRPr="00B63A95">
              <w:rPr>
                <w:rFonts w:ascii="Arial" w:eastAsia="MS Mincho" w:hAnsi="Arial"/>
                <w:b/>
                <w:sz w:val="20"/>
                <w:szCs w:val="20"/>
              </w:rPr>
              <w:t>Not Re-established RLC;</w:t>
            </w:r>
          </w:p>
          <w:p w14:paraId="3C8656DF" w14:textId="77777777" w:rsidR="001A06F1" w:rsidRPr="00282EFB" w:rsidRDefault="001A06F1" w:rsidP="001A06F1">
            <w:pPr>
              <w:pStyle w:val="ListParagraph"/>
              <w:numPr>
                <w:ilvl w:val="0"/>
                <w:numId w:val="2"/>
              </w:numPr>
              <w:spacing w:after="160" w:line="259" w:lineRule="auto"/>
              <w:contextualSpacing/>
              <w:rPr>
                <w:rFonts w:ascii="Arial" w:eastAsia="MS Mincho" w:hAnsi="Arial"/>
                <w:sz w:val="20"/>
                <w:szCs w:val="20"/>
              </w:rPr>
            </w:pPr>
            <w:r>
              <w:rPr>
                <w:rFonts w:ascii="Arial" w:eastAsia="MS Mincho" w:hAnsi="Arial"/>
                <w:sz w:val="20"/>
                <w:szCs w:val="20"/>
              </w:rPr>
              <w:t>Reset MAC.</w:t>
            </w:r>
          </w:p>
          <w:p w14:paraId="08BF8D0B" w14:textId="77777777" w:rsidR="001A06F1" w:rsidRDefault="001A06F1" w:rsidP="007657F2">
            <w:pPr>
              <w:pStyle w:val="ListParagraph"/>
              <w:spacing w:after="160" w:line="259" w:lineRule="auto"/>
              <w:contextualSpacing/>
              <w:rPr>
                <w:rFonts w:ascii="Arial" w:eastAsia="MS Mincho" w:hAnsi="Arial"/>
              </w:rPr>
            </w:pPr>
          </w:p>
        </w:tc>
        <w:tc>
          <w:tcPr>
            <w:tcW w:w="2920" w:type="dxa"/>
          </w:tcPr>
          <w:p w14:paraId="3792A548" w14:textId="77777777" w:rsidR="001A06F1" w:rsidRPr="00920DB4" w:rsidRDefault="001A06F1" w:rsidP="007657F2">
            <w:pPr>
              <w:spacing w:before="120" w:after="120"/>
              <w:jc w:val="center"/>
              <w:rPr>
                <w:rFonts w:ascii="Arial" w:eastAsia="MS Mincho" w:hAnsi="Arial"/>
              </w:rPr>
            </w:pPr>
            <w:r w:rsidRPr="00920DB4">
              <w:rPr>
                <w:rFonts w:ascii="Arial" w:eastAsia="MS Mincho" w:hAnsi="Arial"/>
              </w:rPr>
              <w:object w:dxaOrig="5177" w:dyaOrig="4893" w14:anchorId="258EA59A">
                <v:shape id="_x0000_i1030" type="#_x0000_t75" style="width:137.25pt;height:129.75pt" o:ole="">
                  <v:imagedata r:id="rId17" o:title=""/>
                </v:shape>
                <o:OLEObject Type="Embed" ProgID="Visio.Drawing.11" ShapeID="_x0000_i1030" DrawAspect="Content" ObjectID="_1545234030" r:id="rId18"/>
              </w:object>
            </w:r>
            <w:r w:rsidRPr="00920DB4">
              <w:rPr>
                <w:rFonts w:ascii="Arial" w:eastAsia="MS Mincho" w:hAnsi="Arial"/>
              </w:rPr>
              <w:t>Option 3-2</w:t>
            </w:r>
            <w:r>
              <w:rPr>
                <w:rFonts w:ascii="Arial" w:eastAsia="MS Mincho" w:hAnsi="Arial"/>
              </w:rPr>
              <w:t xml:space="preserve">: </w:t>
            </w:r>
            <w:r w:rsidRPr="00920DB4">
              <w:rPr>
                <w:rFonts w:ascii="Arial" w:eastAsia="MS Mincho" w:hAnsi="Arial" w:hint="eastAsia"/>
              </w:rPr>
              <w:t>Split based on TX RLC and RX RLC</w:t>
            </w:r>
          </w:p>
        </w:tc>
        <w:tc>
          <w:tcPr>
            <w:tcW w:w="2092" w:type="dxa"/>
          </w:tcPr>
          <w:p w14:paraId="0FDB7D2C"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725DB56E"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Not re-establish PDCP;</w:t>
            </w:r>
          </w:p>
          <w:p w14:paraId="100642DC" w14:textId="77777777" w:rsidR="001A06F1" w:rsidRPr="00B63A95" w:rsidRDefault="001A06F1" w:rsidP="001A06F1">
            <w:pPr>
              <w:pStyle w:val="ListParagraph"/>
              <w:numPr>
                <w:ilvl w:val="0"/>
                <w:numId w:val="1"/>
              </w:numPr>
              <w:spacing w:after="160" w:line="259" w:lineRule="auto"/>
              <w:contextualSpacing/>
              <w:rPr>
                <w:rFonts w:ascii="Arial" w:eastAsia="MS Mincho" w:hAnsi="Arial"/>
                <w:b/>
                <w:sz w:val="20"/>
                <w:szCs w:val="20"/>
              </w:rPr>
            </w:pPr>
            <w:r w:rsidRPr="00B63A95">
              <w:rPr>
                <w:rFonts w:ascii="Arial" w:eastAsia="MS Mincho" w:hAnsi="Arial"/>
                <w:b/>
                <w:sz w:val="20"/>
                <w:szCs w:val="20"/>
              </w:rPr>
              <w:t>Re-establish RLC;</w:t>
            </w:r>
          </w:p>
          <w:p w14:paraId="5B3FBC2D"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Reset MAC.</w:t>
            </w:r>
          </w:p>
        </w:tc>
      </w:tr>
      <w:tr w:rsidR="001A06F1" w14:paraId="5CC2B223" w14:textId="77777777" w:rsidTr="007657F2">
        <w:tc>
          <w:tcPr>
            <w:tcW w:w="3240" w:type="dxa"/>
          </w:tcPr>
          <w:p w14:paraId="50A176B8" w14:textId="77777777" w:rsidR="001A06F1" w:rsidRDefault="001A06F1" w:rsidP="007657F2">
            <w:pPr>
              <w:spacing w:before="120" w:after="120"/>
              <w:jc w:val="center"/>
            </w:pPr>
            <w:r>
              <w:object w:dxaOrig="5177" w:dyaOrig="4326" w14:anchorId="6C73DBDC">
                <v:shape id="_x0000_i1031" type="#_x0000_t75" style="width:150.75pt;height:126.75pt" o:ole="">
                  <v:imagedata r:id="rId19" o:title=""/>
                </v:shape>
                <o:OLEObject Type="Embed" ProgID="Visio.Drawing.11" ShapeID="_x0000_i1031" DrawAspect="Content" ObjectID="_1545234031" r:id="rId20"/>
              </w:object>
            </w:r>
          </w:p>
          <w:p w14:paraId="5D54643B" w14:textId="77777777" w:rsidR="001A06F1" w:rsidRDefault="001A06F1" w:rsidP="007657F2">
            <w:pPr>
              <w:pStyle w:val="Heading3"/>
              <w:jc w:val="center"/>
              <w:outlineLvl w:val="2"/>
              <w:rPr>
                <w:rFonts w:ascii="Arial" w:eastAsia="MS Mincho" w:hAnsi="Arial"/>
              </w:rPr>
            </w:pPr>
            <w:r w:rsidRPr="00B63A95">
              <w:rPr>
                <w:rFonts w:ascii="Arial" w:eastAsia="MS Mincho" w:hAnsi="Arial" w:cs="Times New Roman"/>
                <w:color w:val="auto"/>
                <w:sz w:val="20"/>
                <w:szCs w:val="20"/>
                <w:lang w:val="en-GB" w:eastAsia="en-US"/>
              </w:rPr>
              <w:t>Option 4 (RLC-MAC split)</w:t>
            </w:r>
          </w:p>
        </w:tc>
        <w:tc>
          <w:tcPr>
            <w:tcW w:w="2120" w:type="dxa"/>
          </w:tcPr>
          <w:p w14:paraId="09962126" w14:textId="77777777" w:rsidR="001A06F1" w:rsidRPr="00D668EC" w:rsidRDefault="001A06F1" w:rsidP="007657F2">
            <w:pPr>
              <w:spacing w:after="160" w:line="259" w:lineRule="auto"/>
              <w:contextualSpacing/>
              <w:rPr>
                <w:rFonts w:ascii="Arial" w:eastAsia="MS Mincho" w:hAnsi="Arial"/>
              </w:rPr>
            </w:pPr>
            <w:r w:rsidRPr="00D668EC">
              <w:rPr>
                <w:rFonts w:ascii="Arial" w:eastAsia="MS Mincho" w:hAnsi="Arial"/>
              </w:rPr>
              <w:t>RRC involved HO</w:t>
            </w:r>
          </w:p>
          <w:p w14:paraId="5F826FFE" w14:textId="77777777" w:rsidR="001A06F1" w:rsidRPr="00282EFB"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w:t>
            </w:r>
            <w:r w:rsidRPr="00282EFB">
              <w:rPr>
                <w:rFonts w:ascii="Arial" w:eastAsia="MS Mincho" w:hAnsi="Arial"/>
                <w:sz w:val="20"/>
                <w:szCs w:val="20"/>
              </w:rPr>
              <w:t>ot</w:t>
            </w:r>
            <w:r>
              <w:rPr>
                <w:rFonts w:ascii="Arial" w:eastAsia="MS Mincho" w:hAnsi="Arial"/>
                <w:sz w:val="20"/>
                <w:szCs w:val="20"/>
              </w:rPr>
              <w:t xml:space="preserve"> re-established PDCP;</w:t>
            </w:r>
          </w:p>
          <w:p w14:paraId="2A0F3E2A" w14:textId="77777777" w:rsidR="001A06F1" w:rsidRPr="00B63A95" w:rsidRDefault="001A06F1" w:rsidP="001A06F1">
            <w:pPr>
              <w:pStyle w:val="ListParagraph"/>
              <w:numPr>
                <w:ilvl w:val="0"/>
                <w:numId w:val="1"/>
              </w:numPr>
              <w:spacing w:after="160" w:line="259" w:lineRule="auto"/>
              <w:contextualSpacing/>
              <w:rPr>
                <w:rFonts w:ascii="Arial" w:eastAsia="MS Mincho" w:hAnsi="Arial"/>
                <w:b/>
                <w:sz w:val="20"/>
                <w:szCs w:val="20"/>
              </w:rPr>
            </w:pPr>
            <w:r w:rsidRPr="00B63A95">
              <w:rPr>
                <w:rFonts w:ascii="Arial" w:eastAsia="MS Mincho" w:hAnsi="Arial"/>
                <w:b/>
                <w:sz w:val="20"/>
                <w:szCs w:val="20"/>
              </w:rPr>
              <w:t>Not Re-established RLC;</w:t>
            </w:r>
          </w:p>
          <w:p w14:paraId="25D09166" w14:textId="77777777" w:rsidR="001A06F1" w:rsidRPr="00282EFB"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Reset MAC.</w:t>
            </w:r>
          </w:p>
          <w:p w14:paraId="4D66BC1D" w14:textId="77777777" w:rsidR="001A06F1" w:rsidRPr="00B63A95" w:rsidRDefault="001A06F1" w:rsidP="007657F2">
            <w:pPr>
              <w:spacing w:after="160" w:line="259" w:lineRule="auto"/>
              <w:contextualSpacing/>
              <w:rPr>
                <w:rFonts w:ascii="Arial" w:eastAsia="MS Mincho" w:hAnsi="Arial"/>
              </w:rPr>
            </w:pPr>
          </w:p>
        </w:tc>
        <w:tc>
          <w:tcPr>
            <w:tcW w:w="2920" w:type="dxa"/>
          </w:tcPr>
          <w:p w14:paraId="794B7801"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5</w:t>
            </w:r>
          </w:p>
          <w:p w14:paraId="5F47A58A"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6</w:t>
            </w:r>
          </w:p>
          <w:p w14:paraId="5AA67D9E"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7</w:t>
            </w:r>
          </w:p>
          <w:p w14:paraId="402DF21C"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Option 8</w:t>
            </w:r>
          </w:p>
        </w:tc>
        <w:tc>
          <w:tcPr>
            <w:tcW w:w="2092" w:type="dxa"/>
          </w:tcPr>
          <w:p w14:paraId="3DAE0299" w14:textId="77777777" w:rsidR="001A06F1" w:rsidRDefault="001A06F1" w:rsidP="007657F2">
            <w:pPr>
              <w:spacing w:after="160" w:line="259" w:lineRule="auto"/>
              <w:contextualSpacing/>
              <w:rPr>
                <w:rFonts w:ascii="Arial" w:eastAsia="MS Mincho" w:hAnsi="Arial"/>
              </w:rPr>
            </w:pPr>
            <w:r w:rsidRPr="00D668EC">
              <w:rPr>
                <w:rFonts w:ascii="Arial" w:eastAsia="MS Mincho" w:hAnsi="Arial"/>
              </w:rPr>
              <w:t>No RRC involvement</w:t>
            </w:r>
          </w:p>
          <w:p w14:paraId="57A68D09"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Not re-establish PDCP;</w:t>
            </w:r>
          </w:p>
          <w:p w14:paraId="2B7D69DD" w14:textId="77777777" w:rsidR="001A06F1" w:rsidRDefault="001A06F1" w:rsidP="001A06F1">
            <w:pPr>
              <w:pStyle w:val="ListParagraph"/>
              <w:numPr>
                <w:ilvl w:val="0"/>
                <w:numId w:val="1"/>
              </w:numPr>
              <w:spacing w:after="160" w:line="259" w:lineRule="auto"/>
              <w:contextualSpacing/>
              <w:rPr>
                <w:rFonts w:ascii="Arial" w:eastAsia="MS Mincho" w:hAnsi="Arial"/>
                <w:sz w:val="20"/>
                <w:szCs w:val="20"/>
              </w:rPr>
            </w:pPr>
            <w:r w:rsidRPr="00D668EC">
              <w:rPr>
                <w:rFonts w:ascii="Arial" w:eastAsia="MS Mincho" w:hAnsi="Arial"/>
                <w:sz w:val="20"/>
                <w:szCs w:val="20"/>
              </w:rPr>
              <w:t>Not Re-establish RLC;</w:t>
            </w:r>
          </w:p>
          <w:p w14:paraId="055303BA" w14:textId="77777777" w:rsidR="001A06F1" w:rsidRPr="00D668EC" w:rsidRDefault="001A06F1" w:rsidP="001A06F1">
            <w:pPr>
              <w:pStyle w:val="ListParagraph"/>
              <w:numPr>
                <w:ilvl w:val="0"/>
                <w:numId w:val="1"/>
              </w:numPr>
              <w:spacing w:after="160" w:line="259" w:lineRule="auto"/>
              <w:contextualSpacing/>
              <w:rPr>
                <w:rFonts w:ascii="Arial" w:eastAsia="MS Mincho" w:hAnsi="Arial"/>
                <w:sz w:val="20"/>
                <w:szCs w:val="20"/>
              </w:rPr>
            </w:pPr>
            <w:r>
              <w:rPr>
                <w:rFonts w:ascii="Arial" w:eastAsia="MS Mincho" w:hAnsi="Arial"/>
                <w:sz w:val="20"/>
                <w:szCs w:val="20"/>
              </w:rPr>
              <w:t>Not reset MAC.</w:t>
            </w:r>
          </w:p>
        </w:tc>
      </w:tr>
    </w:tbl>
    <w:p w14:paraId="3438D211" w14:textId="77777777" w:rsidR="001A06F1" w:rsidRDefault="001A06F1" w:rsidP="001A06F1">
      <w:pPr>
        <w:rPr>
          <w:rFonts w:ascii="Arial" w:eastAsia="MS Mincho" w:hAnsi="Arial"/>
        </w:rPr>
      </w:pPr>
    </w:p>
    <w:p w14:paraId="02DF987E" w14:textId="77777777" w:rsidR="001A06F1" w:rsidRPr="005F3E92" w:rsidRDefault="001A06F1" w:rsidP="001A06F1">
      <w:pPr>
        <w:spacing w:before="120" w:after="120"/>
        <w:jc w:val="both"/>
        <w:rPr>
          <w:rFonts w:ascii="Arial" w:eastAsia="MS Mincho" w:hAnsi="Arial"/>
        </w:rPr>
      </w:pPr>
      <w:r>
        <w:rPr>
          <w:rFonts w:ascii="Arial" w:eastAsia="MS Mincho" w:hAnsi="Arial"/>
        </w:rPr>
        <w:t xml:space="preserve">Option 2 </w:t>
      </w:r>
      <w:r w:rsidRPr="00D668EC">
        <w:rPr>
          <w:rFonts w:ascii="Arial" w:eastAsia="MS Mincho" w:hAnsi="Arial"/>
        </w:rPr>
        <w:t xml:space="preserve">is the most straightforward option to standardize. It can support LTE-NR tight interworking easily due to the alignment of function split.  </w:t>
      </w:r>
    </w:p>
    <w:p w14:paraId="56E9C3BB" w14:textId="77777777" w:rsidR="001A06F1" w:rsidRPr="005F3E92" w:rsidRDefault="001A06F1" w:rsidP="001A06F1">
      <w:pPr>
        <w:spacing w:before="120" w:after="120"/>
        <w:jc w:val="both"/>
        <w:rPr>
          <w:rFonts w:ascii="Arial" w:eastAsia="MS Mincho" w:hAnsi="Arial"/>
        </w:rPr>
      </w:pPr>
      <w:r w:rsidRPr="00D668EC">
        <w:rPr>
          <w:rFonts w:ascii="Arial" w:eastAsia="MS Mincho" w:hAnsi="Arial"/>
        </w:rPr>
        <w:t xml:space="preserve">For Option 3-1, </w:t>
      </w:r>
      <w:r w:rsidRPr="00D668EC">
        <w:rPr>
          <w:rFonts w:ascii="Arial" w:eastAsia="MS Mincho" w:hAnsi="Arial" w:hint="eastAsia"/>
        </w:rPr>
        <w:t xml:space="preserve">low RLC may be composed of </w:t>
      </w:r>
      <w:r>
        <w:rPr>
          <w:rFonts w:ascii="Arial" w:eastAsia="MS Mincho" w:hAnsi="Arial" w:hint="eastAsia"/>
        </w:rPr>
        <w:t>segmentation;</w:t>
      </w:r>
      <w:r w:rsidRPr="00D668EC">
        <w:rPr>
          <w:rFonts w:ascii="Arial" w:eastAsia="MS Mincho" w:hAnsi="Arial" w:hint="eastAsia"/>
        </w:rPr>
        <w:t xml:space="preserve"> while</w:t>
      </w:r>
      <w:r w:rsidRPr="00D668EC">
        <w:rPr>
          <w:rFonts w:ascii="Arial" w:eastAsia="MS Mincho" w:hAnsi="Arial"/>
        </w:rPr>
        <w:t xml:space="preserve"> h</w:t>
      </w:r>
      <w:r w:rsidRPr="00D668EC">
        <w:rPr>
          <w:rFonts w:ascii="Arial" w:eastAsia="MS Mincho" w:hAnsi="Arial" w:hint="eastAsia"/>
        </w:rPr>
        <w:t xml:space="preserve">igh RLC may be composed of ARQ and re-ordering. </w:t>
      </w:r>
      <w:r w:rsidRPr="00D668EC">
        <w:rPr>
          <w:rFonts w:ascii="Arial" w:eastAsia="MS Mincho" w:hAnsi="Arial"/>
        </w:rPr>
        <w:t>It doesn’t require RLC re-establishment, so that RLC PDUs on the source path can be re-transmitted through ARQ retransmission over the target path.</w:t>
      </w:r>
      <w:r>
        <w:rPr>
          <w:rFonts w:ascii="Arial" w:eastAsia="MS Mincho" w:hAnsi="Arial"/>
        </w:rPr>
        <w:t xml:space="preserve"> </w:t>
      </w:r>
    </w:p>
    <w:p w14:paraId="6106D259" w14:textId="77777777" w:rsidR="001A06F1" w:rsidRDefault="001A06F1" w:rsidP="001A06F1">
      <w:pPr>
        <w:spacing w:before="120" w:after="120"/>
        <w:jc w:val="both"/>
        <w:rPr>
          <w:rFonts w:ascii="Arial" w:eastAsia="MS Mincho" w:hAnsi="Arial"/>
        </w:rPr>
      </w:pPr>
      <w:r w:rsidRPr="005F3E92">
        <w:rPr>
          <w:rFonts w:ascii="Arial" w:eastAsia="MS Mincho" w:hAnsi="Arial"/>
        </w:rPr>
        <w:t>For Option 3-2, low</w:t>
      </w:r>
      <w:r w:rsidRPr="005F3E92">
        <w:rPr>
          <w:rFonts w:ascii="Arial" w:eastAsia="MS Mincho" w:hAnsi="Arial" w:hint="eastAsia"/>
        </w:rPr>
        <w:t xml:space="preserve"> RLC may be composed of transmitting </w:t>
      </w:r>
      <w:r w:rsidRPr="005F3E92">
        <w:rPr>
          <w:rFonts w:ascii="Arial" w:eastAsia="MS Mincho" w:hAnsi="Arial"/>
        </w:rPr>
        <w:t xml:space="preserve">or transmitting side of a </w:t>
      </w:r>
      <w:r w:rsidRPr="005F3E92">
        <w:rPr>
          <w:rFonts w:ascii="Arial" w:eastAsia="MS Mincho" w:hAnsi="Arial" w:hint="eastAsia"/>
        </w:rPr>
        <w:t>RLC entity, the routing function</w:t>
      </w:r>
      <w:r w:rsidRPr="005F3E92">
        <w:rPr>
          <w:rFonts w:ascii="Arial" w:eastAsia="MS Mincho" w:hAnsi="Arial"/>
        </w:rPr>
        <w:t xml:space="preserve"> and reception of RLC status report; while high</w:t>
      </w:r>
      <w:r w:rsidRPr="005F3E92">
        <w:rPr>
          <w:rFonts w:ascii="Arial" w:eastAsia="MS Mincho" w:hAnsi="Arial" w:hint="eastAsia"/>
        </w:rPr>
        <w:t xml:space="preserve"> RLC may be composed of receiving </w:t>
      </w:r>
      <w:r w:rsidRPr="005F3E92">
        <w:rPr>
          <w:rFonts w:ascii="Arial" w:eastAsia="MS Mincho" w:hAnsi="Arial"/>
        </w:rPr>
        <w:t xml:space="preserve">or receiving side of a </w:t>
      </w:r>
      <w:r w:rsidRPr="005F3E92">
        <w:rPr>
          <w:rFonts w:ascii="Arial" w:eastAsia="MS Mincho" w:hAnsi="Arial" w:hint="eastAsia"/>
        </w:rPr>
        <w:t>RLC entity</w:t>
      </w:r>
      <w:r w:rsidRPr="005F3E92">
        <w:rPr>
          <w:rFonts w:ascii="Arial" w:eastAsia="MS Mincho" w:hAnsi="Arial"/>
        </w:rPr>
        <w:t>. It is possible that only re-establish low RLC e.g. transmitting RLC entity and not re-establish high</w:t>
      </w:r>
      <w:r>
        <w:rPr>
          <w:rFonts w:ascii="Arial" w:eastAsia="MS Mincho" w:hAnsi="Arial"/>
        </w:rPr>
        <w:t xml:space="preserve"> RLC e.g. receiving RLC entity for optimization. However, </w:t>
      </w:r>
      <w:r w:rsidRPr="005F3E92">
        <w:rPr>
          <w:rFonts w:ascii="Arial" w:eastAsia="MS Mincho" w:hAnsi="Arial"/>
        </w:rPr>
        <w:t xml:space="preserve">we don’t support partial RLC re-establishment currently. </w:t>
      </w:r>
    </w:p>
    <w:p w14:paraId="5DC08303" w14:textId="77777777" w:rsidR="001A06F1" w:rsidRPr="005F3E92" w:rsidRDefault="001A06F1" w:rsidP="001A06F1">
      <w:pPr>
        <w:spacing w:before="120" w:after="120"/>
        <w:jc w:val="both"/>
        <w:rPr>
          <w:rFonts w:ascii="Arial" w:eastAsia="MS Mincho" w:hAnsi="Arial"/>
        </w:rPr>
      </w:pPr>
      <w:r>
        <w:rPr>
          <w:rFonts w:ascii="Arial" w:eastAsia="MS Mincho" w:hAnsi="Arial"/>
        </w:rPr>
        <w:t>For Option 4, s</w:t>
      </w:r>
      <w:r w:rsidRPr="005F3E92">
        <w:rPr>
          <w:rFonts w:ascii="Arial" w:eastAsia="MS Mincho" w:hAnsi="Arial"/>
        </w:rPr>
        <w:t>ince the benefits of this option is not justified up to now, it is questionable whether this option will be used or not.</w:t>
      </w:r>
    </w:p>
    <w:p w14:paraId="3D6EEC65" w14:textId="77777777" w:rsidR="001A06F1" w:rsidRDefault="001A06F1" w:rsidP="001A06F1">
      <w:pPr>
        <w:spacing w:before="120" w:after="120"/>
        <w:jc w:val="both"/>
        <w:rPr>
          <w:rFonts w:ascii="Arial" w:eastAsia="MS Mincho" w:hAnsi="Arial"/>
        </w:rPr>
      </w:pPr>
      <w:r>
        <w:rPr>
          <w:rFonts w:ascii="Arial" w:eastAsia="MS Mincho" w:hAnsi="Arial"/>
        </w:rPr>
        <w:t xml:space="preserve">For other options, UE movements between different DUs doesn’t involve RRC, which can be handled by MAC layer through scheduling, e.g. beam management. </w:t>
      </w:r>
    </w:p>
    <w:p w14:paraId="636FC484" w14:textId="77777777" w:rsidR="001A06F1" w:rsidRDefault="001A06F1" w:rsidP="001A06F1">
      <w:pPr>
        <w:spacing w:before="120" w:after="120"/>
        <w:jc w:val="both"/>
        <w:rPr>
          <w:rFonts w:ascii="Arial" w:eastAsia="MS Mincho" w:hAnsi="Arial"/>
          <w:b/>
        </w:rPr>
      </w:pPr>
      <w:r w:rsidRPr="00E208DF">
        <w:rPr>
          <w:rFonts w:ascii="Arial" w:eastAsia="MS Mincho" w:hAnsi="Arial"/>
          <w:b/>
        </w:rPr>
        <w:t xml:space="preserve">Observation 1: For non-centralised deployment and </w:t>
      </w:r>
      <w:r>
        <w:rPr>
          <w:rFonts w:ascii="Arial" w:eastAsia="MS Mincho" w:hAnsi="Arial"/>
          <w:b/>
        </w:rPr>
        <w:t>O</w:t>
      </w:r>
      <w:r w:rsidRPr="00E208DF">
        <w:rPr>
          <w:rFonts w:ascii="Arial" w:eastAsia="MS Mincho" w:hAnsi="Arial"/>
          <w:b/>
        </w:rPr>
        <w:t>ption 1,</w:t>
      </w:r>
      <w:r>
        <w:rPr>
          <w:rFonts w:ascii="Arial" w:eastAsia="MS Mincho" w:hAnsi="Arial"/>
          <w:b/>
        </w:rPr>
        <w:t xml:space="preserve"> </w:t>
      </w:r>
      <w:r w:rsidRPr="00E208DF">
        <w:rPr>
          <w:rFonts w:ascii="Arial" w:eastAsia="MS Mincho" w:hAnsi="Arial"/>
          <w:b/>
        </w:rPr>
        <w:t>2</w:t>
      </w:r>
      <w:r>
        <w:rPr>
          <w:rFonts w:ascii="Arial" w:eastAsia="MS Mincho" w:hAnsi="Arial"/>
          <w:b/>
        </w:rPr>
        <w:t xml:space="preserve">, </w:t>
      </w:r>
      <w:r w:rsidRPr="00E208DF">
        <w:rPr>
          <w:rFonts w:ascii="Arial" w:eastAsia="MS Mincho" w:hAnsi="Arial"/>
          <w:b/>
        </w:rPr>
        <w:t>3-2 in centralised deployment, RLC is re-established in RRC involved HO.</w:t>
      </w:r>
    </w:p>
    <w:p w14:paraId="51D2F663" w14:textId="77777777" w:rsidR="001A06F1" w:rsidRDefault="001A06F1" w:rsidP="001A06F1">
      <w:pPr>
        <w:spacing w:before="120" w:after="120"/>
        <w:jc w:val="both"/>
        <w:rPr>
          <w:rFonts w:ascii="Arial" w:eastAsia="MS Mincho" w:hAnsi="Arial"/>
          <w:b/>
        </w:rPr>
      </w:pPr>
      <w:r>
        <w:rPr>
          <w:rFonts w:ascii="Arial" w:eastAsia="MS Mincho" w:hAnsi="Arial"/>
          <w:b/>
        </w:rPr>
        <w:lastRenderedPageBreak/>
        <w:t>Observation 2: For Option 3-1 in centralised deployment, RLC is not re-established in RRC involved HO.</w:t>
      </w:r>
    </w:p>
    <w:p w14:paraId="2543062A" w14:textId="77777777" w:rsidR="001A06F1" w:rsidRPr="00E208DF" w:rsidRDefault="001A06F1" w:rsidP="001A06F1">
      <w:pPr>
        <w:spacing w:before="120" w:after="120"/>
        <w:jc w:val="both"/>
        <w:rPr>
          <w:rFonts w:ascii="Arial" w:eastAsia="MS Mincho" w:hAnsi="Arial"/>
        </w:rPr>
      </w:pPr>
      <w:r w:rsidRPr="00E208DF">
        <w:rPr>
          <w:rFonts w:ascii="Arial" w:eastAsia="MS Mincho" w:hAnsi="Arial"/>
        </w:rPr>
        <w:t>Considering</w:t>
      </w:r>
      <w:r>
        <w:rPr>
          <w:rFonts w:ascii="Arial" w:eastAsia="MS Mincho" w:hAnsi="Arial"/>
        </w:rPr>
        <w:t xml:space="preserve"> RLC re-establishment is required for RRC involved HO</w:t>
      </w:r>
      <w:r w:rsidRPr="00E208DF">
        <w:rPr>
          <w:rFonts w:ascii="Arial" w:eastAsia="MS Mincho" w:hAnsi="Arial"/>
        </w:rPr>
        <w:t xml:space="preserve"> </w:t>
      </w:r>
      <w:r>
        <w:rPr>
          <w:rFonts w:ascii="Arial" w:eastAsia="MS Mincho" w:hAnsi="Arial"/>
        </w:rPr>
        <w:t xml:space="preserve">for majority of the RAN architectures, RRC involved HO with RLC re-establishment should be supported. </w:t>
      </w:r>
    </w:p>
    <w:p w14:paraId="175036B4" w14:textId="77777777" w:rsidR="001A06F1" w:rsidRPr="00E208DF" w:rsidRDefault="001A06F1" w:rsidP="001A06F1">
      <w:pPr>
        <w:spacing w:before="120" w:after="120"/>
        <w:jc w:val="both"/>
        <w:rPr>
          <w:rFonts w:ascii="Arial" w:eastAsia="MS Mincho" w:hAnsi="Arial"/>
          <w:b/>
        </w:rPr>
      </w:pPr>
      <w:r w:rsidRPr="00E208DF">
        <w:rPr>
          <w:rFonts w:ascii="Arial" w:eastAsia="MS Mincho" w:hAnsi="Arial"/>
          <w:b/>
        </w:rPr>
        <w:t>Proposal</w:t>
      </w:r>
      <w:r>
        <w:rPr>
          <w:rFonts w:ascii="Arial" w:eastAsia="MS Mincho" w:hAnsi="Arial"/>
          <w:b/>
        </w:rPr>
        <w:t xml:space="preserve"> 1</w:t>
      </w:r>
      <w:r w:rsidRPr="00E208DF">
        <w:rPr>
          <w:rFonts w:ascii="Arial" w:eastAsia="MS Mincho" w:hAnsi="Arial"/>
          <w:b/>
        </w:rPr>
        <w:t>: RLC re-establishment is supported in RRC involved HO.</w:t>
      </w:r>
    </w:p>
    <w:p w14:paraId="7B4F48C4" w14:textId="77777777" w:rsidR="001A06F1" w:rsidRPr="00E208DF" w:rsidRDefault="001A06F1" w:rsidP="001A06F1">
      <w:pPr>
        <w:pStyle w:val="Heading2"/>
        <w:jc w:val="both"/>
      </w:pPr>
      <w:r w:rsidRPr="00E208DF">
        <w:t xml:space="preserve">2.2 </w:t>
      </w:r>
      <w:r>
        <w:t>Relationship between Cell and gNB</w:t>
      </w:r>
    </w:p>
    <w:p w14:paraId="2BA77BF1" w14:textId="77777777" w:rsidR="001A06F1" w:rsidRDefault="001A06F1" w:rsidP="001A06F1">
      <w:pPr>
        <w:spacing w:before="120" w:after="120"/>
        <w:jc w:val="both"/>
        <w:rPr>
          <w:rFonts w:ascii="Arial" w:eastAsia="MS Mincho" w:hAnsi="Arial"/>
        </w:rPr>
      </w:pPr>
      <w:r>
        <w:rPr>
          <w:rFonts w:ascii="Arial" w:eastAsia="MS Mincho" w:hAnsi="Arial"/>
        </w:rPr>
        <w:t xml:space="preserve"> Due to the potentially modified RAN architecture in NR, the definition of cell as well as the relationship between cell and gNB or CU/DU need to be clarified. In our understanding, the ‘cell’ definition is highly related to the location of MAC entity in different CU/DU functional split options. Based on the discussion during the last RAN2 meeting, following three options for the relationship between NR cell and MAC entity are identified. </w:t>
      </w:r>
    </w:p>
    <w:p w14:paraId="534AA664" w14:textId="77777777" w:rsidR="001A06F1" w:rsidRPr="007E3CC5" w:rsidRDefault="001A06F1" w:rsidP="001A06F1">
      <w:pPr>
        <w:pStyle w:val="ListParagraph"/>
        <w:numPr>
          <w:ilvl w:val="0"/>
          <w:numId w:val="3"/>
        </w:numPr>
        <w:spacing w:after="160" w:line="259" w:lineRule="auto"/>
        <w:contextualSpacing/>
        <w:rPr>
          <w:rFonts w:ascii="Arial" w:eastAsia="MS Mincho" w:hAnsi="Arial"/>
          <w:sz w:val="20"/>
          <w:szCs w:val="20"/>
        </w:rPr>
      </w:pPr>
      <w:r w:rsidRPr="007E3CC5">
        <w:rPr>
          <w:rFonts w:ascii="Arial" w:eastAsia="MS Mincho" w:hAnsi="Arial"/>
          <w:sz w:val="20"/>
          <w:szCs w:val="20"/>
        </w:rPr>
        <w:t xml:space="preserve">Option </w:t>
      </w:r>
      <w:r>
        <w:rPr>
          <w:rFonts w:ascii="Arial" w:eastAsia="MS Mincho" w:hAnsi="Arial"/>
          <w:sz w:val="20"/>
          <w:szCs w:val="20"/>
        </w:rPr>
        <w:t>A</w:t>
      </w:r>
      <w:r w:rsidRPr="007E3CC5">
        <w:rPr>
          <w:rFonts w:ascii="Arial" w:eastAsia="MS Mincho" w:hAnsi="Arial"/>
          <w:sz w:val="20"/>
          <w:szCs w:val="20"/>
        </w:rPr>
        <w:t xml:space="preserve">: </w:t>
      </w:r>
      <w:r>
        <w:rPr>
          <w:rFonts w:ascii="Arial" w:eastAsia="MS Mincho" w:hAnsi="Arial"/>
          <w:sz w:val="20"/>
          <w:szCs w:val="20"/>
        </w:rPr>
        <w:t>Multiple cells</w:t>
      </w:r>
      <w:r w:rsidRPr="007E3CC5">
        <w:rPr>
          <w:rFonts w:ascii="Arial" w:eastAsia="MS Mincho" w:hAnsi="Arial"/>
          <w:sz w:val="20"/>
          <w:szCs w:val="20"/>
        </w:rPr>
        <w:t xml:space="preserve"> </w:t>
      </w:r>
      <w:r>
        <w:rPr>
          <w:rFonts w:ascii="Arial" w:eastAsia="MS Mincho" w:hAnsi="Arial"/>
          <w:sz w:val="20"/>
          <w:szCs w:val="20"/>
        </w:rPr>
        <w:t>to</w:t>
      </w:r>
      <w:r w:rsidRPr="007E3CC5">
        <w:rPr>
          <w:rFonts w:ascii="Arial" w:eastAsia="MS Mincho" w:hAnsi="Arial"/>
          <w:sz w:val="20"/>
          <w:szCs w:val="20"/>
        </w:rPr>
        <w:t xml:space="preserve"> one MAC entity</w:t>
      </w:r>
    </w:p>
    <w:p w14:paraId="71DE1BFF" w14:textId="77777777" w:rsidR="001A06F1" w:rsidRPr="007E3CC5" w:rsidRDefault="001A06F1" w:rsidP="001A06F1">
      <w:pPr>
        <w:pStyle w:val="ListParagraph"/>
        <w:numPr>
          <w:ilvl w:val="0"/>
          <w:numId w:val="3"/>
        </w:numPr>
        <w:spacing w:after="160" w:line="259" w:lineRule="auto"/>
        <w:contextualSpacing/>
        <w:rPr>
          <w:rFonts w:ascii="Arial" w:eastAsia="MS Mincho" w:hAnsi="Arial"/>
          <w:sz w:val="20"/>
          <w:szCs w:val="20"/>
        </w:rPr>
      </w:pPr>
      <w:r>
        <w:rPr>
          <w:rFonts w:ascii="Arial" w:eastAsia="MS Mincho" w:hAnsi="Arial"/>
          <w:sz w:val="20"/>
          <w:szCs w:val="20"/>
        </w:rPr>
        <w:t>Option B</w:t>
      </w:r>
      <w:r w:rsidRPr="007E3CC5">
        <w:rPr>
          <w:rFonts w:ascii="Arial" w:eastAsia="MS Mincho" w:hAnsi="Arial"/>
          <w:sz w:val="20"/>
          <w:szCs w:val="20"/>
        </w:rPr>
        <w:t xml:space="preserve">: one cell to </w:t>
      </w:r>
      <w:r>
        <w:rPr>
          <w:rFonts w:ascii="Arial" w:eastAsia="MS Mincho" w:hAnsi="Arial"/>
          <w:sz w:val="20"/>
          <w:szCs w:val="20"/>
        </w:rPr>
        <w:t>multiple</w:t>
      </w:r>
      <w:r w:rsidRPr="007E3CC5">
        <w:rPr>
          <w:rFonts w:ascii="Arial" w:eastAsia="MS Mincho" w:hAnsi="Arial"/>
          <w:sz w:val="20"/>
          <w:szCs w:val="20"/>
        </w:rPr>
        <w:t xml:space="preserve"> MAC entities</w:t>
      </w:r>
    </w:p>
    <w:p w14:paraId="70E50563" w14:textId="77777777" w:rsidR="001A06F1" w:rsidRDefault="001A06F1" w:rsidP="001A06F1">
      <w:pPr>
        <w:pStyle w:val="ListParagraph"/>
        <w:numPr>
          <w:ilvl w:val="0"/>
          <w:numId w:val="3"/>
        </w:numPr>
        <w:spacing w:after="160" w:line="259" w:lineRule="auto"/>
        <w:contextualSpacing/>
        <w:rPr>
          <w:rFonts w:ascii="Arial" w:eastAsia="MS Mincho" w:hAnsi="Arial"/>
          <w:sz w:val="20"/>
          <w:szCs w:val="20"/>
        </w:rPr>
      </w:pPr>
      <w:r>
        <w:rPr>
          <w:rFonts w:ascii="Arial" w:eastAsia="MS Mincho" w:hAnsi="Arial"/>
          <w:sz w:val="20"/>
          <w:szCs w:val="20"/>
        </w:rPr>
        <w:t>Option C</w:t>
      </w:r>
      <w:r w:rsidRPr="007E3CC5">
        <w:rPr>
          <w:rFonts w:ascii="Arial" w:eastAsia="MS Mincho" w:hAnsi="Arial"/>
          <w:sz w:val="20"/>
          <w:szCs w:val="20"/>
        </w:rPr>
        <w:t xml:space="preserve">: One cell </w:t>
      </w:r>
      <w:r>
        <w:rPr>
          <w:rFonts w:ascii="Arial" w:eastAsia="MS Mincho" w:hAnsi="Arial"/>
          <w:sz w:val="20"/>
          <w:szCs w:val="20"/>
        </w:rPr>
        <w:t>to one</w:t>
      </w:r>
      <w:r w:rsidRPr="007E3CC5">
        <w:rPr>
          <w:rFonts w:ascii="Arial" w:eastAsia="MS Mincho" w:hAnsi="Arial"/>
          <w:sz w:val="20"/>
          <w:szCs w:val="20"/>
        </w:rPr>
        <w:t xml:space="preserve"> MAC</w:t>
      </w:r>
      <w:r>
        <w:rPr>
          <w:rFonts w:ascii="Arial" w:eastAsia="MS Mincho" w:hAnsi="Arial"/>
          <w:sz w:val="20"/>
          <w:szCs w:val="20"/>
        </w:rPr>
        <w:t xml:space="preserve"> entity</w:t>
      </w:r>
    </w:p>
    <w:p w14:paraId="1D0C9BA1" w14:textId="77777777" w:rsidR="001A06F1" w:rsidRDefault="001A06F1" w:rsidP="001A06F1">
      <w:pPr>
        <w:spacing w:after="160" w:line="259" w:lineRule="auto"/>
        <w:contextualSpacing/>
        <w:rPr>
          <w:rFonts w:ascii="Arial" w:eastAsia="MS Mincho" w:hAnsi="Arial"/>
        </w:rPr>
      </w:pPr>
      <w:r w:rsidRPr="007E3CC5">
        <w:rPr>
          <w:rFonts w:ascii="Arial" w:eastAsia="MS Mincho" w:hAnsi="Arial"/>
          <w:lang w:val="en-US"/>
        </w:rPr>
        <w:object w:dxaOrig="6041" w:dyaOrig="4968" w14:anchorId="33C67BBC">
          <v:shape id="_x0000_i1032" type="#_x0000_t75" style="width:161.25pt;height:125.25pt" o:ole="">
            <v:imagedata r:id="rId21" o:title=""/>
          </v:shape>
          <o:OLEObject Type="Embed" ProgID="Visio.Drawing.11" ShapeID="_x0000_i1032" DrawAspect="Content" ObjectID="_1545234032" r:id="rId22"/>
        </w:object>
      </w:r>
      <w:r w:rsidRPr="007E3CC5">
        <w:rPr>
          <w:rFonts w:asciiTheme="minorHAnsi" w:eastAsiaTheme="minorEastAsia" w:hAnsiTheme="minorHAnsi" w:cstheme="minorBidi"/>
          <w:sz w:val="22"/>
          <w:szCs w:val="22"/>
          <w:lang w:val="en-US" w:eastAsia="zh-CN"/>
        </w:rPr>
        <w:t xml:space="preserve"> </w:t>
      </w:r>
      <w:r w:rsidRPr="007E3CC5">
        <w:rPr>
          <w:rFonts w:ascii="Arial" w:eastAsia="MS Mincho" w:hAnsi="Arial"/>
          <w:lang w:val="en-US"/>
        </w:rPr>
        <w:object w:dxaOrig="7935" w:dyaOrig="4774" w14:anchorId="6085BC07">
          <v:shape id="_x0000_i1033" type="#_x0000_t75" style="width:189pt;height:113.25pt" o:ole="">
            <v:imagedata r:id="rId23" o:title=""/>
          </v:shape>
          <o:OLEObject Type="Embed" ProgID="Visio.Drawing.11" ShapeID="_x0000_i1033" DrawAspect="Content" ObjectID="_1545234033" r:id="rId24"/>
        </w:object>
      </w:r>
      <w:r w:rsidRPr="007E3CC5">
        <w:rPr>
          <w:rFonts w:ascii="Arial" w:eastAsia="MS Mincho" w:hAnsi="Arial"/>
          <w:lang w:val="en-US"/>
        </w:rPr>
        <w:object w:dxaOrig="6485" w:dyaOrig="4351" w14:anchorId="058B457E">
          <v:shape id="_x0000_i1034" type="#_x0000_t75" style="width:165.75pt;height:120pt" o:ole="">
            <v:imagedata r:id="rId25" o:title=""/>
          </v:shape>
          <o:OLEObject Type="Embed" ProgID="Visio.Drawing.11" ShapeID="_x0000_i1034" DrawAspect="Content" ObjectID="_1545234034" r:id="rId26"/>
        </w:object>
      </w:r>
    </w:p>
    <w:p w14:paraId="07BB424A" w14:textId="77777777" w:rsidR="001A06F1" w:rsidRPr="007E3CC5" w:rsidRDefault="001A06F1" w:rsidP="001A06F1">
      <w:pPr>
        <w:spacing w:after="160" w:line="259" w:lineRule="auto"/>
        <w:contextualSpacing/>
        <w:rPr>
          <w:rFonts w:ascii="Arial" w:eastAsia="MS Mincho" w:hAnsi="Arial"/>
        </w:rPr>
      </w:pPr>
      <w:r>
        <w:rPr>
          <w:rFonts w:ascii="Arial" w:eastAsia="MS Mincho" w:hAnsi="Arial"/>
        </w:rPr>
        <w:t xml:space="preserve">                        Option A                                              Option B                                                    Option C</w:t>
      </w:r>
    </w:p>
    <w:p w14:paraId="35EAB958" w14:textId="77777777" w:rsidR="001A06F1" w:rsidRDefault="001A06F1" w:rsidP="001A06F1">
      <w:pPr>
        <w:spacing w:before="120" w:after="120"/>
        <w:jc w:val="both"/>
        <w:rPr>
          <w:rFonts w:ascii="Arial" w:eastAsia="MS Mincho" w:hAnsi="Arial"/>
        </w:rPr>
      </w:pPr>
    </w:p>
    <w:p w14:paraId="08D5421C" w14:textId="77777777" w:rsidR="001A06F1" w:rsidRPr="00083AB6" w:rsidRDefault="001A06F1" w:rsidP="001A06F1">
      <w:pPr>
        <w:spacing w:before="120" w:after="120"/>
        <w:jc w:val="both"/>
        <w:rPr>
          <w:rFonts w:ascii="Arial" w:eastAsia="MS Mincho" w:hAnsi="Arial"/>
        </w:rPr>
      </w:pPr>
      <w:r w:rsidRPr="00083AB6">
        <w:rPr>
          <w:rFonts w:ascii="Arial" w:eastAsia="MS Mincho" w:hAnsi="Arial"/>
        </w:rPr>
        <w:t xml:space="preserve">Option </w:t>
      </w:r>
      <w:r>
        <w:rPr>
          <w:rFonts w:ascii="Arial" w:eastAsia="MS Mincho" w:hAnsi="Arial"/>
        </w:rPr>
        <w:t>A</w:t>
      </w:r>
      <w:r w:rsidRPr="00083AB6">
        <w:rPr>
          <w:rFonts w:ascii="Arial" w:eastAsia="MS Mincho" w:hAnsi="Arial"/>
        </w:rPr>
        <w:t xml:space="preserve"> is </w:t>
      </w:r>
      <w:r>
        <w:rPr>
          <w:rFonts w:ascii="Arial" w:eastAsia="MS Mincho" w:hAnsi="Arial"/>
        </w:rPr>
        <w:t>similar to the implementation</w:t>
      </w:r>
      <w:r w:rsidRPr="00083AB6">
        <w:rPr>
          <w:rFonts w:ascii="Arial" w:eastAsia="MS Mincho" w:hAnsi="Arial"/>
        </w:rPr>
        <w:t xml:space="preserve"> in current LTE, where more cells </w:t>
      </w:r>
      <w:r>
        <w:rPr>
          <w:rFonts w:ascii="Arial" w:eastAsia="MS Mincho" w:hAnsi="Arial"/>
        </w:rPr>
        <w:t>corresponds</w:t>
      </w:r>
      <w:r w:rsidRPr="00083AB6">
        <w:rPr>
          <w:rFonts w:ascii="Arial" w:eastAsia="MS Mincho" w:hAnsi="Arial"/>
        </w:rPr>
        <w:t xml:space="preserve"> to one MAC entity from the network aspect. Different eNB provides coverage through sectors and each sector is considered as a cell. One reason is that there is only one level of physical ID detectable by UE, which is the PCI. So different sectors are identified by the physical cell ID.</w:t>
      </w:r>
    </w:p>
    <w:p w14:paraId="7855D72D" w14:textId="77777777" w:rsidR="001A06F1" w:rsidRPr="00083AB6" w:rsidRDefault="001A06F1" w:rsidP="001A06F1">
      <w:pPr>
        <w:spacing w:before="120" w:after="120"/>
        <w:jc w:val="both"/>
        <w:rPr>
          <w:rFonts w:ascii="Arial" w:eastAsia="MS Mincho" w:hAnsi="Arial"/>
        </w:rPr>
      </w:pPr>
      <w:r w:rsidRPr="00083AB6">
        <w:rPr>
          <w:rFonts w:ascii="Arial" w:eastAsia="MS Mincho" w:hAnsi="Arial"/>
        </w:rPr>
        <w:t>When UE moves among different sectors from the same eNB, intra-</w:t>
      </w:r>
      <w:r>
        <w:rPr>
          <w:rFonts w:ascii="Arial" w:eastAsia="MS Mincho" w:hAnsi="Arial"/>
        </w:rPr>
        <w:t>g</w:t>
      </w:r>
      <w:r w:rsidRPr="00083AB6">
        <w:rPr>
          <w:rFonts w:ascii="Arial" w:eastAsia="MS Mincho" w:hAnsi="Arial"/>
        </w:rPr>
        <w:t>NB HO is performed. Unified HO procedure is designed for inter-eNB and intra-eNB HO, which simplifies both standardization and implementation complexity. However, the drawbacks is that security key change, PDCP/RLC re-establishment and MAC reset are also performed for intra-eNB HO, which is actually not needed for intra-eNB HO to reduce the HO interruption .</w:t>
      </w:r>
    </w:p>
    <w:p w14:paraId="102CE398" w14:textId="77777777" w:rsidR="001A06F1" w:rsidRPr="00083AB6" w:rsidRDefault="001A06F1" w:rsidP="001A06F1">
      <w:pPr>
        <w:spacing w:before="120" w:after="120"/>
        <w:jc w:val="both"/>
        <w:rPr>
          <w:rFonts w:ascii="Arial" w:eastAsia="MS Mincho" w:hAnsi="Arial"/>
        </w:rPr>
      </w:pPr>
      <w:r w:rsidRPr="00083AB6">
        <w:rPr>
          <w:rFonts w:ascii="Arial" w:eastAsia="MS Mincho" w:hAnsi="Arial"/>
        </w:rPr>
        <w:t>In NR, different from LTE, besides physical cell ID, another physical</w:t>
      </w:r>
      <w:r>
        <w:rPr>
          <w:rFonts w:ascii="Arial" w:eastAsia="MS Mincho" w:hAnsi="Arial"/>
        </w:rPr>
        <w:t>-layer</w:t>
      </w:r>
      <w:r w:rsidRPr="00083AB6">
        <w:rPr>
          <w:rFonts w:ascii="Arial" w:eastAsia="MS Mincho" w:hAnsi="Arial"/>
        </w:rPr>
        <w:t xml:space="preserve"> ID, i.e. beam ID can also be detected by UE. Different sectors or even omi-directional beam can be identified by the beam ID. When UE moves between different beams of the same MAC, PDCP/RLC re-establishment and MAC reset can be avoided.  </w:t>
      </w:r>
    </w:p>
    <w:p w14:paraId="2523F6A4" w14:textId="77777777"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3:</w:t>
      </w:r>
      <w:r>
        <w:rPr>
          <w:rFonts w:ascii="Arial" w:eastAsia="MS Mincho" w:hAnsi="Arial"/>
          <w:b/>
        </w:rPr>
        <w:t xml:space="preserve"> In option A with multiple cells to one MAC entity, cell-level mobility doesn’t necessarily require RRC involvement with</w:t>
      </w:r>
      <w:r w:rsidRPr="0074712F">
        <w:rPr>
          <w:rFonts w:ascii="Arial" w:eastAsia="MS Mincho" w:hAnsi="Arial"/>
          <w:b/>
        </w:rPr>
        <w:t xml:space="preserve"> PDCP/RLC</w:t>
      </w:r>
      <w:r>
        <w:rPr>
          <w:rFonts w:ascii="Arial" w:eastAsia="MS Mincho" w:hAnsi="Arial"/>
          <w:b/>
        </w:rPr>
        <w:t xml:space="preserve"> re-establishment and MAC reset.</w:t>
      </w:r>
    </w:p>
    <w:p w14:paraId="6FB9C2CC" w14:textId="77777777" w:rsidR="001A06F1" w:rsidRPr="0074712F" w:rsidRDefault="001A06F1" w:rsidP="001A06F1">
      <w:pPr>
        <w:spacing w:before="120" w:after="120"/>
        <w:jc w:val="both"/>
        <w:rPr>
          <w:rFonts w:ascii="Arial" w:eastAsia="MS Mincho" w:hAnsi="Arial"/>
        </w:rPr>
      </w:pPr>
      <w:r w:rsidRPr="0074712F">
        <w:rPr>
          <w:rFonts w:ascii="Arial" w:eastAsia="MS Mincho" w:hAnsi="Arial"/>
        </w:rPr>
        <w:t xml:space="preserve">For option B, a cell </w:t>
      </w:r>
      <w:r>
        <w:rPr>
          <w:rFonts w:ascii="Arial" w:eastAsia="MS Mincho" w:hAnsi="Arial"/>
        </w:rPr>
        <w:t>corresponds</w:t>
      </w:r>
      <w:r w:rsidRPr="0074712F">
        <w:rPr>
          <w:rFonts w:ascii="Arial" w:eastAsia="MS Mincho" w:hAnsi="Arial"/>
        </w:rPr>
        <w:t xml:space="preserve"> to one gNB, which may be associated to multiple (non-collocated) MAC entities. MAC reset is performed when UE moves between different DUs. So the beams from the same MAC entity and those from other MAC entities will not be equivalent, considering the potential interruption due to MAC reset and RLC re-establishment. So UE should be tried to be kept within the same MAC entity. </w:t>
      </w:r>
    </w:p>
    <w:p w14:paraId="4473086A" w14:textId="77777777" w:rsidR="001A06F1" w:rsidRPr="0074712F" w:rsidRDefault="001A06F1" w:rsidP="001A06F1">
      <w:pPr>
        <w:spacing w:before="120" w:after="120"/>
        <w:jc w:val="both"/>
        <w:rPr>
          <w:rFonts w:ascii="Arial" w:eastAsia="MS Mincho" w:hAnsi="Arial"/>
          <w:lang w:val="en-US"/>
        </w:rPr>
      </w:pPr>
      <w:r w:rsidRPr="0074712F">
        <w:rPr>
          <w:rFonts w:ascii="Arial" w:eastAsia="MS Mincho" w:hAnsi="Arial"/>
        </w:rPr>
        <w:t xml:space="preserve">Considering beam management is targeting to support UE mobility without interruption over lower layer, e.g. MAC/PHY, UE mobility between different </w:t>
      </w:r>
      <w:r>
        <w:rPr>
          <w:rFonts w:ascii="Arial" w:eastAsia="MS Mincho" w:hAnsi="Arial"/>
        </w:rPr>
        <w:t>beams</w:t>
      </w:r>
      <w:r w:rsidRPr="0074712F">
        <w:rPr>
          <w:rFonts w:ascii="Arial" w:eastAsia="MS Mincho" w:hAnsi="Arial"/>
        </w:rPr>
        <w:t xml:space="preserve"> </w:t>
      </w:r>
      <w:r>
        <w:rPr>
          <w:rFonts w:ascii="Arial" w:eastAsia="MS Mincho" w:hAnsi="Arial"/>
        </w:rPr>
        <w:t>controlled by the MAC entities</w:t>
      </w:r>
      <w:r w:rsidRPr="0074712F">
        <w:rPr>
          <w:rFonts w:ascii="Arial" w:eastAsia="MS Mincho" w:hAnsi="Arial"/>
        </w:rPr>
        <w:t xml:space="preserve"> on different DUs can't be handled by beam management</w:t>
      </w:r>
      <w:r>
        <w:rPr>
          <w:rFonts w:ascii="Arial" w:eastAsia="MS Mincho" w:hAnsi="Arial"/>
        </w:rPr>
        <w:t>. It</w:t>
      </w:r>
      <w:r w:rsidRPr="0074712F">
        <w:rPr>
          <w:rFonts w:ascii="Arial" w:eastAsia="MS Mincho" w:hAnsi="Arial"/>
        </w:rPr>
        <w:t xml:space="preserve"> requir</w:t>
      </w:r>
      <w:r>
        <w:rPr>
          <w:rFonts w:ascii="Arial" w:eastAsia="MS Mincho" w:hAnsi="Arial"/>
        </w:rPr>
        <w:t>es</w:t>
      </w:r>
      <w:r w:rsidRPr="0074712F">
        <w:rPr>
          <w:rFonts w:ascii="Arial" w:eastAsia="MS Mincho" w:hAnsi="Arial"/>
        </w:rPr>
        <w:t xml:space="preserve"> RRC involvement.</w:t>
      </w:r>
      <w:r>
        <w:rPr>
          <w:rFonts w:ascii="Arial" w:eastAsia="MS Mincho" w:hAnsi="Arial"/>
        </w:rPr>
        <w:t xml:space="preserve"> So </w:t>
      </w:r>
      <w:r w:rsidRPr="0074712F">
        <w:rPr>
          <w:rFonts w:ascii="Arial" w:eastAsia="MS Mincho" w:hAnsi="Arial"/>
        </w:rPr>
        <w:t>besides cell-level mobility and beam-level mobility, another level-mobility, e.g. intra-cell inter-DU mobility may need to be supported</w:t>
      </w:r>
      <w:r>
        <w:rPr>
          <w:rFonts w:ascii="Arial" w:eastAsia="MS Mincho" w:hAnsi="Arial"/>
        </w:rPr>
        <w:t xml:space="preserve">. </w:t>
      </w:r>
    </w:p>
    <w:p w14:paraId="0C16B18A" w14:textId="2E1BF6D8"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4:</w:t>
      </w:r>
      <w:r>
        <w:rPr>
          <w:rFonts w:ascii="Arial" w:eastAsia="MS Mincho" w:hAnsi="Arial"/>
          <w:b/>
        </w:rPr>
        <w:t xml:space="preserve"> In option B with one cell containing multiple MAC entities,</w:t>
      </w:r>
      <w:r w:rsidRPr="0074712F">
        <w:rPr>
          <w:rFonts w:ascii="Arial" w:eastAsia="MS Mincho" w:hAnsi="Arial"/>
          <w:b/>
        </w:rPr>
        <w:t xml:space="preserve"> </w:t>
      </w:r>
      <w:r>
        <w:rPr>
          <w:rFonts w:ascii="Arial" w:eastAsia="MS Mincho" w:hAnsi="Arial"/>
          <w:b/>
        </w:rPr>
        <w:t xml:space="preserve">UE mobility between different beams controlled by the MAC entities on different DUs can’t be handled beam management, and additional level of mobility needs to be supported. </w:t>
      </w:r>
    </w:p>
    <w:p w14:paraId="5DA5A53E" w14:textId="77777777" w:rsidR="001A06F1" w:rsidRPr="0076674A" w:rsidRDefault="001A06F1" w:rsidP="001A06F1">
      <w:pPr>
        <w:spacing w:before="120" w:after="120"/>
        <w:jc w:val="both"/>
        <w:rPr>
          <w:rFonts w:ascii="Arial" w:eastAsia="MS Mincho" w:hAnsi="Arial"/>
        </w:rPr>
      </w:pPr>
      <w:r w:rsidRPr="0076674A">
        <w:rPr>
          <w:rFonts w:ascii="Arial" w:eastAsia="MS Mincho" w:hAnsi="Arial"/>
        </w:rPr>
        <w:t xml:space="preserve">For option C, one cell </w:t>
      </w:r>
      <w:r>
        <w:rPr>
          <w:rFonts w:ascii="Arial" w:eastAsia="MS Mincho" w:hAnsi="Arial"/>
        </w:rPr>
        <w:t>corresponds</w:t>
      </w:r>
      <w:r w:rsidRPr="0076674A">
        <w:rPr>
          <w:rFonts w:ascii="Arial" w:eastAsia="MS Mincho" w:hAnsi="Arial"/>
        </w:rPr>
        <w:t xml:space="preserve"> one MAC entity. When UE moves between different DUs, it’s considered as cell-level mobility involving RRC. When UE moves within the same cell, beam management is performed without RRC involvement. </w:t>
      </w:r>
    </w:p>
    <w:p w14:paraId="36C11883" w14:textId="106E68A5" w:rsidR="001A06F1" w:rsidRPr="0076674A" w:rsidRDefault="001A06F1" w:rsidP="001A06F1">
      <w:pPr>
        <w:spacing w:before="120" w:after="120"/>
        <w:jc w:val="both"/>
        <w:rPr>
          <w:rFonts w:ascii="Arial" w:eastAsia="MS Mincho" w:hAnsi="Arial"/>
        </w:rPr>
      </w:pPr>
      <w:r w:rsidRPr="0076674A">
        <w:rPr>
          <w:rFonts w:ascii="Arial" w:eastAsia="MS Mincho" w:hAnsi="Arial"/>
        </w:rPr>
        <w:t xml:space="preserve">Furthermore, there are two levels of physical </w:t>
      </w:r>
      <w:r>
        <w:rPr>
          <w:rFonts w:ascii="Arial" w:eastAsia="MS Mincho" w:hAnsi="Arial"/>
        </w:rPr>
        <w:t xml:space="preserve">layer </w:t>
      </w:r>
      <w:r w:rsidRPr="0076674A">
        <w:rPr>
          <w:rFonts w:ascii="Arial" w:eastAsia="MS Mincho" w:hAnsi="Arial"/>
        </w:rPr>
        <w:t xml:space="preserve">ID, one for cell and the other one is </w:t>
      </w:r>
      <w:r>
        <w:rPr>
          <w:rFonts w:ascii="Arial" w:eastAsia="MS Mincho" w:hAnsi="Arial"/>
        </w:rPr>
        <w:t xml:space="preserve">for </w:t>
      </w:r>
      <w:r w:rsidRPr="0076674A">
        <w:rPr>
          <w:rFonts w:ascii="Arial" w:eastAsia="MS Mincho" w:hAnsi="Arial"/>
        </w:rPr>
        <w:t xml:space="preserve">beam, which is visible to UE. Although different network entities may have its own ID for network deployment and organization, those IDs don’t need to be visible to UE in option </w:t>
      </w:r>
      <w:r>
        <w:rPr>
          <w:rFonts w:ascii="Arial" w:eastAsia="MS Mincho" w:hAnsi="Arial"/>
        </w:rPr>
        <w:t>C</w:t>
      </w:r>
      <w:r w:rsidRPr="0076674A">
        <w:rPr>
          <w:rFonts w:ascii="Arial" w:eastAsia="MS Mincho" w:hAnsi="Arial"/>
        </w:rPr>
        <w:t>, which simplif</w:t>
      </w:r>
      <w:r w:rsidR="003C6DA4">
        <w:rPr>
          <w:rFonts w:ascii="Arial" w:eastAsia="MS Mincho" w:hAnsi="Arial"/>
        </w:rPr>
        <w:t>ies</w:t>
      </w:r>
      <w:r w:rsidRPr="0076674A">
        <w:rPr>
          <w:rFonts w:ascii="Arial" w:eastAsia="MS Mincho" w:hAnsi="Arial"/>
        </w:rPr>
        <w:t xml:space="preserve"> the standardization. </w:t>
      </w:r>
    </w:p>
    <w:p w14:paraId="28D61D07" w14:textId="3AECC8F4" w:rsidR="001A06F1" w:rsidRPr="0076674A" w:rsidRDefault="001A06F1" w:rsidP="001A06F1">
      <w:pPr>
        <w:spacing w:before="120" w:after="120"/>
        <w:jc w:val="both"/>
        <w:rPr>
          <w:rFonts w:ascii="Arial" w:eastAsia="MS Mincho" w:hAnsi="Arial"/>
        </w:rPr>
      </w:pPr>
      <w:r w:rsidRPr="0076674A">
        <w:rPr>
          <w:rFonts w:ascii="Arial" w:eastAsia="MS Mincho" w:hAnsi="Arial"/>
        </w:rPr>
        <w:lastRenderedPageBreak/>
        <w:t>Option C not only simplifies</w:t>
      </w:r>
      <w:r>
        <w:rPr>
          <w:rFonts w:ascii="Arial" w:eastAsia="MS Mincho" w:hAnsi="Arial"/>
        </w:rPr>
        <w:t xml:space="preserve"> mobility management with two</w:t>
      </w:r>
      <w:r w:rsidRPr="0076674A">
        <w:rPr>
          <w:rFonts w:ascii="Arial" w:eastAsia="MS Mincho" w:hAnsi="Arial"/>
        </w:rPr>
        <w:t xml:space="preserve"> levels of mobility, </w:t>
      </w:r>
      <w:r>
        <w:rPr>
          <w:rFonts w:ascii="Arial" w:eastAsia="MS Mincho" w:hAnsi="Arial"/>
        </w:rPr>
        <w:t xml:space="preserve">i.e. </w:t>
      </w:r>
      <w:r w:rsidRPr="0076674A">
        <w:rPr>
          <w:rFonts w:ascii="Arial" w:eastAsia="MS Mincho" w:hAnsi="Arial"/>
        </w:rPr>
        <w:t xml:space="preserve">cell-level mobility with RRC involvement and </w:t>
      </w:r>
      <w:r>
        <w:rPr>
          <w:rFonts w:ascii="Arial" w:eastAsia="MS Mincho" w:hAnsi="Arial"/>
        </w:rPr>
        <w:t>b</w:t>
      </w:r>
      <w:r w:rsidRPr="0076674A">
        <w:rPr>
          <w:rFonts w:ascii="Arial" w:eastAsia="MS Mincho" w:hAnsi="Arial"/>
        </w:rPr>
        <w:t>eam-level mobility without RRC involvement, but also provides a unified modelling for all the potential RAN architecture</w:t>
      </w:r>
      <w:r w:rsidR="003C6DA4">
        <w:rPr>
          <w:rFonts w:ascii="Arial" w:eastAsia="MS Mincho" w:hAnsi="Arial"/>
        </w:rPr>
        <w:t>s</w:t>
      </w:r>
      <w:r w:rsidRPr="0076674A">
        <w:rPr>
          <w:rFonts w:ascii="Arial" w:eastAsia="MS Mincho" w:hAnsi="Arial"/>
        </w:rPr>
        <w:t xml:space="preserve"> with different CU/DU split options. When UE moves between different cells, it’s up to network </w:t>
      </w:r>
      <w:r w:rsidR="003C6DA4">
        <w:rPr>
          <w:rFonts w:ascii="Arial" w:eastAsia="MS Mincho" w:hAnsi="Arial"/>
        </w:rPr>
        <w:t xml:space="preserve">to decide </w:t>
      </w:r>
      <w:r w:rsidRPr="0076674A">
        <w:rPr>
          <w:rFonts w:ascii="Arial" w:eastAsia="MS Mincho" w:hAnsi="Arial"/>
        </w:rPr>
        <w:t xml:space="preserve">whether to re-establish PDCP according to its RAN architecture during the HO procedure </w:t>
      </w:r>
      <w:r w:rsidR="003C6DA4">
        <w:rPr>
          <w:rFonts w:ascii="Arial" w:eastAsia="MS Mincho" w:hAnsi="Arial"/>
        </w:rPr>
        <w:t>through i.e.</w:t>
      </w:r>
      <w:r w:rsidRPr="0076674A">
        <w:rPr>
          <w:rFonts w:ascii="Arial" w:eastAsia="MS Mincho" w:hAnsi="Arial"/>
        </w:rPr>
        <w:t xml:space="preserve"> HO command.</w:t>
      </w:r>
    </w:p>
    <w:p w14:paraId="39245B4D"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5: Option C simplifies </w:t>
      </w:r>
      <w:r>
        <w:rPr>
          <w:rFonts w:ascii="Arial" w:eastAsia="MS Mincho" w:hAnsi="Arial"/>
          <w:b/>
        </w:rPr>
        <w:t xml:space="preserve">the mobility management considering two levels of mobility, i.e. </w:t>
      </w:r>
      <w:r w:rsidRPr="0076674A">
        <w:rPr>
          <w:rFonts w:ascii="Arial" w:eastAsia="MS Mincho" w:hAnsi="Arial"/>
          <w:b/>
        </w:rPr>
        <w:t xml:space="preserve">cell-level mobility with RRC involvement and </w:t>
      </w:r>
      <w:r>
        <w:rPr>
          <w:rFonts w:ascii="Arial" w:eastAsia="MS Mincho" w:hAnsi="Arial"/>
          <w:b/>
        </w:rPr>
        <w:t>b</w:t>
      </w:r>
      <w:r w:rsidRPr="0076674A">
        <w:rPr>
          <w:rFonts w:ascii="Arial" w:eastAsia="MS Mincho" w:hAnsi="Arial"/>
          <w:b/>
        </w:rPr>
        <w:t xml:space="preserve">eam-level mobility without RRC involvement. </w:t>
      </w:r>
    </w:p>
    <w:p w14:paraId="42CF76EF"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6: Option C provides a unified </w:t>
      </w:r>
      <w:r>
        <w:rPr>
          <w:rFonts w:ascii="Arial" w:eastAsia="MS Mincho" w:hAnsi="Arial"/>
          <w:b/>
        </w:rPr>
        <w:t xml:space="preserve">mobility </w:t>
      </w:r>
      <w:r w:rsidRPr="0076674A">
        <w:rPr>
          <w:rFonts w:ascii="Arial" w:eastAsia="MS Mincho" w:hAnsi="Arial"/>
          <w:b/>
        </w:rPr>
        <w:t xml:space="preserve">modelling for all the potential RAN architecture with different CU/DU split options.  </w:t>
      </w:r>
    </w:p>
    <w:p w14:paraId="2C12801F"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Proposal 2: </w:t>
      </w:r>
      <w:r w:rsidRPr="0076674A">
        <w:rPr>
          <w:rFonts w:ascii="Arial" w:eastAsia="MS Mincho" w:hAnsi="Arial" w:hint="eastAsia"/>
          <w:b/>
        </w:rPr>
        <w:t>One</w:t>
      </w:r>
      <w:r>
        <w:rPr>
          <w:rFonts w:ascii="Arial" w:eastAsia="MS Mincho" w:hAnsi="Arial"/>
          <w:b/>
        </w:rPr>
        <w:t xml:space="preserve"> NR-</w:t>
      </w:r>
      <w:r w:rsidRPr="0076674A">
        <w:rPr>
          <w:rFonts w:ascii="Arial" w:eastAsia="MS Mincho" w:hAnsi="Arial" w:hint="eastAsia"/>
          <w:b/>
        </w:rPr>
        <w:t xml:space="preserve">cell </w:t>
      </w:r>
      <w:r>
        <w:rPr>
          <w:rFonts w:ascii="Arial" w:eastAsia="MS Mincho" w:hAnsi="Arial"/>
          <w:b/>
        </w:rPr>
        <w:t>is mapped to</w:t>
      </w:r>
      <w:r w:rsidRPr="0076674A">
        <w:rPr>
          <w:rFonts w:ascii="Arial" w:eastAsia="MS Mincho" w:hAnsi="Arial"/>
          <w:b/>
        </w:rPr>
        <w:t xml:space="preserve"> one MAC entity. </w:t>
      </w:r>
    </w:p>
    <w:p w14:paraId="5CCA022C" w14:textId="77777777" w:rsidR="001A06F1" w:rsidRPr="005827DF" w:rsidRDefault="001A06F1" w:rsidP="001A06F1">
      <w:pPr>
        <w:spacing w:before="120" w:after="120"/>
        <w:jc w:val="both"/>
        <w:rPr>
          <w:lang w:eastAsia="ko-KR"/>
        </w:rPr>
      </w:pPr>
      <w:r w:rsidRPr="0076674A">
        <w:rPr>
          <w:rFonts w:ascii="Arial" w:eastAsia="MS Mincho" w:hAnsi="Arial"/>
          <w:b/>
        </w:rPr>
        <w:t xml:space="preserve">Proposal 3: </w:t>
      </w:r>
      <w:r>
        <w:rPr>
          <w:rFonts w:ascii="Arial" w:eastAsia="MS Mincho" w:hAnsi="Arial"/>
          <w:b/>
        </w:rPr>
        <w:t xml:space="preserve">The flexibility to perform inter-cell HO with/without PDCP re-establishment is allowed.  </w:t>
      </w:r>
    </w:p>
    <w:p w14:paraId="4CC234D0" w14:textId="77777777" w:rsidR="001A06F1" w:rsidRDefault="001A06F1" w:rsidP="001A06F1">
      <w:pPr>
        <w:pStyle w:val="Heading1"/>
        <w:ind w:left="0" w:firstLine="0"/>
        <w:rPr>
          <w:lang w:val="en-US" w:eastAsia="ko-KR"/>
        </w:rPr>
      </w:pPr>
      <w:r>
        <w:rPr>
          <w:lang w:val="en-US" w:eastAsia="ko-KR"/>
        </w:rPr>
        <w:t>3 Conclusions</w:t>
      </w:r>
    </w:p>
    <w:p w14:paraId="5170FFCE" w14:textId="77777777" w:rsidR="001A06F1" w:rsidRDefault="001A06F1" w:rsidP="001A06F1">
      <w:pPr>
        <w:spacing w:before="120" w:after="120"/>
        <w:rPr>
          <w:rFonts w:ascii="Arial" w:eastAsia="MS Mincho" w:hAnsi="Arial"/>
        </w:rPr>
      </w:pPr>
      <w:r w:rsidRPr="005827DF">
        <w:rPr>
          <w:rFonts w:ascii="Arial" w:eastAsia="MS Mincho" w:hAnsi="Arial"/>
        </w:rPr>
        <w:t xml:space="preserve">In this contribution, we discuss </w:t>
      </w:r>
      <w:r>
        <w:rPr>
          <w:rFonts w:ascii="Arial" w:eastAsia="MS Mincho" w:hAnsi="Arial"/>
        </w:rPr>
        <w:t xml:space="preserve">whether to re-establishment RLC during RRC involved HO as well as the relationship between cell and gNB. </w:t>
      </w:r>
    </w:p>
    <w:p w14:paraId="77125F6B" w14:textId="77777777" w:rsidR="001A06F1" w:rsidRPr="005827DF" w:rsidRDefault="001A06F1" w:rsidP="001A06F1">
      <w:pPr>
        <w:spacing w:before="120" w:after="120"/>
        <w:rPr>
          <w:rFonts w:ascii="Arial" w:eastAsia="MS Mincho" w:hAnsi="Arial"/>
        </w:rPr>
      </w:pPr>
      <w:r>
        <w:rPr>
          <w:rFonts w:ascii="Arial" w:eastAsia="MS Mincho" w:hAnsi="Arial"/>
        </w:rPr>
        <w:t>Based on the observations:</w:t>
      </w:r>
    </w:p>
    <w:p w14:paraId="16E3870E" w14:textId="77777777" w:rsidR="001A06F1" w:rsidRPr="00E208DF" w:rsidRDefault="001A06F1" w:rsidP="001A06F1">
      <w:pPr>
        <w:spacing w:before="120" w:after="120"/>
        <w:jc w:val="both"/>
        <w:rPr>
          <w:rFonts w:ascii="Arial" w:eastAsia="MS Mincho" w:hAnsi="Arial"/>
          <w:b/>
        </w:rPr>
      </w:pPr>
      <w:r w:rsidRPr="00E208DF">
        <w:rPr>
          <w:rFonts w:ascii="Arial" w:eastAsia="MS Mincho" w:hAnsi="Arial"/>
          <w:b/>
        </w:rPr>
        <w:t>Observation 1: For non-centralised deployment and option 1,</w:t>
      </w:r>
      <w:r>
        <w:rPr>
          <w:rFonts w:ascii="Arial" w:eastAsia="MS Mincho" w:hAnsi="Arial"/>
          <w:b/>
        </w:rPr>
        <w:t xml:space="preserve"> </w:t>
      </w:r>
      <w:r w:rsidRPr="00E208DF">
        <w:rPr>
          <w:rFonts w:ascii="Arial" w:eastAsia="MS Mincho" w:hAnsi="Arial"/>
          <w:b/>
        </w:rPr>
        <w:t>2</w:t>
      </w:r>
      <w:r>
        <w:rPr>
          <w:rFonts w:ascii="Arial" w:eastAsia="MS Mincho" w:hAnsi="Arial"/>
          <w:b/>
        </w:rPr>
        <w:t xml:space="preserve">, </w:t>
      </w:r>
      <w:r w:rsidRPr="00E208DF">
        <w:rPr>
          <w:rFonts w:ascii="Arial" w:eastAsia="MS Mincho" w:hAnsi="Arial"/>
          <w:b/>
        </w:rPr>
        <w:t>3-2 in centralised deployment, RLC is re-</w:t>
      </w:r>
    </w:p>
    <w:p w14:paraId="31C0EF3D" w14:textId="77777777" w:rsidR="001A06F1" w:rsidRDefault="001A06F1" w:rsidP="001A06F1">
      <w:pPr>
        <w:spacing w:before="120" w:after="120"/>
        <w:jc w:val="both"/>
        <w:rPr>
          <w:rFonts w:ascii="Arial" w:eastAsia="MS Mincho" w:hAnsi="Arial"/>
          <w:b/>
        </w:rPr>
      </w:pPr>
      <w:r w:rsidRPr="00E208DF">
        <w:rPr>
          <w:rFonts w:ascii="Arial" w:eastAsia="MS Mincho" w:hAnsi="Arial"/>
          <w:b/>
        </w:rPr>
        <w:t xml:space="preserve">Observation 1: For non-centralised deployment and </w:t>
      </w:r>
      <w:r>
        <w:rPr>
          <w:rFonts w:ascii="Arial" w:eastAsia="MS Mincho" w:hAnsi="Arial"/>
          <w:b/>
        </w:rPr>
        <w:t>O</w:t>
      </w:r>
      <w:r w:rsidRPr="00E208DF">
        <w:rPr>
          <w:rFonts w:ascii="Arial" w:eastAsia="MS Mincho" w:hAnsi="Arial"/>
          <w:b/>
        </w:rPr>
        <w:t>ption 1,</w:t>
      </w:r>
      <w:r>
        <w:rPr>
          <w:rFonts w:ascii="Arial" w:eastAsia="MS Mincho" w:hAnsi="Arial"/>
          <w:b/>
        </w:rPr>
        <w:t xml:space="preserve"> </w:t>
      </w:r>
      <w:r w:rsidRPr="00E208DF">
        <w:rPr>
          <w:rFonts w:ascii="Arial" w:eastAsia="MS Mincho" w:hAnsi="Arial"/>
          <w:b/>
        </w:rPr>
        <w:t>2</w:t>
      </w:r>
      <w:r>
        <w:rPr>
          <w:rFonts w:ascii="Arial" w:eastAsia="MS Mincho" w:hAnsi="Arial"/>
          <w:b/>
        </w:rPr>
        <w:t xml:space="preserve">, </w:t>
      </w:r>
      <w:r w:rsidRPr="00E208DF">
        <w:rPr>
          <w:rFonts w:ascii="Arial" w:eastAsia="MS Mincho" w:hAnsi="Arial"/>
          <w:b/>
        </w:rPr>
        <w:t>3-2 in centralised deployment, RLC is re-established in RRC involved HO.</w:t>
      </w:r>
    </w:p>
    <w:p w14:paraId="51A6D81E" w14:textId="77777777" w:rsidR="001A06F1" w:rsidRDefault="001A06F1" w:rsidP="001A06F1">
      <w:pPr>
        <w:spacing w:before="120" w:after="120"/>
        <w:jc w:val="both"/>
        <w:rPr>
          <w:rFonts w:ascii="Arial" w:eastAsia="MS Mincho" w:hAnsi="Arial"/>
          <w:b/>
        </w:rPr>
      </w:pPr>
      <w:r>
        <w:rPr>
          <w:rFonts w:ascii="Arial" w:eastAsia="MS Mincho" w:hAnsi="Arial"/>
          <w:b/>
        </w:rPr>
        <w:t>Observation 2: For Option 3-1 in centralised deployment, RLC is not re-established in RRC involved HO.</w:t>
      </w:r>
    </w:p>
    <w:p w14:paraId="08BDD264" w14:textId="77777777"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3:</w:t>
      </w:r>
      <w:r>
        <w:rPr>
          <w:rFonts w:ascii="Arial" w:eastAsia="MS Mincho" w:hAnsi="Arial"/>
          <w:b/>
        </w:rPr>
        <w:t xml:space="preserve"> In option A, cell-level mobility doesn’t necessarily require RRC involvement with</w:t>
      </w:r>
      <w:r w:rsidRPr="0074712F">
        <w:rPr>
          <w:rFonts w:ascii="Arial" w:eastAsia="MS Mincho" w:hAnsi="Arial"/>
          <w:b/>
        </w:rPr>
        <w:t xml:space="preserve"> PDCP/RLC</w:t>
      </w:r>
      <w:r>
        <w:rPr>
          <w:rFonts w:ascii="Arial" w:eastAsia="MS Mincho" w:hAnsi="Arial"/>
          <w:b/>
        </w:rPr>
        <w:t xml:space="preserve"> re-establishment and MAC reset.</w:t>
      </w:r>
    </w:p>
    <w:p w14:paraId="753CF17C" w14:textId="77777777" w:rsidR="001A06F1" w:rsidRPr="0074712F" w:rsidRDefault="001A06F1" w:rsidP="001A06F1">
      <w:pPr>
        <w:spacing w:before="120" w:after="120"/>
        <w:jc w:val="both"/>
        <w:rPr>
          <w:rFonts w:ascii="Arial" w:eastAsia="MS Mincho" w:hAnsi="Arial"/>
          <w:b/>
        </w:rPr>
      </w:pPr>
      <w:r w:rsidRPr="0074712F">
        <w:rPr>
          <w:rFonts w:ascii="Arial" w:eastAsia="MS Mincho" w:hAnsi="Arial"/>
          <w:b/>
        </w:rPr>
        <w:t>Observation 4:</w:t>
      </w:r>
      <w:r>
        <w:rPr>
          <w:rFonts w:ascii="Arial" w:eastAsia="MS Mincho" w:hAnsi="Arial"/>
          <w:b/>
        </w:rPr>
        <w:t xml:space="preserve"> In option B,</w:t>
      </w:r>
      <w:r w:rsidRPr="0074712F">
        <w:rPr>
          <w:rFonts w:ascii="Arial" w:eastAsia="MS Mincho" w:hAnsi="Arial"/>
          <w:b/>
        </w:rPr>
        <w:t xml:space="preserve"> </w:t>
      </w:r>
      <w:r>
        <w:rPr>
          <w:rFonts w:ascii="Arial" w:eastAsia="MS Mincho" w:hAnsi="Arial"/>
          <w:b/>
        </w:rPr>
        <w:t xml:space="preserve">UE mobility between different beams controlled by the MAC entities on different DUs can’t be handled beam management, and additional level of mobility needs to be supported. </w:t>
      </w:r>
    </w:p>
    <w:p w14:paraId="3E0913DD"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5: Option C simplifies </w:t>
      </w:r>
      <w:r>
        <w:rPr>
          <w:rFonts w:ascii="Arial" w:eastAsia="MS Mincho" w:hAnsi="Arial"/>
          <w:b/>
        </w:rPr>
        <w:t xml:space="preserve">the mobility management considering two levels of mobility, i.e. </w:t>
      </w:r>
      <w:r w:rsidRPr="0076674A">
        <w:rPr>
          <w:rFonts w:ascii="Arial" w:eastAsia="MS Mincho" w:hAnsi="Arial"/>
          <w:b/>
        </w:rPr>
        <w:t xml:space="preserve">cell-level mobility with RRC involvement and </w:t>
      </w:r>
      <w:r>
        <w:rPr>
          <w:rFonts w:ascii="Arial" w:eastAsia="MS Mincho" w:hAnsi="Arial"/>
          <w:b/>
        </w:rPr>
        <w:t>b</w:t>
      </w:r>
      <w:r w:rsidRPr="0076674A">
        <w:rPr>
          <w:rFonts w:ascii="Arial" w:eastAsia="MS Mincho" w:hAnsi="Arial"/>
          <w:b/>
        </w:rPr>
        <w:t xml:space="preserve">eam-level mobility without RRC involvement. </w:t>
      </w:r>
    </w:p>
    <w:p w14:paraId="7D4BDBD3"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Observation 6: Option C provides a unified </w:t>
      </w:r>
      <w:r>
        <w:rPr>
          <w:rFonts w:ascii="Arial" w:eastAsia="MS Mincho" w:hAnsi="Arial"/>
          <w:b/>
        </w:rPr>
        <w:t xml:space="preserve">mobility </w:t>
      </w:r>
      <w:r w:rsidRPr="0076674A">
        <w:rPr>
          <w:rFonts w:ascii="Arial" w:eastAsia="MS Mincho" w:hAnsi="Arial"/>
          <w:b/>
        </w:rPr>
        <w:t xml:space="preserve">modelling for all the potential RAN architecture with different CU/DU split options.  </w:t>
      </w:r>
    </w:p>
    <w:p w14:paraId="623D25FC" w14:textId="77777777" w:rsidR="001A06F1" w:rsidRDefault="001A06F1" w:rsidP="001A06F1">
      <w:pPr>
        <w:spacing w:before="120" w:after="120"/>
        <w:jc w:val="both"/>
        <w:rPr>
          <w:rFonts w:ascii="Arial" w:eastAsia="MS Mincho" w:hAnsi="Arial"/>
        </w:rPr>
      </w:pPr>
      <w:r w:rsidRPr="00195F30">
        <w:rPr>
          <w:rFonts w:ascii="Arial" w:eastAsia="MS Mincho" w:hAnsi="Arial"/>
        </w:rPr>
        <w:t>We propose:</w:t>
      </w:r>
    </w:p>
    <w:p w14:paraId="5EE729F5" w14:textId="77777777" w:rsidR="001A06F1" w:rsidRPr="00E208DF" w:rsidRDefault="001A06F1" w:rsidP="001A06F1">
      <w:pPr>
        <w:spacing w:before="120" w:after="120"/>
        <w:jc w:val="both"/>
        <w:rPr>
          <w:rFonts w:ascii="Arial" w:eastAsia="MS Mincho" w:hAnsi="Arial"/>
          <w:b/>
        </w:rPr>
      </w:pPr>
      <w:r w:rsidRPr="00E208DF">
        <w:rPr>
          <w:rFonts w:ascii="Arial" w:eastAsia="MS Mincho" w:hAnsi="Arial"/>
          <w:b/>
        </w:rPr>
        <w:t>Proposal</w:t>
      </w:r>
      <w:r>
        <w:rPr>
          <w:rFonts w:ascii="Arial" w:eastAsia="MS Mincho" w:hAnsi="Arial"/>
          <w:b/>
        </w:rPr>
        <w:t xml:space="preserve"> 1</w:t>
      </w:r>
      <w:r w:rsidRPr="00E208DF">
        <w:rPr>
          <w:rFonts w:ascii="Arial" w:eastAsia="MS Mincho" w:hAnsi="Arial"/>
          <w:b/>
        </w:rPr>
        <w:t>: RLC re-establishment is supported in RRC involved HO.</w:t>
      </w:r>
    </w:p>
    <w:p w14:paraId="65418E0B" w14:textId="77777777" w:rsidR="001A06F1" w:rsidRPr="0076674A" w:rsidRDefault="001A06F1" w:rsidP="001A06F1">
      <w:pPr>
        <w:spacing w:before="120" w:after="120"/>
        <w:jc w:val="both"/>
        <w:rPr>
          <w:rFonts w:ascii="Arial" w:eastAsia="MS Mincho" w:hAnsi="Arial"/>
          <w:b/>
        </w:rPr>
      </w:pPr>
      <w:r w:rsidRPr="0076674A">
        <w:rPr>
          <w:rFonts w:ascii="Arial" w:eastAsia="MS Mincho" w:hAnsi="Arial"/>
          <w:b/>
        </w:rPr>
        <w:t xml:space="preserve">Proposal 2: </w:t>
      </w:r>
      <w:r w:rsidRPr="0076674A">
        <w:rPr>
          <w:rFonts w:ascii="Arial" w:eastAsia="MS Mincho" w:hAnsi="Arial" w:hint="eastAsia"/>
          <w:b/>
        </w:rPr>
        <w:t>One</w:t>
      </w:r>
      <w:r>
        <w:rPr>
          <w:rFonts w:ascii="Arial" w:eastAsia="MS Mincho" w:hAnsi="Arial"/>
          <w:b/>
        </w:rPr>
        <w:t xml:space="preserve"> NR-</w:t>
      </w:r>
      <w:r w:rsidRPr="0076674A">
        <w:rPr>
          <w:rFonts w:ascii="Arial" w:eastAsia="MS Mincho" w:hAnsi="Arial" w:hint="eastAsia"/>
          <w:b/>
        </w:rPr>
        <w:t xml:space="preserve">cell </w:t>
      </w:r>
      <w:r>
        <w:rPr>
          <w:rFonts w:ascii="Arial" w:eastAsia="MS Mincho" w:hAnsi="Arial"/>
          <w:b/>
        </w:rPr>
        <w:t>is mapped to</w:t>
      </w:r>
      <w:r w:rsidRPr="0076674A">
        <w:rPr>
          <w:rFonts w:ascii="Arial" w:eastAsia="MS Mincho" w:hAnsi="Arial"/>
          <w:b/>
        </w:rPr>
        <w:t xml:space="preserve"> one MAC entity. </w:t>
      </w:r>
    </w:p>
    <w:p w14:paraId="1EF3275F" w14:textId="77777777" w:rsidR="001A06F1" w:rsidRPr="005827DF" w:rsidRDefault="001A06F1" w:rsidP="001A06F1">
      <w:pPr>
        <w:spacing w:before="120" w:after="120"/>
        <w:jc w:val="both"/>
        <w:rPr>
          <w:lang w:eastAsia="ko-KR"/>
        </w:rPr>
      </w:pPr>
      <w:r w:rsidRPr="0076674A">
        <w:rPr>
          <w:rFonts w:ascii="Arial" w:eastAsia="MS Mincho" w:hAnsi="Arial"/>
          <w:b/>
        </w:rPr>
        <w:t xml:space="preserve">Proposal 3: </w:t>
      </w:r>
      <w:r>
        <w:rPr>
          <w:rFonts w:ascii="Arial" w:eastAsia="MS Mincho" w:hAnsi="Arial"/>
          <w:b/>
        </w:rPr>
        <w:t xml:space="preserve">The flexibility to perform inter-cell HO with/without PDCP re-establishment is allowed.  </w:t>
      </w:r>
    </w:p>
    <w:p w14:paraId="713A2626" w14:textId="77777777" w:rsidR="001A06F1" w:rsidRDefault="001A06F1" w:rsidP="001A06F1">
      <w:pPr>
        <w:pStyle w:val="Heading1"/>
        <w:ind w:left="0" w:firstLine="0"/>
        <w:rPr>
          <w:lang w:val="en-US" w:eastAsia="ko-KR"/>
        </w:rPr>
      </w:pPr>
      <w:r>
        <w:rPr>
          <w:lang w:val="en-US" w:eastAsia="ko-KR"/>
        </w:rPr>
        <w:t xml:space="preserve">4 </w:t>
      </w:r>
      <w:r w:rsidRPr="005A035A">
        <w:rPr>
          <w:lang w:val="en-US" w:eastAsia="ko-KR"/>
        </w:rPr>
        <w:t>Appendix</w:t>
      </w:r>
    </w:p>
    <w:p w14:paraId="5ED67A50" w14:textId="77777777" w:rsidR="001A06F1" w:rsidRDefault="001A06F1" w:rsidP="001A06F1">
      <w:r w:rsidRPr="001A667A">
        <w:object w:dxaOrig="14099" w:dyaOrig="4250" w14:anchorId="4AF5AA4C">
          <v:shape id="_x0000_i1035" type="#_x0000_t75" style="width:481.5pt;height:145.5pt" o:ole="">
            <v:imagedata r:id="rId27" o:title=""/>
          </v:shape>
          <o:OLEObject Type="Embed" ProgID="Visio.Drawing.11" ShapeID="_x0000_i1035" DrawAspect="Content" ObjectID="_1545234035" r:id="rId28"/>
        </w:object>
      </w:r>
    </w:p>
    <w:p w14:paraId="651F284D" w14:textId="77777777" w:rsidR="001A06F1" w:rsidRPr="005A035A" w:rsidRDefault="001A06F1" w:rsidP="001A06F1">
      <w:pPr>
        <w:pStyle w:val="TF"/>
        <w:rPr>
          <w:rFonts w:eastAsia="Malgun Gothic"/>
          <w:lang w:eastAsia="ko-KR"/>
        </w:rPr>
      </w:pPr>
      <w:r w:rsidRPr="001A667A">
        <w:t xml:space="preserve">Figure </w:t>
      </w:r>
      <w:r w:rsidRPr="00580DCA">
        <w:rPr>
          <w:rFonts w:eastAsia="MS Mincho" w:hint="eastAsia"/>
          <w:lang w:eastAsia="ja-JP"/>
        </w:rPr>
        <w:t>11.1.1-1</w:t>
      </w:r>
      <w:r w:rsidRPr="001A667A">
        <w:t>: Function Split between central and distributed unit</w:t>
      </w:r>
    </w:p>
    <w:p w14:paraId="7759F89F" w14:textId="77777777" w:rsidR="001A06F1" w:rsidRDefault="001A06F1" w:rsidP="001A06F1">
      <w:pPr>
        <w:pStyle w:val="Heading1"/>
        <w:pBdr>
          <w:top w:val="single" w:sz="12" w:space="0" w:color="auto"/>
        </w:pBdr>
        <w:rPr>
          <w:lang w:val="en-US" w:eastAsia="ko-KR"/>
        </w:rPr>
      </w:pPr>
      <w:r>
        <w:rPr>
          <w:lang w:eastAsia="ko-KR"/>
        </w:rPr>
        <w:t>5</w:t>
      </w:r>
      <w:r>
        <w:rPr>
          <w:lang w:val="en-US" w:eastAsia="ko-KR"/>
        </w:rPr>
        <w:t xml:space="preserve"> References</w:t>
      </w:r>
    </w:p>
    <w:p w14:paraId="51A3E61E" w14:textId="77777777" w:rsidR="001A06F1" w:rsidRPr="00152424" w:rsidRDefault="001A06F1" w:rsidP="001A06F1">
      <w:pPr>
        <w:spacing w:before="120" w:after="120"/>
        <w:rPr>
          <w:rFonts w:ascii="Arial" w:eastAsia="MS Mincho" w:hAnsi="Arial"/>
        </w:rPr>
      </w:pPr>
      <w:bookmarkStart w:id="3" w:name="_Ref469502173"/>
      <w:r>
        <w:rPr>
          <w:rFonts w:ascii="Arial" w:eastAsia="MS Mincho" w:hAnsi="Arial"/>
        </w:rPr>
        <w:t>[1] RP-162255_TR 38.801 V100</w:t>
      </w:r>
    </w:p>
    <w:p w14:paraId="17BFFE91" w14:textId="77777777" w:rsidR="00A4737D" w:rsidRDefault="001A06F1" w:rsidP="001A06F1">
      <w:pPr>
        <w:spacing w:before="120" w:after="120"/>
      </w:pPr>
      <w:r>
        <w:rPr>
          <w:rFonts w:ascii="Arial" w:eastAsia="MS Mincho" w:hAnsi="Arial"/>
        </w:rPr>
        <w:t xml:space="preserve">[2] </w:t>
      </w:r>
      <w:hyperlink r:id="rId29" w:history="1">
        <w:r w:rsidRPr="00152424">
          <w:rPr>
            <w:rFonts w:ascii="Arial" w:eastAsia="MS Mincho" w:hAnsi="Arial"/>
          </w:rPr>
          <w:t>R2-1</w:t>
        </w:r>
        <w:r>
          <w:rPr>
            <w:rFonts w:ascii="Arial" w:eastAsia="MS Mincho" w:hAnsi="Arial"/>
          </w:rPr>
          <w:t>7</w:t>
        </w:r>
        <w:r w:rsidRPr="00152424">
          <w:rPr>
            <w:rFonts w:ascii="Arial" w:eastAsia="MS Mincho" w:hAnsi="Arial"/>
          </w:rPr>
          <w:t>xxxx</w:t>
        </w:r>
      </w:hyperlink>
      <w:r w:rsidRPr="00152424">
        <w:rPr>
          <w:rFonts w:ascii="Arial" w:eastAsia="MS Mincho" w:hAnsi="Arial"/>
        </w:rPr>
        <w:t>, RAN2 #96 Reno meeting minutes</w:t>
      </w:r>
      <w:bookmarkEnd w:id="3"/>
    </w:p>
    <w:sectPr w:rsidR="00A4737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3AB91" w14:textId="77777777" w:rsidR="00E7719C" w:rsidRDefault="00E7719C" w:rsidP="00D336BB">
      <w:pPr>
        <w:spacing w:after="0"/>
      </w:pPr>
      <w:r>
        <w:separator/>
      </w:r>
    </w:p>
  </w:endnote>
  <w:endnote w:type="continuationSeparator" w:id="0">
    <w:p w14:paraId="05114664" w14:textId="77777777" w:rsidR="00E7719C" w:rsidRDefault="00E7719C" w:rsidP="00D33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8307B" w14:textId="77777777" w:rsidR="00E7719C" w:rsidRDefault="00E7719C" w:rsidP="00D336BB">
      <w:pPr>
        <w:spacing w:after="0"/>
      </w:pPr>
      <w:r>
        <w:separator/>
      </w:r>
    </w:p>
  </w:footnote>
  <w:footnote w:type="continuationSeparator" w:id="0">
    <w:p w14:paraId="7A467AFC" w14:textId="77777777" w:rsidR="00E7719C" w:rsidRDefault="00E7719C" w:rsidP="00D336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37981"/>
    <w:multiLevelType w:val="hybridMultilevel"/>
    <w:tmpl w:val="2B2A3A78"/>
    <w:lvl w:ilvl="0" w:tplc="B3962D6E">
      <w:start w:val="1"/>
      <w:numFmt w:val="bullet"/>
      <w:lvlText w:val=""/>
      <w:lvlJc w:val="left"/>
      <w:pPr>
        <w:ind w:left="288" w:hanging="288"/>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542970"/>
    <w:multiLevelType w:val="hybridMultilevel"/>
    <w:tmpl w:val="E512A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6F1"/>
    <w:rsid w:val="000B5C26"/>
    <w:rsid w:val="001A06F1"/>
    <w:rsid w:val="00237A87"/>
    <w:rsid w:val="003C6DA4"/>
    <w:rsid w:val="007009ED"/>
    <w:rsid w:val="009A5111"/>
    <w:rsid w:val="00A4737D"/>
    <w:rsid w:val="00CF35AD"/>
    <w:rsid w:val="00D336BB"/>
    <w:rsid w:val="00E7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CF8A2"/>
  <w15:chartTrackingRefBased/>
  <w15:docId w15:val="{DBBD1D16-C4A3-4558-BCF7-33775F8D3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6F1"/>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1A06F1"/>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1A06F1"/>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1A06F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06F1"/>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1A06F1"/>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uiPriority w:val="9"/>
    <w:rsid w:val="001A06F1"/>
    <w:rPr>
      <w:rFonts w:asciiTheme="majorHAnsi" w:eastAsiaTheme="majorEastAsia" w:hAnsiTheme="majorHAnsi" w:cstheme="majorBidi"/>
      <w:color w:val="1F4D78" w:themeColor="accent1" w:themeShade="7F"/>
      <w:sz w:val="24"/>
      <w:szCs w:val="24"/>
    </w:rPr>
  </w:style>
  <w:style w:type="paragraph" w:customStyle="1" w:styleId="CRCoverPage">
    <w:name w:val="CR Cover Page"/>
    <w:rsid w:val="001A06F1"/>
    <w:pPr>
      <w:spacing w:after="120" w:line="240" w:lineRule="auto"/>
    </w:pPr>
    <w:rPr>
      <w:rFonts w:ascii="Arial" w:eastAsia="Malgun Gothic" w:hAnsi="Arial" w:cs="Times New Roman"/>
      <w:sz w:val="20"/>
      <w:szCs w:val="20"/>
      <w:lang w:val="en-GB" w:eastAsia="en-US"/>
    </w:rPr>
  </w:style>
  <w:style w:type="character" w:styleId="CommentReference">
    <w:name w:val="annotation reference"/>
    <w:semiHidden/>
    <w:rsid w:val="001A06F1"/>
    <w:rPr>
      <w:sz w:val="16"/>
    </w:rPr>
  </w:style>
  <w:style w:type="paragraph" w:styleId="CommentText">
    <w:name w:val="annotation text"/>
    <w:basedOn w:val="Normal"/>
    <w:link w:val="CommentTextChar"/>
    <w:semiHidden/>
    <w:rsid w:val="001A06F1"/>
  </w:style>
  <w:style w:type="character" w:customStyle="1" w:styleId="CommentTextChar">
    <w:name w:val="Comment Text Char"/>
    <w:basedOn w:val="DefaultParagraphFont"/>
    <w:link w:val="CommentText"/>
    <w:semiHidden/>
    <w:rsid w:val="001A06F1"/>
    <w:rPr>
      <w:rFonts w:ascii="Times New Roman" w:eastAsia="Malgun Gothic" w:hAnsi="Times New Roman" w:cs="Times New Roman"/>
      <w:sz w:val="20"/>
      <w:szCs w:val="20"/>
      <w:lang w:val="en-GB" w:eastAsia="en-US"/>
    </w:rPr>
  </w:style>
  <w:style w:type="table" w:styleId="TableGrid">
    <w:name w:val="Table Grid"/>
    <w:basedOn w:val="TableNormal"/>
    <w:rsid w:val="001A06F1"/>
    <w:pPr>
      <w:spacing w:after="0" w:line="240" w:lineRule="auto"/>
    </w:pPr>
    <w:rPr>
      <w:rFonts w:ascii="CG Times (WN)" w:eastAsia="Malgun Gothic" w:hAnsi="CG Times (WN)" w:cs="Times New Roman"/>
      <w:sz w:val="20"/>
      <w:szCs w:val="20"/>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1A06F1"/>
    <w:pPr>
      <w:spacing w:after="0"/>
      <w:ind w:left="720"/>
    </w:pPr>
    <w:rPr>
      <w:rFonts w:ascii="Calibri" w:eastAsia="Calibri" w:hAnsi="Calibri"/>
      <w:sz w:val="22"/>
      <w:szCs w:val="22"/>
    </w:rPr>
  </w:style>
  <w:style w:type="paragraph" w:customStyle="1" w:styleId="Doc-text2">
    <w:name w:val="Doc-text2"/>
    <w:basedOn w:val="Normal"/>
    <w:link w:val="Doc-text2Char"/>
    <w:qFormat/>
    <w:rsid w:val="001A06F1"/>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1A06F1"/>
    <w:rPr>
      <w:rFonts w:ascii="Arial" w:eastAsia="MS Mincho" w:hAnsi="Arial" w:cs="Times New Roman"/>
      <w:sz w:val="20"/>
      <w:szCs w:val="24"/>
      <w:lang w:val="en-GB" w:eastAsia="en-US"/>
    </w:rPr>
  </w:style>
  <w:style w:type="paragraph" w:customStyle="1" w:styleId="TF">
    <w:name w:val="TF"/>
    <w:aliases w:val="left"/>
    <w:basedOn w:val="Normal"/>
    <w:link w:val="TFChar"/>
    <w:rsid w:val="001A06F1"/>
    <w:pPr>
      <w:keepLines/>
      <w:overflowPunct w:val="0"/>
      <w:autoSpaceDE w:val="0"/>
      <w:autoSpaceDN w:val="0"/>
      <w:adjustRightInd w:val="0"/>
      <w:spacing w:after="240"/>
      <w:jc w:val="center"/>
      <w:textAlignment w:val="baseline"/>
    </w:pPr>
    <w:rPr>
      <w:rFonts w:ascii="Arial" w:eastAsia="Times New Roman" w:hAnsi="Arial"/>
      <w:b/>
      <w:lang w:val="x-none" w:eastAsia="x-none"/>
    </w:rPr>
  </w:style>
  <w:style w:type="character" w:customStyle="1" w:styleId="TFChar">
    <w:name w:val="TF Char"/>
    <w:link w:val="TF"/>
    <w:rsid w:val="001A06F1"/>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D336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6BB"/>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D336BB"/>
    <w:pPr>
      <w:tabs>
        <w:tab w:val="center" w:pos="4680"/>
        <w:tab w:val="right" w:pos="9360"/>
      </w:tabs>
      <w:spacing w:after="0"/>
    </w:pPr>
  </w:style>
  <w:style w:type="character" w:customStyle="1" w:styleId="HeaderChar">
    <w:name w:val="Header Char"/>
    <w:basedOn w:val="DefaultParagraphFont"/>
    <w:link w:val="Header"/>
    <w:uiPriority w:val="99"/>
    <w:rsid w:val="00D336BB"/>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336BB"/>
    <w:pPr>
      <w:tabs>
        <w:tab w:val="center" w:pos="4680"/>
        <w:tab w:val="right" w:pos="9360"/>
      </w:tabs>
      <w:spacing w:after="0"/>
    </w:pPr>
  </w:style>
  <w:style w:type="character" w:customStyle="1" w:styleId="FooterChar">
    <w:name w:val="Footer Char"/>
    <w:basedOn w:val="DefaultParagraphFont"/>
    <w:link w:val="Footer"/>
    <w:uiPriority w:val="99"/>
    <w:rsid w:val="00D336BB"/>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Microsoft_Visio_2003-2010_Drawing6.vsd"/><Relationship Id="rId26" Type="http://schemas.openxmlformats.org/officeDocument/2006/relationships/oleObject" Target="embeddings/Microsoft_Visio_2003-2010_Drawing10.vsd"/><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Microsoft_Visio_2003-2010_Drawing5.vsd"/><Relationship Id="rId20" Type="http://schemas.openxmlformats.org/officeDocument/2006/relationships/oleObject" Target="embeddings/Microsoft_Visio_2003-2010_Drawing7.vsd"/><Relationship Id="rId29" Type="http://schemas.openxmlformats.org/officeDocument/2006/relationships/hyperlink" Target="http://www.3gpp.org/ftp/tsg_ran/WG2_RL2/TSGR2_96/Report/R2-17xxxx_draft_report_RAN2_96_Reno_v0.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9.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Microsoft_Visio_2003-2010_Drawing11.vsd"/><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 Id="rId22" Type="http://schemas.openxmlformats.org/officeDocument/2006/relationships/oleObject" Target="embeddings/Microsoft_Visio_2003-2010_Drawing8.vsd"/><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2017-01-06T10:53:00Z</dcterms:created>
  <dcterms:modified xsi:type="dcterms:W3CDTF">2017-01-06T10:53:00Z</dcterms:modified>
</cp:coreProperties>
</file>