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8B" w:rsidRPr="00934F1A" w:rsidRDefault="00847C4A"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32"/>
          <w:szCs w:val="32"/>
          <w:highlight w:val="yellow"/>
          <w:lang w:val="en-GB" w:eastAsia="zh-CN"/>
        </w:rPr>
      </w:pPr>
      <w:r w:rsidRPr="00847C4A">
        <w:rPr>
          <w:rFonts w:eastAsia="PMingLiU" w:cs="Times New Roman"/>
          <w:b/>
          <w:color w:val="000000" w:themeColor="text1"/>
          <w:kern w:val="0"/>
          <w:szCs w:val="20"/>
          <w:lang w:val="en-GB" w:eastAsia="zh-CN"/>
        </w:rPr>
        <w:t>3GPP TSG-RAN WG2 Meeting #99</w:t>
      </w:r>
      <w:r w:rsidR="003D52AC">
        <w:rPr>
          <w:rFonts w:eastAsia="PMingLiU" w:cs="Times New Roman"/>
          <w:b/>
          <w:color w:val="000000" w:themeColor="text1"/>
          <w:kern w:val="0"/>
          <w:szCs w:val="20"/>
          <w:lang w:val="en-GB" w:eastAsia="zh-CN"/>
        </w:rPr>
        <w:tab/>
      </w:r>
      <w:r w:rsidR="006F124C" w:rsidRPr="006F124C">
        <w:rPr>
          <w:rFonts w:eastAsia="PMingLiU" w:cs="Times New Roman"/>
          <w:b/>
          <w:noProof/>
          <w:kern w:val="0"/>
          <w:szCs w:val="20"/>
          <w:lang w:val="en-GB" w:eastAsia="en-US"/>
        </w:rPr>
        <w:t>R2-1709481</w:t>
      </w:r>
      <w:bookmarkStart w:id="0" w:name="_GoBack"/>
      <w:bookmarkEnd w:id="0"/>
    </w:p>
    <w:p w:rsidR="00DD4C8B" w:rsidRPr="003D52AC" w:rsidRDefault="00847C4A" w:rsidP="00DD4C8B">
      <w:pPr>
        <w:widowControl/>
        <w:outlineLvl w:val="0"/>
        <w:rPr>
          <w:rFonts w:eastAsia="PMingLiU" w:cs="Times New Roman"/>
          <w:noProof/>
          <w:kern w:val="0"/>
          <w:szCs w:val="20"/>
          <w:lang w:val="en-GB" w:eastAsia="en-US"/>
        </w:rPr>
      </w:pPr>
      <w:r w:rsidRPr="00847C4A">
        <w:rPr>
          <w:rFonts w:eastAsia="PMingLiU" w:cs="Times New Roman"/>
          <w:b/>
          <w:noProof/>
          <w:kern w:val="0"/>
          <w:szCs w:val="20"/>
          <w:lang w:val="en-GB" w:eastAsia="en-US"/>
        </w:rPr>
        <w:t>Berlin, Germany, 21st – 25th August 2017</w:t>
      </w:r>
      <w:r>
        <w:rPr>
          <w:rFonts w:eastAsia="PMingLiU" w:cs="Times New Roman"/>
          <w:b/>
          <w:noProof/>
          <w:kern w:val="0"/>
          <w:szCs w:val="20"/>
          <w:lang w:val="en-GB" w:eastAsia="en-US"/>
        </w:rPr>
        <w:tab/>
      </w:r>
      <w:r>
        <w:rPr>
          <w:rFonts w:eastAsia="PMingLiU" w:cs="Times New Roman"/>
          <w:b/>
          <w:noProof/>
          <w:kern w:val="0"/>
          <w:szCs w:val="20"/>
          <w:lang w:val="en-GB" w:eastAsia="en-US"/>
        </w:rPr>
        <w:tab/>
      </w:r>
      <w:r>
        <w:rPr>
          <w:rFonts w:eastAsia="PMingLiU" w:cs="Times New Roman"/>
          <w:b/>
          <w:noProof/>
          <w:kern w:val="0"/>
          <w:szCs w:val="20"/>
          <w:lang w:val="en-GB" w:eastAsia="en-US"/>
        </w:rPr>
        <w:tab/>
      </w:r>
      <w:r>
        <w:rPr>
          <w:rFonts w:eastAsia="PMingLiU" w:cs="Times New Roman"/>
          <w:b/>
          <w:noProof/>
          <w:kern w:val="0"/>
          <w:szCs w:val="20"/>
          <w:lang w:val="en-GB" w:eastAsia="en-US"/>
        </w:rPr>
        <w:tab/>
      </w:r>
      <w:r>
        <w:rPr>
          <w:rFonts w:eastAsia="PMingLiU" w:cs="Times New Roman"/>
          <w:b/>
          <w:noProof/>
          <w:kern w:val="0"/>
          <w:szCs w:val="20"/>
          <w:lang w:val="en-GB" w:eastAsia="en-US"/>
        </w:rPr>
        <w:tab/>
      </w:r>
      <w:r>
        <w:rPr>
          <w:rFonts w:eastAsia="PMingLiU" w:cs="Times New Roman"/>
          <w:b/>
          <w:noProof/>
          <w:kern w:val="0"/>
          <w:szCs w:val="20"/>
          <w:lang w:val="en-GB" w:eastAsia="en-US"/>
        </w:rPr>
        <w:tab/>
      </w:r>
      <w:r w:rsidR="003D52AC">
        <w:rPr>
          <w:rFonts w:eastAsia="PMingLiU" w:cs="Times New Roman"/>
          <w:b/>
          <w:noProof/>
          <w:kern w:val="0"/>
          <w:szCs w:val="20"/>
          <w:lang w:val="en-GB" w:eastAsia="en-US"/>
        </w:rPr>
        <w:t xml:space="preserve"> </w:t>
      </w:r>
      <w:r w:rsidRPr="003D52AC">
        <w:rPr>
          <w:rFonts w:eastAsia="PMingLiU" w:cs="Times New Roman"/>
          <w:noProof/>
          <w:kern w:val="0"/>
          <w:szCs w:val="20"/>
          <w:lang w:val="en-GB" w:eastAsia="en-US"/>
        </w:rPr>
        <w:t>(Resubmission of R2-1707227)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1C68A4" w:rsidRPr="001C68A4">
        <w:rPr>
          <w:rFonts w:eastAsia="PMingLiU" w:cs="Times New Roman"/>
          <w:b/>
          <w:kern w:val="0"/>
          <w:sz w:val="22"/>
          <w:lang w:eastAsia="zh-CN"/>
        </w:rPr>
        <w:t>10.2.8</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1"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gNB. Once the control signaling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As a way to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gNB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gNB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gNBs. During such uncertain time, the source gNB may keep trying to transmit to the UE when the UE is already detached from the source gNB. The data forwarding can only be initiated after the handover indication from one target cell, which increases the interruption time. Therefore, it is desired to enhance the current conditional handover procedure such that the source gNB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gNB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gNB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gNB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gNB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gNB.</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65.5pt" o:ole="">
            <v:imagedata r:id="rId8" o:title=""/>
          </v:shape>
          <o:OLEObject Type="Embed" ProgID="Visio.Drawing.11" ShapeID="_x0000_i1025" DrawAspect="Content" ObjectID="_1563994819" r:id="rId9"/>
        </w:object>
      </w:r>
    </w:p>
    <w:p w:rsidR="00FF0D53" w:rsidRPr="008D23BE" w:rsidRDefault="00FF0D53" w:rsidP="00FF0D53">
      <w:pPr>
        <w:pStyle w:val="Figure1"/>
        <w:rPr>
          <w:lang w:eastAsia="ko-KR"/>
        </w:rPr>
      </w:pPr>
      <w:bookmarkStart w:id="2" w:name="_Ref477962016"/>
      <w:r>
        <w:t xml:space="preserve">Figure </w:t>
      </w:r>
      <w:fldSimple w:instr=" SEQ Figure \* ARABIC ">
        <w:r w:rsidR="00D849A9">
          <w:rPr>
            <w:noProof/>
          </w:rPr>
          <w:t>1</w:t>
        </w:r>
      </w:fldSimple>
      <w:bookmarkEnd w:id="2"/>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gNB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gNB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source gNB</w:t>
      </w:r>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gNB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gNB</w:t>
      </w:r>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gNB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and waits for ACK from one of the target gNB.</w:t>
      </w:r>
      <w:r>
        <w:rPr>
          <w:rFonts w:eastAsia="KaiTi_GB2312" w:cs="Arial Unicode MS"/>
        </w:rPr>
        <w:t xml:space="preserve">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ource gNB</w:t>
      </w:r>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9pt;height:272.65pt" o:ole="">
            <v:imagedata r:id="rId10" o:title=""/>
          </v:shape>
          <o:OLEObject Type="Embed" ProgID="Visio.Drawing.11" ShapeID="_x0000_i1026" DrawAspect="Content" ObjectID="_1563994820" r:id="rId11"/>
        </w:object>
      </w:r>
    </w:p>
    <w:p w:rsidR="000954F6" w:rsidRPr="008D23BE" w:rsidRDefault="000954F6" w:rsidP="000954F6">
      <w:pPr>
        <w:pStyle w:val="Figure1"/>
        <w:rPr>
          <w:lang w:eastAsia="ko-KR"/>
        </w:rPr>
      </w:pPr>
      <w:bookmarkStart w:id="3" w:name="_Ref477962075"/>
      <w:r>
        <w:t xml:space="preserve">Figure </w:t>
      </w:r>
      <w:fldSimple w:instr=" SEQ Figure \* ARABIC ">
        <w:r w:rsidR="00D849A9">
          <w:rPr>
            <w:noProof/>
          </w:rPr>
          <w:t>2</w:t>
        </w:r>
      </w:fldSimple>
      <w:bookmarkEnd w:id="3"/>
      <w:r w:rsidRPr="002B67E5">
        <w:t xml:space="preserve">: </w:t>
      </w:r>
      <w:r>
        <w:t>Flow chart of the source gNB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4.4pt;height:275.65pt" o:ole="">
            <v:imagedata r:id="rId12" o:title=""/>
          </v:shape>
          <o:OLEObject Type="Embed" ProgID="Visio.Drawing.11" ShapeID="_x0000_i1027" DrawAspect="Content" ObjectID="_1563994821" r:id="rId13"/>
        </w:object>
      </w:r>
    </w:p>
    <w:p w:rsidR="00753AD1" w:rsidRPr="008D23BE" w:rsidRDefault="00753AD1" w:rsidP="00753AD1">
      <w:pPr>
        <w:pStyle w:val="Figure1"/>
        <w:rPr>
          <w:lang w:eastAsia="ko-KR"/>
        </w:rPr>
      </w:pPr>
      <w:bookmarkStart w:id="4" w:name="_Ref477965678"/>
      <w:r>
        <w:t xml:space="preserve">Figure </w:t>
      </w:r>
      <w:fldSimple w:instr=" SEQ Figure \* ARABIC ">
        <w:r w:rsidR="00D849A9">
          <w:rPr>
            <w:noProof/>
          </w:rPr>
          <w:t>3</w:t>
        </w:r>
      </w:fldSimple>
      <w:bookmarkEnd w:id="4"/>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gNB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gNB</w:t>
      </w:r>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r w:rsidRPr="009E2F45">
        <w:rPr>
          <w:rFonts w:eastAsia="KaiTi_GB2312" w:cs="Arial Unicode MS"/>
        </w:rPr>
        <w:t xml:space="preserve">gNB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gNB.</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ource gNB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gNBs</w:t>
      </w:r>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15pt;height:370.15pt" o:ole="">
            <v:imagedata r:id="rId14" o:title=""/>
          </v:shape>
          <o:OLEObject Type="Embed" ProgID="Visio.Drawing.11" ShapeID="_x0000_i1028" DrawAspect="Content" ObjectID="_1563994822" r:id="rId15"/>
        </w:object>
      </w:r>
    </w:p>
    <w:p w:rsidR="00753AD1" w:rsidRDefault="00753AD1" w:rsidP="00753AD1">
      <w:pPr>
        <w:pStyle w:val="Figure1"/>
      </w:pPr>
      <w:bookmarkStart w:id="5" w:name="_Ref477966238"/>
      <w:r>
        <w:t xml:space="preserve">Figure </w:t>
      </w:r>
      <w:fldSimple w:instr=" SEQ Figure \* ARABIC ">
        <w:r w:rsidR="00D849A9">
          <w:rPr>
            <w:noProof/>
          </w:rPr>
          <w:t>4</w:t>
        </w:r>
      </w:fldSimple>
      <w:bookmarkEnd w:id="5"/>
      <w:r w:rsidRPr="002B67E5">
        <w:t xml:space="preserve">: </w:t>
      </w:r>
      <w:r w:rsidRPr="00CB7AAC">
        <w:t xml:space="preserve">Signaling flow </w:t>
      </w:r>
      <w:r>
        <w:t xml:space="preserve">when UE is handed over to a high </w:t>
      </w:r>
      <w:r w:rsidR="00943171">
        <w:t>handover</w:t>
      </w:r>
      <w:r>
        <w:t xml:space="preserve"> likelihood gNB and </w:t>
      </w:r>
      <w:r w:rsidR="00943171">
        <w:t>handover</w:t>
      </w:r>
      <w:r>
        <w:t xml:space="preserve"> ACK is received by source gNB</w:t>
      </w:r>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Furthermore, since the measurement report of the UE is triggered earlier when the channel quality of the serving cell is till decent, the source gNB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Xn, NG, and Uu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gNB will coordinate with one or multiple candidate target gNBs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r w:rsidRPr="00C75B0D">
        <w:rPr>
          <w:rFonts w:eastAsia="KaiTi_GB2312" w:cs="Arial Unicode MS"/>
        </w:rPr>
        <w:t>gNB</w:t>
      </w:r>
      <w:r>
        <w:rPr>
          <w:rFonts w:eastAsia="KaiTi_GB2312" w:cs="Arial Unicode MS"/>
        </w:rPr>
        <w:t>s)</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gNB </w:t>
      </w:r>
      <w:r>
        <w:rPr>
          <w:rFonts w:eastAsia="KaiTi_GB2312" w:cs="Arial Unicode MS"/>
        </w:rPr>
        <w:t xml:space="preserve">can </w:t>
      </w:r>
      <w:r w:rsidRPr="00C75B0D">
        <w:rPr>
          <w:rFonts w:eastAsia="KaiTi_GB2312" w:cs="Arial Unicode MS"/>
        </w:rPr>
        <w:t>determine the likelihood of each target gNB</w:t>
      </w:r>
      <w:r>
        <w:rPr>
          <w:rFonts w:eastAsia="KaiTi_GB2312" w:cs="Arial Unicode MS"/>
        </w:rPr>
        <w:t xml:space="preserve"> the UE may be handed over to. In order to reduce </w:t>
      </w:r>
      <w:r>
        <w:rPr>
          <w:rFonts w:eastAsia="KaiTi_GB2312" w:cs="Arial Unicode MS"/>
        </w:rPr>
        <w:lastRenderedPageBreak/>
        <w:t xml:space="preserve">the </w:t>
      </w:r>
      <w:r w:rsidRPr="00C75B0D">
        <w:rPr>
          <w:rFonts w:eastAsia="KaiTi_GB2312" w:cs="Arial Unicode MS"/>
        </w:rPr>
        <w:t>signaling overhead over Xn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gNB and candidate target gNBs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gNBs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gNB can prepare the </w:t>
      </w:r>
      <w:r w:rsidR="00374D6F">
        <w:rPr>
          <w:rFonts w:eastAsia="KaiTi_GB2312" w:cs="Arial Unicode MS"/>
        </w:rPr>
        <w:t>handover</w:t>
      </w:r>
      <w:r>
        <w:rPr>
          <w:rFonts w:eastAsia="KaiTi_GB2312" w:cs="Arial Unicode MS"/>
        </w:rPr>
        <w:t xml:space="preserve"> based on the grade of information provided by the source gNB,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r>
        <w:rPr>
          <w:rFonts w:eastAsia="KaiTi_GB2312" w:cs="Arial Unicode MS"/>
        </w:rPr>
        <w:t>g</w:t>
      </w:r>
      <w:r w:rsidRPr="00DF2F03">
        <w:rPr>
          <w:rFonts w:eastAsia="KaiTi_GB2312" w:cs="Arial Unicode MS"/>
        </w:rPr>
        <w:t xml:space="preserve">NB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r>
        <w:rPr>
          <w:rFonts w:eastAsia="KaiTi_GB2312" w:cs="Arial Unicode MS"/>
        </w:rPr>
        <w:t>g</w:t>
      </w:r>
      <w:r w:rsidRPr="00DF2F03">
        <w:rPr>
          <w:rFonts w:eastAsia="KaiTi_GB2312" w:cs="Arial Unicode MS"/>
        </w:rPr>
        <w:t xml:space="preserve">NB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r>
        <w:t>g</w:t>
      </w:r>
      <w:r w:rsidRPr="005132EF">
        <w:t xml:space="preserve">NB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r>
        <w:t>g</w:t>
      </w:r>
      <w:r w:rsidRPr="005132EF">
        <w:t xml:space="preserve">NB.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r>
        <w:t>g</w:t>
      </w:r>
      <w:r w:rsidRPr="005132EF">
        <w:t xml:space="preserve">NB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The source gNB may also indicate the target gNB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gNB. The target gNB may only perform </w:t>
      </w:r>
      <w:r w:rsidRPr="007272CA">
        <w:rPr>
          <w:rFonts w:eastAsia="KaiTi_GB2312" w:cs="Arial Unicode MS"/>
        </w:rPr>
        <w:t>admission control</w:t>
      </w:r>
      <w:r>
        <w:rPr>
          <w:rFonts w:eastAsia="KaiTi_GB2312" w:cs="Arial Unicode MS"/>
        </w:rPr>
        <w:t xml:space="preserve"> and may not pre-reserve any dedicate resource for the UE. The target gNB may only inform the source gNB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r>
        <w:rPr>
          <w:rFonts w:eastAsia="KaiTi_GB2312" w:cs="Arial Unicode MS"/>
        </w:rPr>
        <w:t>g</w:t>
      </w:r>
      <w:r w:rsidRPr="00DF2334">
        <w:rPr>
          <w:rFonts w:eastAsia="KaiTi_GB2312" w:cs="Arial Unicode MS"/>
        </w:rPr>
        <w:t xml:space="preserve">NB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gNB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gNB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r>
        <w:rPr>
          <w:rFonts w:eastAsia="KaiTi_GB2312" w:cs="Arial Unicode MS"/>
        </w:rPr>
        <w:t xml:space="preserve">gNB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gNB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6" w:name="_Ref450851786"/>
      <w:bookmarkStart w:id="7" w:name="_Ref174151459"/>
      <w:bookmarkStart w:id="8" w:name="_Ref189809556"/>
    </w:p>
    <w:p w:rsidR="006F2288" w:rsidRDefault="006F2288" w:rsidP="006F2288">
      <w:pPr>
        <w:pStyle w:val="Reference"/>
        <w:numPr>
          <w:ilvl w:val="0"/>
          <w:numId w:val="0"/>
        </w:numPr>
        <w:ind w:left="567" w:hanging="567"/>
      </w:pPr>
      <w:bookmarkStart w:id="9"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9"/>
    </w:p>
    <w:bookmarkEnd w:id="6"/>
    <w:bookmarkEnd w:id="7"/>
    <w:bookmarkEnd w:id="8"/>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Huawei, HiSilicon</w:t>
      </w:r>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133" w:rsidRDefault="00650133">
      <w:r>
        <w:separator/>
      </w:r>
    </w:p>
  </w:endnote>
  <w:endnote w:type="continuationSeparator" w:id="0">
    <w:p w:rsidR="00650133" w:rsidRDefault="0065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F124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24C">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133" w:rsidRDefault="00650133">
      <w:r>
        <w:separator/>
      </w:r>
    </w:p>
  </w:footnote>
  <w:footnote w:type="continuationSeparator" w:id="0">
    <w:p w:rsidR="00650133" w:rsidRDefault="0065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1FC6"/>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D52AC"/>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013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124C"/>
    <w:rsid w:val="006F2284"/>
    <w:rsid w:val="006F2288"/>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67AE5"/>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47C4A"/>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555"/>
    <w:rsid w:val="00FC7BA9"/>
    <w:rsid w:val="00FD0898"/>
    <w:rsid w:val="00FD5150"/>
    <w:rsid w:val="00FD77E5"/>
    <w:rsid w:val="00FE0ECF"/>
    <w:rsid w:val="00FE3D34"/>
    <w:rsid w:val="00FE52AB"/>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5B5C5-C657-418C-8379-E2549894D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ASTRI</cp:lastModifiedBy>
  <cp:revision>2</cp:revision>
  <cp:lastPrinted>2017-06-07T08:22:00Z</cp:lastPrinted>
  <dcterms:created xsi:type="dcterms:W3CDTF">2017-08-11T14:14:00Z</dcterms:created>
  <dcterms:modified xsi:type="dcterms:W3CDTF">2017-08-11T14:14:00Z</dcterms:modified>
</cp:coreProperties>
</file>