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2853CAD7" w:rsidR="00EB410E" w:rsidRPr="006E5518" w:rsidRDefault="00EB410E" w:rsidP="00E042EC">
      <w:pPr>
        <w:pStyle w:val="Header"/>
        <w:tabs>
          <w:tab w:val="right" w:pos="9639"/>
        </w:tabs>
        <w:rPr>
          <w:i/>
          <w:sz w:val="44"/>
          <w:szCs w:val="28"/>
          <w:highlight w:val="yellow"/>
          <w:lang w:eastAsia="zh-CN"/>
        </w:rPr>
      </w:pPr>
      <w:r w:rsidRPr="006E5518">
        <w:rPr>
          <w:sz w:val="24"/>
          <w:szCs w:val="28"/>
          <w:lang w:eastAsia="zh-CN"/>
        </w:rPr>
        <w:t>3GPP T</w:t>
      </w:r>
      <w:bookmarkStart w:id="0" w:name="_Ref452454252"/>
      <w:bookmarkEnd w:id="0"/>
      <w:r w:rsidRPr="006E5518">
        <w:rPr>
          <w:sz w:val="24"/>
          <w:szCs w:val="28"/>
          <w:lang w:eastAsia="zh-CN"/>
        </w:rPr>
        <w:t xml:space="preserve">SG RAN WG2 Meeting </w:t>
      </w:r>
      <w:r w:rsidR="001E531D" w:rsidRPr="006E5518">
        <w:rPr>
          <w:sz w:val="24"/>
          <w:szCs w:val="28"/>
          <w:lang w:eastAsia="zh-CN"/>
        </w:rPr>
        <w:t>#13</w:t>
      </w:r>
      <w:r w:rsidR="009D105A">
        <w:rPr>
          <w:sz w:val="24"/>
          <w:szCs w:val="28"/>
          <w:lang w:eastAsia="zh-CN"/>
        </w:rPr>
        <w:t xml:space="preserve">2     </w:t>
      </w:r>
      <w:r w:rsidR="002D62DE" w:rsidRPr="006E5518">
        <w:rPr>
          <w:sz w:val="24"/>
          <w:szCs w:val="28"/>
          <w:lang w:eastAsia="zh-CN"/>
        </w:rPr>
        <w:t xml:space="preserve">  </w:t>
      </w:r>
      <w:r w:rsidR="00EC3444" w:rsidRPr="006E5518">
        <w:rPr>
          <w:sz w:val="24"/>
          <w:szCs w:val="28"/>
          <w:lang w:eastAsia="zh-CN"/>
        </w:rPr>
        <w:t xml:space="preserve"> </w:t>
      </w:r>
      <w:r w:rsidRPr="006E5518">
        <w:rPr>
          <w:sz w:val="24"/>
          <w:szCs w:val="28"/>
        </w:rPr>
        <w:t xml:space="preserve">                      </w:t>
      </w:r>
      <w:r w:rsidR="001E0B8C" w:rsidRPr="006E5518">
        <w:rPr>
          <w:sz w:val="24"/>
          <w:szCs w:val="28"/>
        </w:rPr>
        <w:t xml:space="preserve"> </w:t>
      </w:r>
      <w:r w:rsidR="008B56A6" w:rsidRPr="006E5518">
        <w:rPr>
          <w:sz w:val="24"/>
          <w:szCs w:val="28"/>
        </w:rPr>
        <w:t xml:space="preserve">                            </w:t>
      </w:r>
      <w:r w:rsidRPr="006E5518">
        <w:rPr>
          <w:sz w:val="24"/>
          <w:szCs w:val="28"/>
        </w:rPr>
        <w:t xml:space="preserve"> </w:t>
      </w:r>
      <w:r w:rsidR="00AA5509" w:rsidRPr="00AA5509">
        <w:rPr>
          <w:sz w:val="24"/>
          <w:szCs w:val="28"/>
        </w:rPr>
        <w:t>R2-2508626</w:t>
      </w:r>
    </w:p>
    <w:p w14:paraId="2B60AF3C" w14:textId="7178EE31" w:rsidR="00EB410E" w:rsidRDefault="000D6595" w:rsidP="00ED7D99">
      <w:pPr>
        <w:pStyle w:val="CRCoverPage"/>
        <w:spacing w:after="240"/>
        <w:outlineLvl w:val="0"/>
        <w:rPr>
          <w:b/>
          <w:sz w:val="24"/>
        </w:rPr>
      </w:pPr>
      <w:r>
        <w:rPr>
          <w:b/>
          <w:sz w:val="24"/>
        </w:rPr>
        <w:t>Dallas, USA</w:t>
      </w:r>
      <w:r w:rsidR="00082E6F" w:rsidRPr="00082E6F">
        <w:rPr>
          <w:b/>
          <w:sz w:val="24"/>
        </w:rPr>
        <w:t xml:space="preserve">, </w:t>
      </w:r>
      <w:r>
        <w:rPr>
          <w:b/>
          <w:sz w:val="24"/>
        </w:rPr>
        <w:t>Nov</w:t>
      </w:r>
      <w:r w:rsidR="00082E6F" w:rsidRPr="00082E6F">
        <w:rPr>
          <w:b/>
          <w:sz w:val="24"/>
        </w:rPr>
        <w:t>. 17</w:t>
      </w:r>
      <w:r w:rsidR="00082E6F" w:rsidRPr="000D6595">
        <w:rPr>
          <w:b/>
          <w:sz w:val="24"/>
          <w:vertAlign w:val="superscript"/>
        </w:rPr>
        <w:t>th</w:t>
      </w:r>
      <w:r>
        <w:rPr>
          <w:b/>
          <w:sz w:val="24"/>
        </w:rPr>
        <w:t>-21st</w:t>
      </w:r>
      <w:r w:rsidR="001E531D" w:rsidRPr="00082E6F">
        <w:rPr>
          <w:b/>
          <w:sz w:val="24"/>
        </w:rPr>
        <w:t>, 2025</w:t>
      </w:r>
    </w:p>
    <w:p w14:paraId="012E2D7F" w14:textId="64AD08E5"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41586A">
        <w:rPr>
          <w:rFonts w:ascii="Arial" w:hAnsi="Arial" w:cs="Arial"/>
          <w:sz w:val="24"/>
          <w:szCs w:val="24"/>
        </w:rPr>
        <w:t>10.2.</w:t>
      </w:r>
      <w:r w:rsidR="007473EE">
        <w:rPr>
          <w:rFonts w:ascii="Arial" w:hAnsi="Arial" w:cs="Arial"/>
          <w:sz w:val="24"/>
          <w:szCs w:val="24"/>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7745289"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473EE">
        <w:rPr>
          <w:rFonts w:ascii="Arial" w:hAnsi="Arial" w:cs="Arial"/>
          <w:bCs/>
          <w:sz w:val="24"/>
        </w:rPr>
        <w:t>Deployments, migration, device types and new services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6E12B82E" w14:textId="50706B73" w:rsidR="00543136" w:rsidRDefault="001E0B8C" w:rsidP="00543136">
      <w:pPr>
        <w:spacing w:after="120"/>
        <w:jc w:val="both"/>
      </w:pPr>
      <w:bookmarkStart w:id="1" w:name="Proposal_Pattern_Length"/>
      <w:r w:rsidRPr="00543136">
        <w:t>This document discusses</w:t>
      </w:r>
      <w:r w:rsidR="00191959" w:rsidRPr="00543136">
        <w:t xml:space="preserve"> our views on</w:t>
      </w:r>
      <w:r w:rsidR="00543136" w:rsidRPr="00543136">
        <w:t xml:space="preserve"> 6G system with </w:t>
      </w:r>
      <w:r w:rsidR="00543136">
        <w:t>focus</w:t>
      </w:r>
      <w:r w:rsidR="00543136" w:rsidRPr="00543136">
        <w:t xml:space="preserve"> on</w:t>
      </w:r>
      <w:r w:rsidR="00191959" w:rsidRPr="00543136">
        <w:t xml:space="preserve"> the deployment scenarios</w:t>
      </w:r>
      <w:r w:rsidR="00543136">
        <w:t>/</w:t>
      </w:r>
      <w:r w:rsidR="00191959" w:rsidRPr="00543136">
        <w:t>migration strategies</w:t>
      </w:r>
      <w:r w:rsidR="00543136">
        <w:t>, diverse device types and new services</w:t>
      </w:r>
      <w:r w:rsidR="00B34DB2">
        <w:t xml:space="preserve">. </w:t>
      </w:r>
      <w:r w:rsidR="00543136">
        <w:t xml:space="preserve">The agreed 6G SID captures the guidance on the scenarios to start focusing RAN work (as highlighted in yellow on the relevant SI objectives copied below). </w:t>
      </w:r>
    </w:p>
    <w:p w14:paraId="5F30B113" w14:textId="77777777" w:rsidR="00543136" w:rsidRPr="00CA202E" w:rsidRDefault="00543136" w:rsidP="00543136">
      <w:pPr>
        <w:spacing w:after="0"/>
        <w:rPr>
          <w:i/>
          <w:iCs/>
          <w:lang w:eastAsia="x-none"/>
        </w:rPr>
      </w:pPr>
      <w:r w:rsidRPr="00CA202E">
        <w:rPr>
          <w:i/>
          <w:iCs/>
          <w:noProof/>
        </w:rPr>
        <mc:AlternateContent>
          <mc:Choice Requires="wps">
            <w:drawing>
              <wp:anchor distT="0" distB="0" distL="114300" distR="114300" simplePos="0" relativeHeight="251659264" behindDoc="0" locked="0" layoutInCell="1" allowOverlap="1" wp14:anchorId="6A060330" wp14:editId="03B527C0">
                <wp:simplePos x="0" y="0"/>
                <wp:positionH relativeFrom="column">
                  <wp:posOffset>0</wp:posOffset>
                </wp:positionH>
                <wp:positionV relativeFrom="paragraph">
                  <wp:posOffset>0</wp:posOffset>
                </wp:positionV>
                <wp:extent cx="1828800" cy="1828800"/>
                <wp:effectExtent l="0" t="0" r="0" b="0"/>
                <wp:wrapSquare wrapText="bothSides"/>
                <wp:docPr id="79574664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9E242A7" w14:textId="77777777" w:rsidR="00543136" w:rsidRPr="007C0295" w:rsidRDefault="00543136" w:rsidP="00B34DB2">
                            <w:pPr>
                              <w:overflowPunct/>
                              <w:autoSpaceDE/>
                              <w:autoSpaceDN/>
                              <w:adjustRightInd/>
                              <w:spacing w:after="60" w:line="276" w:lineRule="auto"/>
                              <w:rPr>
                                <w:rFonts w:eastAsia="Aptos"/>
                                <w:i/>
                                <w:iCs/>
                                <w:color w:val="000000"/>
                                <w:sz w:val="18"/>
                                <w:szCs w:val="18"/>
                              </w:rPr>
                            </w:pPr>
                            <w:r w:rsidRPr="007C0295">
                              <w:rPr>
                                <w:rFonts w:eastAsia="Aptos"/>
                                <w:b/>
                                <w:bCs/>
                                <w:i/>
                                <w:iCs/>
                                <w:color w:val="000000"/>
                                <w:sz w:val="18"/>
                                <w:szCs w:val="18"/>
                              </w:rPr>
                              <w:t xml:space="preserve">(1) Single technology framework based on </w:t>
                            </w:r>
                            <w:r w:rsidRPr="007C0295">
                              <w:rPr>
                                <w:rFonts w:eastAsia="Aptos"/>
                                <w:b/>
                                <w:bCs/>
                                <w:i/>
                                <w:iCs/>
                                <w:color w:val="000000"/>
                                <w:sz w:val="18"/>
                                <w:szCs w:val="18"/>
                                <w:highlight w:val="yellow"/>
                              </w:rPr>
                              <w:t>a stand-alone architecture</w:t>
                            </w:r>
                            <w:r w:rsidRPr="007C0295">
                              <w:rPr>
                                <w:rFonts w:eastAsia="Aptos"/>
                                <w:b/>
                                <w:bCs/>
                                <w:i/>
                                <w:iCs/>
                                <w:color w:val="000000"/>
                                <w:sz w:val="18"/>
                                <w:szCs w:val="18"/>
                                <w:lang w:eastAsia="ja-JP"/>
                              </w:rPr>
                              <w:t xml:space="preserve"> </w:t>
                            </w:r>
                            <w:r w:rsidRPr="007C0295">
                              <w:rPr>
                                <w:rFonts w:eastAsia="Aptos"/>
                                <w:i/>
                                <w:iCs/>
                                <w:color w:val="000000"/>
                                <w:sz w:val="18"/>
                                <w:szCs w:val="18"/>
                                <w:lang w:eastAsia="ja-JP"/>
                              </w:rPr>
                              <w:t>(Note1)</w:t>
                            </w:r>
                            <w:r w:rsidRPr="007C0295">
                              <w:rPr>
                                <w:rFonts w:eastAsia="Aptos"/>
                                <w:i/>
                                <w:iCs/>
                                <w:color w:val="000000"/>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w:t>
                            </w:r>
                            <w:r w:rsidRPr="007C0295">
                              <w:rPr>
                                <w:rFonts w:eastAsia="Aptos"/>
                                <w:i/>
                                <w:iCs/>
                                <w:sz w:val="18"/>
                                <w:szCs w:val="18"/>
                              </w:rPr>
                              <w:t>[RAN1</w:t>
                            </w:r>
                            <w:r w:rsidRPr="007C0295">
                              <w:rPr>
                                <w:rFonts w:eastAsia="Aptos"/>
                                <w:i/>
                                <w:iCs/>
                                <w:sz w:val="18"/>
                                <w:szCs w:val="18"/>
                                <w:lang w:eastAsia="ja-JP"/>
                              </w:rPr>
                              <w:t>,</w:t>
                            </w:r>
                            <w:r w:rsidRPr="007C0295">
                              <w:rPr>
                                <w:rFonts w:eastAsia="Aptos"/>
                                <w:i/>
                                <w:iCs/>
                                <w:sz w:val="18"/>
                                <w:szCs w:val="18"/>
                              </w:rPr>
                              <w:t xml:space="preserve"> RAN2, RAN3, RAN4]</w:t>
                            </w:r>
                          </w:p>
                          <w:p w14:paraId="6823BD5C"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Ensuring appropriate set of functionalities, </w:t>
                            </w:r>
                            <w:r w:rsidRPr="007C0295">
                              <w:rPr>
                                <w:rFonts w:eastAsia="Aptos"/>
                                <w:b/>
                                <w:bCs/>
                                <w:i/>
                                <w:iCs/>
                                <w:color w:val="000000"/>
                                <w:sz w:val="18"/>
                                <w:szCs w:val="18"/>
                              </w:rPr>
                              <w:t>minimize the adoption of multiple options for the same functionality, avoid excessive configurations</w:t>
                            </w:r>
                            <w:r w:rsidRPr="007C0295">
                              <w:rPr>
                                <w:rFonts w:eastAsia="Aptos"/>
                                <w:i/>
                                <w:iCs/>
                                <w:color w:val="000000"/>
                                <w:sz w:val="18"/>
                                <w:szCs w:val="18"/>
                              </w:rPr>
                              <w:t>, excessive UE capabilities and UE capabilities reporting.</w:t>
                            </w:r>
                          </w:p>
                          <w:p w14:paraId="3E245135"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b/>
                                <w:bCs/>
                                <w:i/>
                                <w:iCs/>
                                <w:color w:val="000000"/>
                                <w:sz w:val="18"/>
                                <w:szCs w:val="18"/>
                              </w:rPr>
                              <w:t>Energy efficiency and energy saving: both for network and device</w:t>
                            </w:r>
                            <w:r w:rsidRPr="007C0295">
                              <w:rPr>
                                <w:rFonts w:eastAsia="Aptos"/>
                                <w:i/>
                                <w:iCs/>
                                <w:color w:val="000000"/>
                                <w:sz w:val="18"/>
                                <w:szCs w:val="18"/>
                              </w:rPr>
                              <w:t>.</w:t>
                            </w:r>
                          </w:p>
                          <w:p w14:paraId="124C2F7B"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Enhanced spectral efficiency. </w:t>
                            </w:r>
                          </w:p>
                          <w:p w14:paraId="0FC63144"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Enhanced overall coverage, focus on </w:t>
                            </w:r>
                            <w:r w:rsidRPr="007C0295">
                              <w:rPr>
                                <w:rFonts w:eastAsia="Aptos"/>
                                <w:b/>
                                <w:bCs/>
                                <w:i/>
                                <w:iCs/>
                                <w:color w:val="000000"/>
                                <w:sz w:val="18"/>
                                <w:szCs w:val="18"/>
                              </w:rPr>
                              <w:t>cell-edge performance and UL coverage.</w:t>
                            </w:r>
                          </w:p>
                          <w:p w14:paraId="415CBE4B"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Wider channel BW (at least 200MHz) support for 6G deployments at least &gt; 2 GHz, ~ 7 GHz.</w:t>
                            </w:r>
                          </w:p>
                          <w:p w14:paraId="1DFD0CC1"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Re-use of existing 5G mid-band (~3.5GHz) site grid for 6G deployments in at least around 7 GHz and targeting comparable coverage to 5G mid-band.</w:t>
                            </w:r>
                          </w:p>
                          <w:p w14:paraId="0FDF02DC"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Target scalable and forward compatible design for diverse device types.</w:t>
                            </w:r>
                          </w:p>
                          <w:p w14:paraId="797D74FB"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Improved spectrum utilization and operations </w:t>
                            </w:r>
                            <w:proofErr w:type="gramStart"/>
                            <w:r w:rsidRPr="007C0295">
                              <w:rPr>
                                <w:rFonts w:eastAsia="Aptos"/>
                                <w:i/>
                                <w:iCs/>
                                <w:color w:val="000000"/>
                                <w:sz w:val="18"/>
                                <w:szCs w:val="18"/>
                              </w:rPr>
                              <w:t>taking into account</w:t>
                            </w:r>
                            <w:proofErr w:type="gramEnd"/>
                            <w:r w:rsidRPr="007C0295">
                              <w:rPr>
                                <w:rFonts w:eastAsia="Aptos"/>
                                <w:i/>
                                <w:iCs/>
                                <w:color w:val="000000"/>
                                <w:sz w:val="18"/>
                                <w:szCs w:val="18"/>
                              </w:rPr>
                              <w:t xml:space="preserve"> diverse spectrum allocations</w:t>
                            </w:r>
                          </w:p>
                          <w:p w14:paraId="5CFDB0D3"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Aim at using </w:t>
                            </w:r>
                            <w:r w:rsidRPr="007C0295">
                              <w:rPr>
                                <w:rFonts w:eastAsia="Aptos"/>
                                <w:b/>
                                <w:bCs/>
                                <w:i/>
                                <w:iCs/>
                                <w:color w:val="000000"/>
                                <w:sz w:val="18"/>
                                <w:szCs w:val="18"/>
                              </w:rPr>
                              <w:t>common 6G Radio design</w:t>
                            </w:r>
                            <w:r w:rsidRPr="007C0295">
                              <w:rPr>
                                <w:rFonts w:eastAsia="Aptos"/>
                                <w:i/>
                                <w:iCs/>
                                <w:color w:val="000000"/>
                                <w:sz w:val="18"/>
                                <w:szCs w:val="18"/>
                              </w:rPr>
                              <w:t>, which meets mobile broadband service requirements as high priority, to also meet vertical needs.</w:t>
                            </w:r>
                          </w:p>
                          <w:p w14:paraId="0B75815F"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Aim at a </w:t>
                            </w:r>
                            <w:r w:rsidRPr="007C0295">
                              <w:rPr>
                                <w:rFonts w:eastAsia="Aptos"/>
                                <w:b/>
                                <w:bCs/>
                                <w:i/>
                                <w:iCs/>
                                <w:color w:val="000000"/>
                                <w:sz w:val="18"/>
                                <w:szCs w:val="18"/>
                              </w:rPr>
                              <w:t>harmonized 6G Radio design for TN and NTN,</w:t>
                            </w:r>
                            <w:r w:rsidRPr="007C0295">
                              <w:rPr>
                                <w:rFonts w:eastAsia="Aptos"/>
                                <w:i/>
                                <w:iCs/>
                                <w:color w:val="000000"/>
                                <w:sz w:val="18"/>
                                <w:szCs w:val="18"/>
                              </w:rPr>
                              <w:t xml:space="preserve"> including their </w:t>
                            </w:r>
                            <w:r w:rsidRPr="007C0295">
                              <w:rPr>
                                <w:rFonts w:eastAsia="Aptos"/>
                                <w:b/>
                                <w:bCs/>
                                <w:i/>
                                <w:iCs/>
                                <w:color w:val="000000"/>
                                <w:sz w:val="18"/>
                                <w:szCs w:val="18"/>
                              </w:rPr>
                              <w:t>integration</w:t>
                            </w:r>
                            <w:r w:rsidRPr="007C0295">
                              <w:rPr>
                                <w:rFonts w:eastAsia="Aptos"/>
                                <w:i/>
                                <w:iCs/>
                                <w:color w:val="000000"/>
                                <w:sz w:val="18"/>
                                <w:szCs w:val="18"/>
                              </w:rPr>
                              <w:t>.</w:t>
                            </w:r>
                          </w:p>
                          <w:p w14:paraId="35F0D083"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System simplification, including reducing configuration complexity, enabling more efficient Cell/UE management, etc.</w:t>
                            </w:r>
                          </w:p>
                          <w:p w14:paraId="727BF180" w14:textId="77777777" w:rsidR="00543136" w:rsidRPr="007C0295" w:rsidRDefault="00543136" w:rsidP="00B34DB2">
                            <w:pPr>
                              <w:tabs>
                                <w:tab w:val="left" w:pos="180"/>
                              </w:tabs>
                              <w:spacing w:after="60" w:line="276" w:lineRule="auto"/>
                              <w:ind w:leftChars="90" w:left="180"/>
                              <w:rPr>
                                <w:rFonts w:eastAsia="Aptos"/>
                                <w:i/>
                                <w:iCs/>
                                <w:color w:val="000000"/>
                                <w:sz w:val="18"/>
                                <w:szCs w:val="18"/>
                                <w:lang w:eastAsia="ja-JP"/>
                              </w:rPr>
                            </w:pPr>
                            <w:r w:rsidRPr="007C0295">
                              <w:rPr>
                                <w:rFonts w:eastAsia="Aptos"/>
                                <w:i/>
                                <w:iCs/>
                                <w:color w:val="000000"/>
                                <w:sz w:val="18"/>
                                <w:szCs w:val="18"/>
                                <w:lang w:eastAsia="ja-JP"/>
                              </w:rPr>
                              <w:t xml:space="preserve">Note1: the term </w:t>
                            </w:r>
                            <w:r w:rsidRPr="007C0295">
                              <w:rPr>
                                <w:rFonts w:eastAsia="Aptos"/>
                                <w:i/>
                                <w:iCs/>
                                <w:color w:val="000000"/>
                                <w:sz w:val="18"/>
                                <w:szCs w:val="18"/>
                                <w:highlight w:val="yellow"/>
                                <w:lang w:eastAsia="ja-JP"/>
                              </w:rPr>
                              <w:t>stand-alone architecture does not imply any particular Core network architecture, which is up to SA2 discussion.</w:t>
                            </w:r>
                          </w:p>
                          <w:p w14:paraId="17ECB962" w14:textId="77777777" w:rsidR="00543136" w:rsidRPr="007C0295" w:rsidRDefault="00543136" w:rsidP="00B34DB2">
                            <w:pPr>
                              <w:tabs>
                                <w:tab w:val="left" w:pos="180"/>
                              </w:tabs>
                              <w:spacing w:after="60" w:line="276" w:lineRule="auto"/>
                              <w:ind w:leftChars="90" w:left="180"/>
                              <w:rPr>
                                <w:rFonts w:eastAsia="Aptos"/>
                                <w:i/>
                                <w:iCs/>
                                <w:color w:val="000000"/>
                                <w:sz w:val="18"/>
                                <w:szCs w:val="18"/>
                                <w:lang w:eastAsia="ja-JP"/>
                              </w:rPr>
                            </w:pPr>
                            <w:r w:rsidRPr="007C0295">
                              <w:rPr>
                                <w:rFonts w:eastAsia="Aptos"/>
                                <w:i/>
                                <w:iCs/>
                                <w:color w:val="000000"/>
                                <w:sz w:val="18"/>
                                <w:szCs w:val="18"/>
                                <w:lang w:eastAsia="ja-JP"/>
                              </w:rPr>
                              <w:t>…</w:t>
                            </w:r>
                          </w:p>
                          <w:p w14:paraId="6F909E12" w14:textId="77777777" w:rsidR="00543136" w:rsidRPr="007C0295" w:rsidRDefault="00543136" w:rsidP="00B34DB2">
                            <w:pPr>
                              <w:overflowPunct/>
                              <w:autoSpaceDE/>
                              <w:autoSpaceDN/>
                              <w:adjustRightInd/>
                              <w:spacing w:after="60" w:line="276" w:lineRule="auto"/>
                              <w:rPr>
                                <w:rFonts w:eastAsia="Aptos"/>
                                <w:i/>
                                <w:iCs/>
                                <w:sz w:val="18"/>
                                <w:szCs w:val="18"/>
                              </w:rPr>
                            </w:pPr>
                            <w:r w:rsidRPr="007C0295">
                              <w:rPr>
                                <w:rFonts w:eastAsia="Aptos"/>
                                <w:b/>
                                <w:bCs/>
                                <w:i/>
                                <w:iCs/>
                                <w:sz w:val="18"/>
                                <w:szCs w:val="18"/>
                              </w:rPr>
                              <w:t xml:space="preserve">(7) </w:t>
                            </w:r>
                            <w:r w:rsidRPr="007C0295">
                              <w:rPr>
                                <w:rFonts w:eastAsia="Aptos"/>
                                <w:i/>
                                <w:iCs/>
                                <w:sz w:val="18"/>
                                <w:szCs w:val="18"/>
                                <w:highlight w:val="yellow"/>
                              </w:rPr>
                              <w:t>Migration from 5G NR to 6GR as well as interworking and mobility between 5G NR and 6GR</w:t>
                            </w:r>
                            <w:r w:rsidRPr="007C0295">
                              <w:rPr>
                                <w:rFonts w:eastAsia="Aptos"/>
                                <w:i/>
                                <w:iCs/>
                                <w:sz w:val="18"/>
                                <w:szCs w:val="18"/>
                              </w:rPr>
                              <w:t>:</w:t>
                            </w:r>
                          </w:p>
                          <w:p w14:paraId="1A0CFE98" w14:textId="77777777" w:rsidR="00543136" w:rsidRPr="007C0295" w:rsidRDefault="00543136" w:rsidP="00B34DB2">
                            <w:pPr>
                              <w:numPr>
                                <w:ilvl w:val="0"/>
                                <w:numId w:val="13"/>
                              </w:numPr>
                              <w:overflowPunct/>
                              <w:autoSpaceDE/>
                              <w:autoSpaceDN/>
                              <w:adjustRightInd/>
                              <w:spacing w:after="60" w:line="276" w:lineRule="auto"/>
                              <w:ind w:left="450" w:hanging="270"/>
                              <w:rPr>
                                <w:rFonts w:eastAsia="Aptos"/>
                                <w:i/>
                                <w:iCs/>
                                <w:sz w:val="18"/>
                                <w:szCs w:val="18"/>
                              </w:rPr>
                            </w:pPr>
                            <w:r w:rsidRPr="007C0295">
                              <w:rPr>
                                <w:rFonts w:eastAsia="Aptos"/>
                                <w:i/>
                                <w:iCs/>
                                <w:sz w:val="18"/>
                                <w:szCs w:val="18"/>
                              </w:rPr>
                              <w:t>5G-6G Multi-RAT Spectrum Sharing for migration [RAN1</w:t>
                            </w:r>
                            <w:r w:rsidRPr="007C0295">
                              <w:rPr>
                                <w:rFonts w:eastAsia="Aptos"/>
                                <w:i/>
                                <w:iCs/>
                                <w:sz w:val="18"/>
                                <w:szCs w:val="18"/>
                                <w:lang w:eastAsia="ja-JP"/>
                              </w:rPr>
                              <w:t>,</w:t>
                            </w:r>
                            <w:r w:rsidRPr="007C0295">
                              <w:rPr>
                                <w:rFonts w:eastAsia="Aptos"/>
                                <w:i/>
                                <w:iCs/>
                                <w:sz w:val="18"/>
                                <w:szCs w:val="18"/>
                              </w:rPr>
                              <w:t xml:space="preserve"> RAN2, RAN4, RAN3]</w:t>
                            </w:r>
                          </w:p>
                          <w:p w14:paraId="7F8FCFFA" w14:textId="77777777" w:rsidR="00543136" w:rsidRPr="007C0295" w:rsidRDefault="00543136" w:rsidP="00B34DB2">
                            <w:pPr>
                              <w:numPr>
                                <w:ilvl w:val="0"/>
                                <w:numId w:val="13"/>
                              </w:numPr>
                              <w:overflowPunct/>
                              <w:autoSpaceDE/>
                              <w:autoSpaceDN/>
                              <w:adjustRightInd/>
                              <w:spacing w:after="60" w:line="276" w:lineRule="auto"/>
                              <w:ind w:left="450" w:hanging="270"/>
                              <w:rPr>
                                <w:rFonts w:eastAsia="Aptos"/>
                                <w:i/>
                                <w:iCs/>
                                <w:sz w:val="18"/>
                                <w:szCs w:val="18"/>
                              </w:rPr>
                            </w:pPr>
                            <w:r w:rsidRPr="007C0295">
                              <w:rPr>
                                <w:rFonts w:eastAsia="Aptos"/>
                                <w:i/>
                                <w:iCs/>
                                <w:sz w:val="18"/>
                                <w:szCs w:val="18"/>
                                <w:highlight w:val="yellow"/>
                              </w:rPr>
                              <w:t xml:space="preserve">Study if any additional </w:t>
                            </w:r>
                            <w:r w:rsidRPr="007C0295">
                              <w:rPr>
                                <w:rFonts w:eastAsia="Aptos"/>
                                <w:i/>
                                <w:iCs/>
                                <w:sz w:val="18"/>
                                <w:szCs w:val="18"/>
                                <w:highlight w:val="yellow"/>
                                <w:lang w:eastAsia="ja-JP"/>
                              </w:rPr>
                              <w:t>migration</w:t>
                            </w:r>
                            <w:r w:rsidRPr="007C0295">
                              <w:rPr>
                                <w:rFonts w:eastAsia="Aptos"/>
                                <w:i/>
                                <w:iCs/>
                                <w:sz w:val="18"/>
                                <w:szCs w:val="18"/>
                                <w:highlight w:val="yellow"/>
                              </w:rPr>
                              <w:t xml:space="preserve"> </w:t>
                            </w:r>
                            <w:r w:rsidRPr="007C0295">
                              <w:rPr>
                                <w:rFonts w:eastAsia="Aptos"/>
                                <w:i/>
                                <w:iCs/>
                                <w:sz w:val="18"/>
                                <w:szCs w:val="18"/>
                                <w:highlight w:val="yellow"/>
                                <w:lang w:eastAsia="ja-JP"/>
                              </w:rPr>
                              <w:t>option(s)</w:t>
                            </w:r>
                            <w:r w:rsidRPr="007C0295">
                              <w:rPr>
                                <w:rFonts w:eastAsia="Aptos"/>
                                <w:i/>
                                <w:iCs/>
                                <w:sz w:val="18"/>
                                <w:szCs w:val="18"/>
                                <w:highlight w:val="yellow"/>
                              </w:rPr>
                              <w:t xml:space="preserve"> is </w:t>
                            </w:r>
                            <w:r w:rsidRPr="007C0295">
                              <w:rPr>
                                <w:rFonts w:eastAsia="Aptos"/>
                                <w:i/>
                                <w:iCs/>
                                <w:sz w:val="18"/>
                                <w:szCs w:val="18"/>
                                <w:highlight w:val="yellow"/>
                                <w:lang w:eastAsia="ja-JP"/>
                              </w:rPr>
                              <w:t>needed (other than standalone, MRSS, and inter-RAT mobility between NR-6G)</w:t>
                            </w:r>
                            <w:r w:rsidRPr="007C0295">
                              <w:rPr>
                                <w:rFonts w:eastAsia="Aptos"/>
                                <w:i/>
                                <w:iCs/>
                                <w:sz w:val="18"/>
                                <w:szCs w:val="18"/>
                                <w:highlight w:val="yellow"/>
                              </w:rPr>
                              <w:t>. [RAN]</w:t>
                            </w:r>
                            <w:r w:rsidRPr="007C0295">
                              <w:rPr>
                                <w:rFonts w:eastAsia="Aptos"/>
                                <w:i/>
                                <w:iCs/>
                                <w:sz w:val="18"/>
                                <w:szCs w:val="18"/>
                              </w:rPr>
                              <w:t xml:space="preserve"> [RAN2, RAN1, RAN3, RAN4].  </w:t>
                            </w:r>
                            <w:r w:rsidRPr="007C0295">
                              <w:rPr>
                                <w:rFonts w:eastAsia="Aptos"/>
                                <w:i/>
                                <w:iCs/>
                                <w:sz w:val="18"/>
                                <w:szCs w:val="18"/>
                                <w:highlight w:val="yellow"/>
                                <w:lang w:eastAsia="ja-JP"/>
                              </w:rPr>
                              <w:t xml:space="preserve">RAN plenary starts this study in March 2026 and will </w:t>
                            </w:r>
                            <w:proofErr w:type="gramStart"/>
                            <w:r w:rsidRPr="007C0295">
                              <w:rPr>
                                <w:rFonts w:eastAsia="Aptos"/>
                                <w:i/>
                                <w:iCs/>
                                <w:sz w:val="18"/>
                                <w:szCs w:val="18"/>
                                <w:highlight w:val="yellow"/>
                                <w:lang w:eastAsia="ja-JP"/>
                              </w:rPr>
                              <w:t>make a decision</w:t>
                            </w:r>
                            <w:proofErr w:type="gramEnd"/>
                            <w:r w:rsidRPr="007C0295">
                              <w:rPr>
                                <w:rFonts w:eastAsia="Aptos"/>
                                <w:i/>
                                <w:iCs/>
                                <w:sz w:val="18"/>
                                <w:szCs w:val="18"/>
                                <w:highlight w:val="yellow"/>
                                <w:lang w:eastAsia="ja-JP"/>
                              </w:rPr>
                              <w:t xml:space="preserve"> by September 2026 whether to expand WG SI scope to cover additional migration option(s).</w:t>
                            </w:r>
                          </w:p>
                          <w:p w14:paraId="4B2AA3F4" w14:textId="77777777" w:rsidR="00543136" w:rsidRPr="007C0295" w:rsidRDefault="00543136" w:rsidP="00B34DB2">
                            <w:pPr>
                              <w:numPr>
                                <w:ilvl w:val="0"/>
                                <w:numId w:val="13"/>
                              </w:numPr>
                              <w:overflowPunct/>
                              <w:autoSpaceDE/>
                              <w:autoSpaceDN/>
                              <w:adjustRightInd/>
                              <w:spacing w:after="60" w:line="276" w:lineRule="auto"/>
                              <w:ind w:left="450" w:hanging="270"/>
                              <w:rPr>
                                <w:rFonts w:eastAsia="Aptos"/>
                                <w:i/>
                                <w:iCs/>
                                <w:sz w:val="18"/>
                                <w:szCs w:val="18"/>
                              </w:rPr>
                            </w:pPr>
                            <w:r w:rsidRPr="007C0295">
                              <w:rPr>
                                <w:rFonts w:eastAsia="Aptos"/>
                                <w:b/>
                                <w:bCs/>
                                <w:i/>
                                <w:iCs/>
                                <w:sz w:val="18"/>
                                <w:szCs w:val="18"/>
                              </w:rPr>
                              <w:t>Mobility between 5G NR and 6GR</w:t>
                            </w:r>
                            <w:r w:rsidRPr="007C0295">
                              <w:rPr>
                                <w:rFonts w:eastAsia="Aptos"/>
                                <w:i/>
                                <w:iCs/>
                                <w:sz w:val="18"/>
                                <w:szCs w:val="18"/>
                              </w:rPr>
                              <w:t xml:space="preserve"> [RAN2, RAN3, RAN4]</w:t>
                            </w:r>
                          </w:p>
                          <w:p w14:paraId="3DE0A47A" w14:textId="77777777" w:rsidR="00543136" w:rsidRPr="007C0295" w:rsidRDefault="00543136" w:rsidP="00B34DB2">
                            <w:pPr>
                              <w:spacing w:after="60" w:line="276" w:lineRule="auto"/>
                              <w:ind w:left="180"/>
                              <w:rPr>
                                <w:rFonts w:eastAsia="Aptos"/>
                                <w:i/>
                                <w:iCs/>
                                <w:color w:val="000000"/>
                                <w:sz w:val="18"/>
                                <w:szCs w:val="18"/>
                                <w:lang w:eastAsia="ja-JP"/>
                              </w:rPr>
                            </w:pPr>
                            <w:r w:rsidRPr="007C0295">
                              <w:rPr>
                                <w:rFonts w:eastAsia="Aptos"/>
                                <w:i/>
                                <w:iCs/>
                                <w:color w:val="000000"/>
                                <w:sz w:val="18"/>
                                <w:szCs w:val="18"/>
                                <w:highlight w:val="yellow"/>
                                <w:lang w:eastAsia="ja-JP"/>
                              </w:rPr>
                              <w:t>Note: Inclusion of LTE/6G interworking/coexistence aspects may be further discussed based on the requirement from RAN plenary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A060330"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9E242A7" w14:textId="77777777" w:rsidR="00543136" w:rsidRPr="007C0295" w:rsidRDefault="00543136" w:rsidP="00B34DB2">
                      <w:pPr>
                        <w:overflowPunct/>
                        <w:autoSpaceDE/>
                        <w:autoSpaceDN/>
                        <w:adjustRightInd/>
                        <w:spacing w:after="60" w:line="276" w:lineRule="auto"/>
                        <w:rPr>
                          <w:rFonts w:eastAsia="Aptos"/>
                          <w:i/>
                          <w:iCs/>
                          <w:color w:val="000000"/>
                          <w:sz w:val="18"/>
                          <w:szCs w:val="18"/>
                        </w:rPr>
                      </w:pPr>
                      <w:r w:rsidRPr="007C0295">
                        <w:rPr>
                          <w:rFonts w:eastAsia="Aptos"/>
                          <w:b/>
                          <w:bCs/>
                          <w:i/>
                          <w:iCs/>
                          <w:color w:val="000000"/>
                          <w:sz w:val="18"/>
                          <w:szCs w:val="18"/>
                        </w:rPr>
                        <w:t xml:space="preserve">(1) Single technology framework based on </w:t>
                      </w:r>
                      <w:r w:rsidRPr="007C0295">
                        <w:rPr>
                          <w:rFonts w:eastAsia="Aptos"/>
                          <w:b/>
                          <w:bCs/>
                          <w:i/>
                          <w:iCs/>
                          <w:color w:val="000000"/>
                          <w:sz w:val="18"/>
                          <w:szCs w:val="18"/>
                          <w:highlight w:val="yellow"/>
                        </w:rPr>
                        <w:t>a stand-alone architecture</w:t>
                      </w:r>
                      <w:r w:rsidRPr="007C0295">
                        <w:rPr>
                          <w:rFonts w:eastAsia="Aptos"/>
                          <w:b/>
                          <w:bCs/>
                          <w:i/>
                          <w:iCs/>
                          <w:color w:val="000000"/>
                          <w:sz w:val="18"/>
                          <w:szCs w:val="18"/>
                          <w:lang w:eastAsia="ja-JP"/>
                        </w:rPr>
                        <w:t xml:space="preserve"> </w:t>
                      </w:r>
                      <w:r w:rsidRPr="007C0295">
                        <w:rPr>
                          <w:rFonts w:eastAsia="Aptos"/>
                          <w:i/>
                          <w:iCs/>
                          <w:color w:val="000000"/>
                          <w:sz w:val="18"/>
                          <w:szCs w:val="18"/>
                          <w:lang w:eastAsia="ja-JP"/>
                        </w:rPr>
                        <w:t>(Note1)</w:t>
                      </w:r>
                      <w:r w:rsidRPr="007C0295">
                        <w:rPr>
                          <w:rFonts w:eastAsia="Aptos"/>
                          <w:i/>
                          <w:iCs/>
                          <w:color w:val="000000"/>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w:t>
                      </w:r>
                      <w:r w:rsidRPr="007C0295">
                        <w:rPr>
                          <w:rFonts w:eastAsia="Aptos"/>
                          <w:i/>
                          <w:iCs/>
                          <w:sz w:val="18"/>
                          <w:szCs w:val="18"/>
                        </w:rPr>
                        <w:t>[RAN1</w:t>
                      </w:r>
                      <w:r w:rsidRPr="007C0295">
                        <w:rPr>
                          <w:rFonts w:eastAsia="Aptos"/>
                          <w:i/>
                          <w:iCs/>
                          <w:sz w:val="18"/>
                          <w:szCs w:val="18"/>
                          <w:lang w:eastAsia="ja-JP"/>
                        </w:rPr>
                        <w:t>,</w:t>
                      </w:r>
                      <w:r w:rsidRPr="007C0295">
                        <w:rPr>
                          <w:rFonts w:eastAsia="Aptos"/>
                          <w:i/>
                          <w:iCs/>
                          <w:sz w:val="18"/>
                          <w:szCs w:val="18"/>
                        </w:rPr>
                        <w:t xml:space="preserve"> RAN2, RAN3, RAN4]</w:t>
                      </w:r>
                    </w:p>
                    <w:p w14:paraId="6823BD5C"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Ensuring appropriate set of functionalities, </w:t>
                      </w:r>
                      <w:r w:rsidRPr="007C0295">
                        <w:rPr>
                          <w:rFonts w:eastAsia="Aptos"/>
                          <w:b/>
                          <w:bCs/>
                          <w:i/>
                          <w:iCs/>
                          <w:color w:val="000000"/>
                          <w:sz w:val="18"/>
                          <w:szCs w:val="18"/>
                        </w:rPr>
                        <w:t>minimize the adoption of multiple options for the same functionality, avoid excessive configurations</w:t>
                      </w:r>
                      <w:r w:rsidRPr="007C0295">
                        <w:rPr>
                          <w:rFonts w:eastAsia="Aptos"/>
                          <w:i/>
                          <w:iCs/>
                          <w:color w:val="000000"/>
                          <w:sz w:val="18"/>
                          <w:szCs w:val="18"/>
                        </w:rPr>
                        <w:t>, excessive UE capabilities and UE capabilities reporting.</w:t>
                      </w:r>
                    </w:p>
                    <w:p w14:paraId="3E245135"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b/>
                          <w:bCs/>
                          <w:i/>
                          <w:iCs/>
                          <w:color w:val="000000"/>
                          <w:sz w:val="18"/>
                          <w:szCs w:val="18"/>
                        </w:rPr>
                        <w:t>Energy efficiency and energy saving: both for network and device</w:t>
                      </w:r>
                      <w:r w:rsidRPr="007C0295">
                        <w:rPr>
                          <w:rFonts w:eastAsia="Aptos"/>
                          <w:i/>
                          <w:iCs/>
                          <w:color w:val="000000"/>
                          <w:sz w:val="18"/>
                          <w:szCs w:val="18"/>
                        </w:rPr>
                        <w:t>.</w:t>
                      </w:r>
                    </w:p>
                    <w:p w14:paraId="124C2F7B"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Enhanced spectral efficiency. </w:t>
                      </w:r>
                    </w:p>
                    <w:p w14:paraId="0FC63144"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Enhanced overall coverage, focus on </w:t>
                      </w:r>
                      <w:r w:rsidRPr="007C0295">
                        <w:rPr>
                          <w:rFonts w:eastAsia="Aptos"/>
                          <w:b/>
                          <w:bCs/>
                          <w:i/>
                          <w:iCs/>
                          <w:color w:val="000000"/>
                          <w:sz w:val="18"/>
                          <w:szCs w:val="18"/>
                        </w:rPr>
                        <w:t>cell-edge performance and UL coverage.</w:t>
                      </w:r>
                    </w:p>
                    <w:p w14:paraId="415CBE4B"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Wider channel BW (at least 200MHz) support for 6G deployments at least &gt; 2 GHz, ~ 7 GHz.</w:t>
                      </w:r>
                    </w:p>
                    <w:p w14:paraId="1DFD0CC1"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Re-use of existing 5G mid-band (~3.5GHz) site grid for 6G deployments in at least around 7 GHz and targeting comparable coverage to 5G mid-band.</w:t>
                      </w:r>
                    </w:p>
                    <w:p w14:paraId="0FDF02DC"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Target scalable and forward compatible design for diverse device types.</w:t>
                      </w:r>
                    </w:p>
                    <w:p w14:paraId="797D74FB"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Improved spectrum utilization and operations taking into account diverse spectrum allocations</w:t>
                      </w:r>
                    </w:p>
                    <w:p w14:paraId="5CFDB0D3"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Aim at using </w:t>
                      </w:r>
                      <w:r w:rsidRPr="007C0295">
                        <w:rPr>
                          <w:rFonts w:eastAsia="Aptos"/>
                          <w:b/>
                          <w:bCs/>
                          <w:i/>
                          <w:iCs/>
                          <w:color w:val="000000"/>
                          <w:sz w:val="18"/>
                          <w:szCs w:val="18"/>
                        </w:rPr>
                        <w:t>common 6G Radio design</w:t>
                      </w:r>
                      <w:r w:rsidRPr="007C0295">
                        <w:rPr>
                          <w:rFonts w:eastAsia="Aptos"/>
                          <w:i/>
                          <w:iCs/>
                          <w:color w:val="000000"/>
                          <w:sz w:val="18"/>
                          <w:szCs w:val="18"/>
                        </w:rPr>
                        <w:t>, which meets mobile broadband service requirements as high priority, to also meet vertical needs.</w:t>
                      </w:r>
                    </w:p>
                    <w:p w14:paraId="0B75815F"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 xml:space="preserve">Aim at a </w:t>
                      </w:r>
                      <w:r w:rsidRPr="007C0295">
                        <w:rPr>
                          <w:rFonts w:eastAsia="Aptos"/>
                          <w:b/>
                          <w:bCs/>
                          <w:i/>
                          <w:iCs/>
                          <w:color w:val="000000"/>
                          <w:sz w:val="18"/>
                          <w:szCs w:val="18"/>
                        </w:rPr>
                        <w:t>harmonized 6G Radio design for TN and NTN,</w:t>
                      </w:r>
                      <w:r w:rsidRPr="007C0295">
                        <w:rPr>
                          <w:rFonts w:eastAsia="Aptos"/>
                          <w:i/>
                          <w:iCs/>
                          <w:color w:val="000000"/>
                          <w:sz w:val="18"/>
                          <w:szCs w:val="18"/>
                        </w:rPr>
                        <w:t xml:space="preserve"> including their </w:t>
                      </w:r>
                      <w:r w:rsidRPr="007C0295">
                        <w:rPr>
                          <w:rFonts w:eastAsia="Aptos"/>
                          <w:b/>
                          <w:bCs/>
                          <w:i/>
                          <w:iCs/>
                          <w:color w:val="000000"/>
                          <w:sz w:val="18"/>
                          <w:szCs w:val="18"/>
                        </w:rPr>
                        <w:t>integration</w:t>
                      </w:r>
                      <w:r w:rsidRPr="007C0295">
                        <w:rPr>
                          <w:rFonts w:eastAsia="Aptos"/>
                          <w:i/>
                          <w:iCs/>
                          <w:color w:val="000000"/>
                          <w:sz w:val="18"/>
                          <w:szCs w:val="18"/>
                        </w:rPr>
                        <w:t>.</w:t>
                      </w:r>
                    </w:p>
                    <w:p w14:paraId="35F0D083" w14:textId="77777777" w:rsidR="00543136" w:rsidRPr="007C0295" w:rsidRDefault="00543136" w:rsidP="00B34DB2">
                      <w:pPr>
                        <w:numPr>
                          <w:ilvl w:val="1"/>
                          <w:numId w:val="12"/>
                        </w:numPr>
                        <w:overflowPunct/>
                        <w:autoSpaceDE/>
                        <w:autoSpaceDN/>
                        <w:adjustRightInd/>
                        <w:spacing w:after="60" w:line="276" w:lineRule="auto"/>
                        <w:ind w:left="450" w:hanging="270"/>
                        <w:rPr>
                          <w:rFonts w:eastAsia="Aptos"/>
                          <w:i/>
                          <w:iCs/>
                          <w:color w:val="000000"/>
                          <w:sz w:val="18"/>
                          <w:szCs w:val="18"/>
                        </w:rPr>
                      </w:pPr>
                      <w:r w:rsidRPr="007C0295">
                        <w:rPr>
                          <w:rFonts w:eastAsia="Aptos"/>
                          <w:i/>
                          <w:iCs/>
                          <w:color w:val="000000"/>
                          <w:sz w:val="18"/>
                          <w:szCs w:val="18"/>
                        </w:rPr>
                        <w:t>System simplification, including reducing configuration complexity, enabling more efficient Cell/UE management, etc.</w:t>
                      </w:r>
                    </w:p>
                    <w:p w14:paraId="727BF180" w14:textId="77777777" w:rsidR="00543136" w:rsidRPr="007C0295" w:rsidRDefault="00543136" w:rsidP="00B34DB2">
                      <w:pPr>
                        <w:tabs>
                          <w:tab w:val="left" w:pos="180"/>
                        </w:tabs>
                        <w:spacing w:after="60" w:line="276" w:lineRule="auto"/>
                        <w:ind w:leftChars="90" w:left="180"/>
                        <w:rPr>
                          <w:rFonts w:eastAsia="Aptos"/>
                          <w:i/>
                          <w:iCs/>
                          <w:color w:val="000000"/>
                          <w:sz w:val="18"/>
                          <w:szCs w:val="18"/>
                          <w:lang w:eastAsia="ja-JP"/>
                        </w:rPr>
                      </w:pPr>
                      <w:r w:rsidRPr="007C0295">
                        <w:rPr>
                          <w:rFonts w:eastAsia="Aptos"/>
                          <w:i/>
                          <w:iCs/>
                          <w:color w:val="000000"/>
                          <w:sz w:val="18"/>
                          <w:szCs w:val="18"/>
                          <w:lang w:eastAsia="ja-JP"/>
                        </w:rPr>
                        <w:t xml:space="preserve">Note1: the term </w:t>
                      </w:r>
                      <w:r w:rsidRPr="007C0295">
                        <w:rPr>
                          <w:rFonts w:eastAsia="Aptos"/>
                          <w:i/>
                          <w:iCs/>
                          <w:color w:val="000000"/>
                          <w:sz w:val="18"/>
                          <w:szCs w:val="18"/>
                          <w:highlight w:val="yellow"/>
                          <w:lang w:eastAsia="ja-JP"/>
                        </w:rPr>
                        <w:t>stand-alone architecture does not imply any particular Core network architecture, which is up to SA2 discussion.</w:t>
                      </w:r>
                    </w:p>
                    <w:p w14:paraId="17ECB962" w14:textId="77777777" w:rsidR="00543136" w:rsidRPr="007C0295" w:rsidRDefault="00543136" w:rsidP="00B34DB2">
                      <w:pPr>
                        <w:tabs>
                          <w:tab w:val="left" w:pos="180"/>
                        </w:tabs>
                        <w:spacing w:after="60" w:line="276" w:lineRule="auto"/>
                        <w:ind w:leftChars="90" w:left="180"/>
                        <w:rPr>
                          <w:rFonts w:eastAsia="Aptos"/>
                          <w:i/>
                          <w:iCs/>
                          <w:color w:val="000000"/>
                          <w:sz w:val="18"/>
                          <w:szCs w:val="18"/>
                          <w:lang w:eastAsia="ja-JP"/>
                        </w:rPr>
                      </w:pPr>
                      <w:r w:rsidRPr="007C0295">
                        <w:rPr>
                          <w:rFonts w:eastAsia="Aptos"/>
                          <w:i/>
                          <w:iCs/>
                          <w:color w:val="000000"/>
                          <w:sz w:val="18"/>
                          <w:szCs w:val="18"/>
                          <w:lang w:eastAsia="ja-JP"/>
                        </w:rPr>
                        <w:t>…</w:t>
                      </w:r>
                    </w:p>
                    <w:p w14:paraId="6F909E12" w14:textId="77777777" w:rsidR="00543136" w:rsidRPr="007C0295" w:rsidRDefault="00543136" w:rsidP="00B34DB2">
                      <w:pPr>
                        <w:overflowPunct/>
                        <w:autoSpaceDE/>
                        <w:autoSpaceDN/>
                        <w:adjustRightInd/>
                        <w:spacing w:after="60" w:line="276" w:lineRule="auto"/>
                        <w:rPr>
                          <w:rFonts w:eastAsia="Aptos"/>
                          <w:i/>
                          <w:iCs/>
                          <w:sz w:val="18"/>
                          <w:szCs w:val="18"/>
                        </w:rPr>
                      </w:pPr>
                      <w:r w:rsidRPr="007C0295">
                        <w:rPr>
                          <w:rFonts w:eastAsia="Aptos"/>
                          <w:b/>
                          <w:bCs/>
                          <w:i/>
                          <w:iCs/>
                          <w:sz w:val="18"/>
                          <w:szCs w:val="18"/>
                        </w:rPr>
                        <w:t xml:space="preserve">(7) </w:t>
                      </w:r>
                      <w:r w:rsidRPr="007C0295">
                        <w:rPr>
                          <w:rFonts w:eastAsia="Aptos"/>
                          <w:i/>
                          <w:iCs/>
                          <w:sz w:val="18"/>
                          <w:szCs w:val="18"/>
                          <w:highlight w:val="yellow"/>
                        </w:rPr>
                        <w:t>Migration from 5G NR to 6GR as well as interworking and mobility between 5G NR and 6GR</w:t>
                      </w:r>
                      <w:r w:rsidRPr="007C0295">
                        <w:rPr>
                          <w:rFonts w:eastAsia="Aptos"/>
                          <w:i/>
                          <w:iCs/>
                          <w:sz w:val="18"/>
                          <w:szCs w:val="18"/>
                        </w:rPr>
                        <w:t>:</w:t>
                      </w:r>
                    </w:p>
                    <w:p w14:paraId="1A0CFE98" w14:textId="77777777" w:rsidR="00543136" w:rsidRPr="007C0295" w:rsidRDefault="00543136" w:rsidP="00B34DB2">
                      <w:pPr>
                        <w:numPr>
                          <w:ilvl w:val="0"/>
                          <w:numId w:val="13"/>
                        </w:numPr>
                        <w:overflowPunct/>
                        <w:autoSpaceDE/>
                        <w:autoSpaceDN/>
                        <w:adjustRightInd/>
                        <w:spacing w:after="60" w:line="276" w:lineRule="auto"/>
                        <w:ind w:left="450" w:hanging="270"/>
                        <w:rPr>
                          <w:rFonts w:eastAsia="Aptos"/>
                          <w:i/>
                          <w:iCs/>
                          <w:sz w:val="18"/>
                          <w:szCs w:val="18"/>
                        </w:rPr>
                      </w:pPr>
                      <w:r w:rsidRPr="007C0295">
                        <w:rPr>
                          <w:rFonts w:eastAsia="Aptos"/>
                          <w:i/>
                          <w:iCs/>
                          <w:sz w:val="18"/>
                          <w:szCs w:val="18"/>
                        </w:rPr>
                        <w:t>5G-6G Multi-RAT Spectrum Sharing for migration [RAN1</w:t>
                      </w:r>
                      <w:r w:rsidRPr="007C0295">
                        <w:rPr>
                          <w:rFonts w:eastAsia="Aptos"/>
                          <w:i/>
                          <w:iCs/>
                          <w:sz w:val="18"/>
                          <w:szCs w:val="18"/>
                          <w:lang w:eastAsia="ja-JP"/>
                        </w:rPr>
                        <w:t>,</w:t>
                      </w:r>
                      <w:r w:rsidRPr="007C0295">
                        <w:rPr>
                          <w:rFonts w:eastAsia="Aptos"/>
                          <w:i/>
                          <w:iCs/>
                          <w:sz w:val="18"/>
                          <w:szCs w:val="18"/>
                        </w:rPr>
                        <w:t xml:space="preserve"> RAN2, RAN4, RAN3]</w:t>
                      </w:r>
                    </w:p>
                    <w:p w14:paraId="7F8FCFFA" w14:textId="77777777" w:rsidR="00543136" w:rsidRPr="007C0295" w:rsidRDefault="00543136" w:rsidP="00B34DB2">
                      <w:pPr>
                        <w:numPr>
                          <w:ilvl w:val="0"/>
                          <w:numId w:val="13"/>
                        </w:numPr>
                        <w:overflowPunct/>
                        <w:autoSpaceDE/>
                        <w:autoSpaceDN/>
                        <w:adjustRightInd/>
                        <w:spacing w:after="60" w:line="276" w:lineRule="auto"/>
                        <w:ind w:left="450" w:hanging="270"/>
                        <w:rPr>
                          <w:rFonts w:eastAsia="Aptos"/>
                          <w:i/>
                          <w:iCs/>
                          <w:sz w:val="18"/>
                          <w:szCs w:val="18"/>
                        </w:rPr>
                      </w:pPr>
                      <w:r w:rsidRPr="007C0295">
                        <w:rPr>
                          <w:rFonts w:eastAsia="Aptos"/>
                          <w:i/>
                          <w:iCs/>
                          <w:sz w:val="18"/>
                          <w:szCs w:val="18"/>
                          <w:highlight w:val="yellow"/>
                        </w:rPr>
                        <w:t xml:space="preserve">Study if any additional </w:t>
                      </w:r>
                      <w:r w:rsidRPr="007C0295">
                        <w:rPr>
                          <w:rFonts w:eastAsia="Aptos"/>
                          <w:i/>
                          <w:iCs/>
                          <w:sz w:val="18"/>
                          <w:szCs w:val="18"/>
                          <w:highlight w:val="yellow"/>
                          <w:lang w:eastAsia="ja-JP"/>
                        </w:rPr>
                        <w:t>migration</w:t>
                      </w:r>
                      <w:r w:rsidRPr="007C0295">
                        <w:rPr>
                          <w:rFonts w:eastAsia="Aptos"/>
                          <w:i/>
                          <w:iCs/>
                          <w:sz w:val="18"/>
                          <w:szCs w:val="18"/>
                          <w:highlight w:val="yellow"/>
                        </w:rPr>
                        <w:t xml:space="preserve"> </w:t>
                      </w:r>
                      <w:r w:rsidRPr="007C0295">
                        <w:rPr>
                          <w:rFonts w:eastAsia="Aptos"/>
                          <w:i/>
                          <w:iCs/>
                          <w:sz w:val="18"/>
                          <w:szCs w:val="18"/>
                          <w:highlight w:val="yellow"/>
                          <w:lang w:eastAsia="ja-JP"/>
                        </w:rPr>
                        <w:t>option(s)</w:t>
                      </w:r>
                      <w:r w:rsidRPr="007C0295">
                        <w:rPr>
                          <w:rFonts w:eastAsia="Aptos"/>
                          <w:i/>
                          <w:iCs/>
                          <w:sz w:val="18"/>
                          <w:szCs w:val="18"/>
                          <w:highlight w:val="yellow"/>
                        </w:rPr>
                        <w:t xml:space="preserve"> is </w:t>
                      </w:r>
                      <w:r w:rsidRPr="007C0295">
                        <w:rPr>
                          <w:rFonts w:eastAsia="Aptos"/>
                          <w:i/>
                          <w:iCs/>
                          <w:sz w:val="18"/>
                          <w:szCs w:val="18"/>
                          <w:highlight w:val="yellow"/>
                          <w:lang w:eastAsia="ja-JP"/>
                        </w:rPr>
                        <w:t>needed (other than standalone, MRSS, and inter-RAT mobility between NR-6G)</w:t>
                      </w:r>
                      <w:r w:rsidRPr="007C0295">
                        <w:rPr>
                          <w:rFonts w:eastAsia="Aptos"/>
                          <w:i/>
                          <w:iCs/>
                          <w:sz w:val="18"/>
                          <w:szCs w:val="18"/>
                          <w:highlight w:val="yellow"/>
                        </w:rPr>
                        <w:t>. [RAN]</w:t>
                      </w:r>
                      <w:r w:rsidRPr="007C0295">
                        <w:rPr>
                          <w:rFonts w:eastAsia="Aptos"/>
                          <w:i/>
                          <w:iCs/>
                          <w:sz w:val="18"/>
                          <w:szCs w:val="18"/>
                        </w:rPr>
                        <w:t xml:space="preserve"> [RAN2, RAN1, RAN3, RAN4].  </w:t>
                      </w:r>
                      <w:r w:rsidRPr="007C0295">
                        <w:rPr>
                          <w:rFonts w:eastAsia="Aptos"/>
                          <w:i/>
                          <w:iCs/>
                          <w:sz w:val="18"/>
                          <w:szCs w:val="18"/>
                          <w:highlight w:val="yellow"/>
                          <w:lang w:eastAsia="ja-JP"/>
                        </w:rPr>
                        <w:t>RAN plenary starts this study in March 2026 and will make a decision by September 2026 whether to expand WG SI scope to cover additional migration option(s).</w:t>
                      </w:r>
                    </w:p>
                    <w:p w14:paraId="4B2AA3F4" w14:textId="77777777" w:rsidR="00543136" w:rsidRPr="007C0295" w:rsidRDefault="00543136" w:rsidP="00B34DB2">
                      <w:pPr>
                        <w:numPr>
                          <w:ilvl w:val="0"/>
                          <w:numId w:val="13"/>
                        </w:numPr>
                        <w:overflowPunct/>
                        <w:autoSpaceDE/>
                        <w:autoSpaceDN/>
                        <w:adjustRightInd/>
                        <w:spacing w:after="60" w:line="276" w:lineRule="auto"/>
                        <w:ind w:left="450" w:hanging="270"/>
                        <w:rPr>
                          <w:rFonts w:eastAsia="Aptos"/>
                          <w:i/>
                          <w:iCs/>
                          <w:sz w:val="18"/>
                          <w:szCs w:val="18"/>
                        </w:rPr>
                      </w:pPr>
                      <w:r w:rsidRPr="007C0295">
                        <w:rPr>
                          <w:rFonts w:eastAsia="Aptos"/>
                          <w:b/>
                          <w:bCs/>
                          <w:i/>
                          <w:iCs/>
                          <w:sz w:val="18"/>
                          <w:szCs w:val="18"/>
                        </w:rPr>
                        <w:t>Mobility between 5G NR and 6GR</w:t>
                      </w:r>
                      <w:r w:rsidRPr="007C0295">
                        <w:rPr>
                          <w:rFonts w:eastAsia="Aptos"/>
                          <w:i/>
                          <w:iCs/>
                          <w:sz w:val="18"/>
                          <w:szCs w:val="18"/>
                        </w:rPr>
                        <w:t xml:space="preserve"> [RAN2, RAN3, RAN4]</w:t>
                      </w:r>
                    </w:p>
                    <w:p w14:paraId="3DE0A47A" w14:textId="77777777" w:rsidR="00543136" w:rsidRPr="007C0295" w:rsidRDefault="00543136" w:rsidP="00B34DB2">
                      <w:pPr>
                        <w:spacing w:after="60" w:line="276" w:lineRule="auto"/>
                        <w:ind w:left="180"/>
                        <w:rPr>
                          <w:rFonts w:eastAsia="Aptos"/>
                          <w:i/>
                          <w:iCs/>
                          <w:color w:val="000000"/>
                          <w:sz w:val="18"/>
                          <w:szCs w:val="18"/>
                          <w:lang w:eastAsia="ja-JP"/>
                        </w:rPr>
                      </w:pPr>
                      <w:r w:rsidRPr="007C0295">
                        <w:rPr>
                          <w:rFonts w:eastAsia="Aptos"/>
                          <w:i/>
                          <w:iCs/>
                          <w:color w:val="000000"/>
                          <w:sz w:val="18"/>
                          <w:szCs w:val="18"/>
                          <w:highlight w:val="yellow"/>
                          <w:lang w:eastAsia="ja-JP"/>
                        </w:rPr>
                        <w:t>Note: Inclusion of LTE/6G interworking/coexistence aspects may be further discussed based on the requirement from RAN plenary</w:t>
                      </w:r>
                    </w:p>
                  </w:txbxContent>
                </v:textbox>
                <w10:wrap type="square"/>
              </v:shape>
            </w:pict>
          </mc:Fallback>
        </mc:AlternateContent>
      </w:r>
    </w:p>
    <w:p w14:paraId="06A959AF" w14:textId="77777777" w:rsidR="00543136" w:rsidRPr="00543136" w:rsidRDefault="00543136" w:rsidP="001E0B8C">
      <w:pPr>
        <w:spacing w:after="120"/>
        <w:jc w:val="both"/>
      </w:pPr>
    </w:p>
    <w:p w14:paraId="79A42B9D" w14:textId="77777777" w:rsidR="00EB410E" w:rsidRDefault="00EB410E" w:rsidP="00EB410E">
      <w:pPr>
        <w:pStyle w:val="Heading1"/>
        <w:numPr>
          <w:ilvl w:val="0"/>
          <w:numId w:val="2"/>
        </w:numPr>
      </w:pPr>
      <w:r>
        <w:lastRenderedPageBreak/>
        <w:t>Discussion</w:t>
      </w:r>
    </w:p>
    <w:p w14:paraId="2819A8BE" w14:textId="77777777" w:rsidR="004046AA" w:rsidRPr="00051C58" w:rsidRDefault="004046AA" w:rsidP="004046AA">
      <w:pPr>
        <w:pStyle w:val="Heading2"/>
      </w:pPr>
      <w:bookmarkStart w:id="2" w:name="_Hlk196127268"/>
      <w:r w:rsidRPr="00051C58">
        <w:t>Deployment Scenarios and Migration Strategy</w:t>
      </w:r>
    </w:p>
    <w:p w14:paraId="38D58D6C" w14:textId="77777777" w:rsidR="004046AA" w:rsidRPr="0012644D" w:rsidRDefault="004046AA" w:rsidP="004046AA">
      <w:pPr>
        <w:spacing w:after="100"/>
        <w:rPr>
          <w:lang w:eastAsia="x-none"/>
        </w:rPr>
      </w:pPr>
      <w:r>
        <w:rPr>
          <w:lang w:eastAsia="x-none"/>
        </w:rPr>
        <w:t xml:space="preserve">Figure below </w:t>
      </w:r>
      <w:r w:rsidRPr="0009458C">
        <w:rPr>
          <w:lang w:eastAsia="x-none"/>
        </w:rPr>
        <w:t xml:space="preserve">provides a high-level overview of </w:t>
      </w:r>
      <w:r w:rsidRPr="0009458C">
        <w:t xml:space="preserve">6G </w:t>
      </w:r>
      <w:r>
        <w:t xml:space="preserve">standalone and </w:t>
      </w:r>
      <w:r w:rsidRPr="0009458C">
        <w:t>coexistence</w:t>
      </w:r>
      <w:r>
        <w:t>/</w:t>
      </w:r>
      <w:r w:rsidRPr="0009458C">
        <w:t>interworking</w:t>
      </w:r>
      <w:r>
        <w:t xml:space="preserve"> with 5G considering also a</w:t>
      </w:r>
      <w:r w:rsidRPr="00BC3809">
        <w:rPr>
          <w:lang w:eastAsia="x-none"/>
        </w:rPr>
        <w:t xml:space="preserve"> </w:t>
      </w:r>
      <w:r>
        <w:rPr>
          <w:lang w:eastAsia="x-none"/>
        </w:rPr>
        <w:t xml:space="preserve">6G/5G </w:t>
      </w:r>
      <w:r w:rsidRPr="00BC3809">
        <w:rPr>
          <w:lang w:eastAsia="x-none"/>
        </w:rPr>
        <w:t>MRSS (Multi-Radio Spectrum Sharing)</w:t>
      </w:r>
      <w:r>
        <w:rPr>
          <w:lang w:eastAsia="x-none"/>
        </w:rPr>
        <w:t xml:space="preserve"> scenario.</w:t>
      </w:r>
    </w:p>
    <w:p w14:paraId="739F339C" w14:textId="77777777" w:rsidR="004046AA" w:rsidRDefault="004046AA" w:rsidP="004046AA">
      <w:pPr>
        <w:jc w:val="center"/>
        <w:rPr>
          <w:rFonts w:eastAsiaTheme="minorEastAsia"/>
          <w:lang w:eastAsia="ko-KR"/>
        </w:rPr>
      </w:pPr>
      <w:r w:rsidRPr="005925E5">
        <w:t xml:space="preserve"> </w:t>
      </w:r>
      <w:r w:rsidRPr="005925E5">
        <w:rPr>
          <w:noProof/>
        </w:rPr>
        <w:drawing>
          <wp:inline distT="0" distB="0" distL="0" distR="0" wp14:anchorId="4F9C393E" wp14:editId="374CD757">
            <wp:extent cx="3111689" cy="3075200"/>
            <wp:effectExtent l="0" t="0" r="0" b="0"/>
            <wp:docPr id="2107340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2538" cy="3076039"/>
                    </a:xfrm>
                    <a:prstGeom prst="rect">
                      <a:avLst/>
                    </a:prstGeom>
                    <a:noFill/>
                    <a:ln>
                      <a:noFill/>
                    </a:ln>
                  </pic:spPr>
                </pic:pic>
              </a:graphicData>
            </a:graphic>
          </wp:inline>
        </w:drawing>
      </w:r>
    </w:p>
    <w:p w14:paraId="3D8BDD89" w14:textId="77777777" w:rsidR="004046AA" w:rsidRPr="0060663B" w:rsidRDefault="004046AA" w:rsidP="004046AA">
      <w:pPr>
        <w:jc w:val="both"/>
        <w:rPr>
          <w:rFonts w:eastAsia="Times New Roman"/>
          <w:lang w:eastAsia="ko-KR"/>
        </w:rPr>
      </w:pPr>
      <w:r w:rsidRPr="0060663B">
        <w:rPr>
          <w:rFonts w:eastAsia="Times New Roman"/>
          <w:lang w:eastAsia="ko-KR"/>
        </w:rPr>
        <w:t xml:space="preserve">The initial 6G study work </w:t>
      </w:r>
      <w:r w:rsidRPr="007E5D56">
        <w:rPr>
          <w:rFonts w:eastAsia="Times New Roman"/>
          <w:lang w:eastAsia="ko-KR"/>
        </w:rPr>
        <w:t xml:space="preserve">will focus on a </w:t>
      </w:r>
      <w:r w:rsidRPr="007C0295">
        <w:rPr>
          <w:rFonts w:eastAsia="Times New Roman"/>
          <w:lang w:eastAsia="ko-KR"/>
        </w:rPr>
        <w:t>single, standalone (SA) architecture</w:t>
      </w:r>
      <w:r w:rsidRPr="007E5D56">
        <w:rPr>
          <w:rFonts w:eastAsia="Times New Roman"/>
          <w:lang w:eastAsia="ko-KR"/>
        </w:rPr>
        <w:t xml:space="preserve">. This decision is a direct lesson from 5G, where numerous non-standalone (NSA) options led to unforeseen complexity, delayed SA deployments, and sometimes a suboptimal user experience. The 6G </w:t>
      </w:r>
      <w:r>
        <w:rPr>
          <w:rFonts w:eastAsia="Times New Roman"/>
          <w:lang w:eastAsia="ko-KR"/>
        </w:rPr>
        <w:t>core</w:t>
      </w:r>
      <w:r w:rsidRPr="007E5D56">
        <w:rPr>
          <w:rFonts w:eastAsia="Times New Roman"/>
          <w:lang w:eastAsia="ko-KR"/>
        </w:rPr>
        <w:t xml:space="preserve"> may interface with an</w:t>
      </w:r>
      <w:r w:rsidRPr="0060663B">
        <w:rPr>
          <w:rFonts w:eastAsia="Times New Roman"/>
          <w:lang w:eastAsia="ko-KR"/>
        </w:rPr>
        <w:t xml:space="preserve"> evolved 5G Core (e5GC), reusing its Service-Based Architecture and key network functions where possible to ensure a smooth migration path.</w:t>
      </w:r>
    </w:p>
    <w:p w14:paraId="39BE9FF8" w14:textId="77777777" w:rsidR="004046AA" w:rsidRPr="0060663B" w:rsidRDefault="004046AA" w:rsidP="004046AA">
      <w:pPr>
        <w:spacing w:after="120"/>
        <w:jc w:val="both"/>
        <w:rPr>
          <w:rFonts w:eastAsia="Times New Roman"/>
          <w:lang w:eastAsia="ko-KR"/>
        </w:rPr>
      </w:pPr>
      <w:r w:rsidRPr="0060663B">
        <w:rPr>
          <w:rFonts w:eastAsia="Times New Roman"/>
          <w:lang w:eastAsia="ko-KR"/>
        </w:rPr>
        <w:t>For seamless migration and spectrum utilization, key enablers identified are:</w:t>
      </w:r>
    </w:p>
    <w:p w14:paraId="610BC6B5" w14:textId="77777777" w:rsidR="004046AA" w:rsidRPr="00C726B3" w:rsidRDefault="004046AA" w:rsidP="004046AA">
      <w:pPr>
        <w:pStyle w:val="ListParagraph"/>
        <w:numPr>
          <w:ilvl w:val="0"/>
          <w:numId w:val="14"/>
        </w:numPr>
        <w:spacing w:after="120"/>
        <w:contextualSpacing w:val="0"/>
        <w:jc w:val="both"/>
        <w:rPr>
          <w:rFonts w:eastAsia="Times New Roman"/>
          <w:lang w:eastAsia="ko-KR"/>
        </w:rPr>
      </w:pPr>
      <w:r w:rsidRPr="00C726B3">
        <w:rPr>
          <w:rFonts w:eastAsia="Times New Roman"/>
          <w:b/>
          <w:bCs/>
          <w:lang w:eastAsia="ko-KR"/>
        </w:rPr>
        <w:t>5G-6G Multi-R</w:t>
      </w:r>
      <w:r>
        <w:rPr>
          <w:rFonts w:eastAsia="Times New Roman"/>
          <w:b/>
          <w:bCs/>
          <w:lang w:eastAsia="ko-KR"/>
        </w:rPr>
        <w:t xml:space="preserve">AT </w:t>
      </w:r>
      <w:r w:rsidRPr="00C726B3">
        <w:rPr>
          <w:rFonts w:eastAsia="Times New Roman"/>
          <w:b/>
          <w:bCs/>
          <w:lang w:eastAsia="ko-KR"/>
        </w:rPr>
        <w:t>Spectrum Sharing (MRSS):</w:t>
      </w:r>
      <w:r w:rsidRPr="00C726B3">
        <w:rPr>
          <w:rFonts w:eastAsia="Times New Roman"/>
          <w:lang w:eastAsia="ko-KR"/>
        </w:rPr>
        <w:t xml:space="preserve"> This is considered an essential component from Day 1 to enable the deployment of 6G in existing 5G bands, facilitating a gradual refarming of spectrum. The goal is to make MRSS significantly more efficient than the 4G-5G Dynamic Spectrum Sharing (DSS).</w:t>
      </w:r>
    </w:p>
    <w:p w14:paraId="1BD2F0E3" w14:textId="77777777" w:rsidR="004046AA" w:rsidRPr="00C726B3" w:rsidRDefault="004046AA" w:rsidP="004046AA">
      <w:pPr>
        <w:pStyle w:val="ListParagraph"/>
        <w:numPr>
          <w:ilvl w:val="0"/>
          <w:numId w:val="14"/>
        </w:numPr>
        <w:spacing w:after="120"/>
        <w:contextualSpacing w:val="0"/>
        <w:jc w:val="both"/>
        <w:rPr>
          <w:rFonts w:eastAsia="Times New Roman"/>
          <w:lang w:eastAsia="ko-KR"/>
        </w:rPr>
      </w:pPr>
      <w:r w:rsidRPr="00C726B3">
        <w:rPr>
          <w:rFonts w:eastAsia="Times New Roman"/>
          <w:b/>
          <w:bCs/>
          <w:lang w:eastAsia="ko-KR"/>
        </w:rPr>
        <w:t>Intra-6G Carrier Aggregation (CA):</w:t>
      </w:r>
      <w:r w:rsidRPr="00C726B3">
        <w:rPr>
          <w:rFonts w:eastAsia="Times New Roman"/>
          <w:lang w:eastAsia="ko-KR"/>
        </w:rPr>
        <w:t xml:space="preserve"> CA will be crucial for aggregating new and existing spectrum bands to achieve high performance and competitive user experiences from the start.</w:t>
      </w:r>
    </w:p>
    <w:p w14:paraId="066FF3DC" w14:textId="77777777" w:rsidR="004046AA" w:rsidRPr="00C726B3" w:rsidRDefault="004046AA" w:rsidP="004046AA">
      <w:pPr>
        <w:pStyle w:val="ListParagraph"/>
        <w:numPr>
          <w:ilvl w:val="0"/>
          <w:numId w:val="14"/>
        </w:numPr>
        <w:spacing w:after="120"/>
        <w:contextualSpacing w:val="0"/>
        <w:jc w:val="both"/>
        <w:rPr>
          <w:rFonts w:eastAsia="Times New Roman"/>
          <w:lang w:eastAsia="ko-KR"/>
        </w:rPr>
      </w:pPr>
      <w:r w:rsidRPr="00C726B3">
        <w:rPr>
          <w:rFonts w:eastAsia="Times New Roman"/>
          <w:b/>
          <w:bCs/>
          <w:lang w:eastAsia="ko-KR"/>
        </w:rPr>
        <w:t>Inter-RAT Mobility:</w:t>
      </w:r>
      <w:r w:rsidRPr="00C726B3">
        <w:rPr>
          <w:rFonts w:eastAsia="Times New Roman"/>
          <w:lang w:eastAsia="ko-KR"/>
        </w:rPr>
        <w:t xml:space="preserve"> Robust mobility between 5G NR and 6G</w:t>
      </w:r>
      <w:r>
        <w:rPr>
          <w:rFonts w:eastAsia="Times New Roman"/>
          <w:lang w:eastAsia="ko-KR"/>
        </w:rPr>
        <w:t>R</w:t>
      </w:r>
      <w:r w:rsidRPr="00C726B3">
        <w:rPr>
          <w:rFonts w:eastAsia="Times New Roman"/>
          <w:lang w:eastAsia="ko-KR"/>
        </w:rPr>
        <w:t xml:space="preserve"> is </w:t>
      </w:r>
      <w:r>
        <w:rPr>
          <w:rFonts w:eastAsia="Times New Roman"/>
          <w:lang w:eastAsia="ko-KR"/>
        </w:rPr>
        <w:t>critical</w:t>
      </w:r>
      <w:r w:rsidRPr="00C726B3">
        <w:rPr>
          <w:rFonts w:eastAsia="Times New Roman"/>
          <w:lang w:eastAsia="ko-KR"/>
        </w:rPr>
        <w:t xml:space="preserve"> for service continuity.</w:t>
      </w:r>
    </w:p>
    <w:p w14:paraId="0FEAE5AA" w14:textId="77777777" w:rsidR="004046AA" w:rsidRPr="0060663B" w:rsidRDefault="004046AA" w:rsidP="004046AA">
      <w:pPr>
        <w:jc w:val="both"/>
        <w:rPr>
          <w:rFonts w:eastAsia="Times New Roman"/>
          <w:lang w:eastAsia="ko-KR"/>
        </w:rPr>
      </w:pPr>
      <w:r w:rsidRPr="0060663B">
        <w:rPr>
          <w:rFonts w:eastAsia="Times New Roman"/>
          <w:lang w:eastAsia="ko-KR"/>
        </w:rPr>
        <w:t>While the study will initially prioritize the SA scenario, RAN Plenary will guide any future work on additional migration options, such as dual-stack or dual-connectivity, after March 2026.</w:t>
      </w:r>
    </w:p>
    <w:p w14:paraId="41795AB6" w14:textId="7515FD73" w:rsidR="004046AA" w:rsidRDefault="004046AA" w:rsidP="004046AA">
      <w:pPr>
        <w:pStyle w:val="Proposal"/>
        <w:numPr>
          <w:ilvl w:val="0"/>
          <w:numId w:val="4"/>
        </w:numPr>
      </w:pPr>
      <w:bookmarkStart w:id="3" w:name="_Toc213074739"/>
      <w:bookmarkStart w:id="4" w:name="_Toc213331305"/>
      <w:bookmarkStart w:id="5" w:name="_Toc213331386"/>
      <w:r w:rsidRPr="00E56F31">
        <w:t>6G design should prioritize the</w:t>
      </w:r>
      <w:r w:rsidR="004C0145">
        <w:t xml:space="preserve"> study of</w:t>
      </w:r>
      <w:r w:rsidRPr="00E56F31">
        <w:t xml:space="preserve"> standalone deployment scenario. Interworking will be based on mobility with 5G NR, supported by MRSS and intra-6G CA. </w:t>
      </w:r>
      <w:r w:rsidR="004C0145">
        <w:t>F</w:t>
      </w:r>
      <w:r w:rsidR="004C0145" w:rsidRPr="00E56F31">
        <w:t>or other migration options</w:t>
      </w:r>
      <w:r w:rsidR="004C0145">
        <w:t>, RAN2 should also wait for f</w:t>
      </w:r>
      <w:r w:rsidRPr="00E56F31">
        <w:t xml:space="preserve">urther guidance from RAN </w:t>
      </w:r>
      <w:r w:rsidR="004C0145">
        <w:t>p</w:t>
      </w:r>
      <w:r w:rsidRPr="00E56F31">
        <w:t>lenary.</w:t>
      </w:r>
      <w:bookmarkEnd w:id="3"/>
      <w:bookmarkEnd w:id="4"/>
      <w:bookmarkEnd w:id="5"/>
    </w:p>
    <w:p w14:paraId="14D85958" w14:textId="77777777" w:rsidR="00BA7BCC" w:rsidRPr="00BA7BCC" w:rsidRDefault="00BA7BCC" w:rsidP="00BA7BCC">
      <w:pPr>
        <w:rPr>
          <w:lang w:val="en-GB" w:eastAsia="x-none"/>
        </w:rPr>
      </w:pPr>
    </w:p>
    <w:p w14:paraId="059DC339" w14:textId="6D2C3BA8" w:rsidR="00BA7BCC" w:rsidRPr="004E365C" w:rsidRDefault="00BA7BCC" w:rsidP="004E365C">
      <w:pPr>
        <w:pStyle w:val="Heading2"/>
      </w:pPr>
      <w:r w:rsidRPr="004E365C">
        <w:lastRenderedPageBreak/>
        <w:t>Diverse Device Types</w:t>
      </w:r>
      <w:r w:rsidR="004046AA" w:rsidRPr="004E365C">
        <w:t xml:space="preserve"> </w:t>
      </w:r>
      <w:r w:rsidR="004E365C" w:rsidRPr="004E365C">
        <w:t xml:space="preserve">in 6G </w:t>
      </w:r>
    </w:p>
    <w:p w14:paraId="62CA8758" w14:textId="5E169507" w:rsidR="00FF237C" w:rsidRDefault="00FF237C" w:rsidP="00FF237C">
      <w:pPr>
        <w:jc w:val="both"/>
      </w:pPr>
      <w:r>
        <w:t xml:space="preserve">The evolution toward 6G presents a fundamental challenge in designing a system capable of efficiently supporting a wide range of device types, from low power IoT </w:t>
      </w:r>
      <w:r w:rsidR="00B366FC">
        <w:t>UEs</w:t>
      </w:r>
      <w:r>
        <w:t xml:space="preserve"> (e.g., sensors and wearables) to high performance </w:t>
      </w:r>
      <w:r w:rsidR="00B366FC">
        <w:t>UEs</w:t>
      </w:r>
      <w:r>
        <w:t xml:space="preserve"> (e.g., </w:t>
      </w:r>
      <w:proofErr w:type="spellStart"/>
      <w:r>
        <w:t>eMBB</w:t>
      </w:r>
      <w:proofErr w:type="spellEnd"/>
      <w:r>
        <w:t xml:space="preserve">, </w:t>
      </w:r>
      <w:proofErr w:type="spellStart"/>
      <w:r>
        <w:t>uRLLC</w:t>
      </w:r>
      <w:proofErr w:type="spellEnd"/>
      <w:r>
        <w:t>, XR, NTN,</w:t>
      </w:r>
      <w:r w:rsidR="00B366FC">
        <w:t xml:space="preserve"> AI/ML</w:t>
      </w:r>
      <w:r>
        <w:t>). Lessons learned from 5G reveal that integrating new or reduced</w:t>
      </w:r>
      <w:r w:rsidR="00B366FC">
        <w:t xml:space="preserve"> </w:t>
      </w:r>
      <w:r>
        <w:t>capability devices after the system’s initial design leads to significant fragmentation, inefficiency, and scalability issues. In 5G</w:t>
      </w:r>
      <w:r w:rsidR="00B366FC">
        <w:t>/4G</w:t>
      </w:r>
      <w:r>
        <w:t>, low</w:t>
      </w:r>
      <w:r w:rsidR="00B366FC">
        <w:t xml:space="preserve"> </w:t>
      </w:r>
      <w:r>
        <w:t xml:space="preserve">end </w:t>
      </w:r>
      <w:r w:rsidR="00B366FC">
        <w:t>UEs</w:t>
      </w:r>
      <w:r>
        <w:t xml:space="preserve"> </w:t>
      </w:r>
      <w:r w:rsidR="00B366FC">
        <w:t>(e.g.,</w:t>
      </w:r>
      <w:r>
        <w:t xml:space="preserve"> </w:t>
      </w:r>
      <w:r w:rsidR="00B366FC">
        <w:t>(e)</w:t>
      </w:r>
      <w:proofErr w:type="spellStart"/>
      <w:r>
        <w:t>RedCap</w:t>
      </w:r>
      <w:proofErr w:type="spellEnd"/>
      <w:r>
        <w:t xml:space="preserve"> or </w:t>
      </w:r>
      <w:r w:rsidR="00B366FC">
        <w:t>(e)</w:t>
      </w:r>
      <w:r>
        <w:t>MTC were introduced as “Day-2” solutions</w:t>
      </w:r>
      <w:r w:rsidR="00B366FC">
        <w:t>)</w:t>
      </w:r>
      <w:r>
        <w:t xml:space="preserve"> forc</w:t>
      </w:r>
      <w:r w:rsidR="00B366FC">
        <w:t>ed</w:t>
      </w:r>
      <w:r>
        <w:t xml:space="preserve"> the specifications to retrofit complex mechanisms for simplification and power saving onto a system originally designed for high</w:t>
      </w:r>
      <w:r w:rsidR="00B366FC">
        <w:t xml:space="preserve"> </w:t>
      </w:r>
      <w:r>
        <w:t xml:space="preserve">end UEs. </w:t>
      </w:r>
      <w:r w:rsidR="00B366FC">
        <w:t>Summarizing, t</w:t>
      </w:r>
      <w:r>
        <w:t>his reactive approach resulted in complicated backward compatibility requirements, increased signaling overhead, and system fragmentation that limited flexibility and market adoption.</w:t>
      </w:r>
    </w:p>
    <w:p w14:paraId="210AC4BC" w14:textId="0E1547BC" w:rsidR="00FF237C" w:rsidRDefault="00FF237C" w:rsidP="00FF237C">
      <w:pPr>
        <w:jc w:val="both"/>
      </w:pPr>
      <w:r>
        <w:t>A major source of complexity in 5G arose from its highly granular capability signaling and “toolbox-like” feature framework. Each new device type required extensive capability reporting, leading to large UE</w:t>
      </w:r>
      <w:r w:rsidR="0002187C">
        <w:t xml:space="preserve"> </w:t>
      </w:r>
      <w:r>
        <w:t>Capability</w:t>
      </w:r>
      <w:r w:rsidR="0002187C">
        <w:t xml:space="preserve"> reporting </w:t>
      </w:r>
      <w:r>
        <w:t xml:space="preserve">messages and </w:t>
      </w:r>
      <w:r w:rsidR="0002187C">
        <w:t xml:space="preserve">sometime </w:t>
      </w:r>
      <w:r>
        <w:t xml:space="preserve">unnecessary signaling traffic. Moreover, the abundance of optional features and configuration variants caused uncertainty among vendors and operators, slowing adoption and creating a “chicken-and-egg” problem in commercialization. </w:t>
      </w:r>
      <w:r w:rsidR="0002187C">
        <w:t>In addition, t</w:t>
      </w:r>
      <w:r>
        <w:t>he lack of early differentiation mechanisms during initial access further contributed to inefficient resource utilization and excessive power consumption for devices that only required limited system information. These shortcomings demonstrate that the 5G model is not inherently scalable or extensible for diverse device ecosystems.</w:t>
      </w:r>
    </w:p>
    <w:p w14:paraId="2ADDBDC0" w14:textId="35F4C21B" w:rsidR="00FF237C" w:rsidRDefault="00FF237C" w:rsidP="00FF237C">
      <w:pPr>
        <w:jc w:val="both"/>
      </w:pPr>
      <w:r>
        <w:t xml:space="preserve">To address these challenges, 6G aims to implement a unified, scalable framework from Day 1 that can natively accommodate a wide spectrum of device types without resorting to add-on solutions. This unified framework </w:t>
      </w:r>
      <w:r w:rsidR="00A35424">
        <w:t>should aim to</w:t>
      </w:r>
      <w:r>
        <w:t xml:space="preserve"> define a common baseline of mandatory functions across all </w:t>
      </w:r>
      <w:r w:rsidR="00D6715A">
        <w:t>UE</w:t>
      </w:r>
      <w:r>
        <w:t xml:space="preserve"> categories</w:t>
      </w:r>
      <w:r w:rsidR="00EC402A">
        <w:t xml:space="preserve"> while </w:t>
      </w:r>
      <w:r>
        <w:t>reduc</w:t>
      </w:r>
      <w:r w:rsidR="00EC402A">
        <w:t>ing the</w:t>
      </w:r>
      <w:r>
        <w:t xml:space="preserve"> signaling overhead. A hierarchical capability model, where higher-tier </w:t>
      </w:r>
      <w:r w:rsidR="00D6715A">
        <w:t>UEs</w:t>
      </w:r>
      <w:r>
        <w:t xml:space="preserve"> inherit lower-tier functionalities, </w:t>
      </w:r>
      <w:r w:rsidR="00EC402A">
        <w:t>should be considered</w:t>
      </w:r>
      <w:r>
        <w:t xml:space="preserve"> to streamline design and ensure consistency</w:t>
      </w:r>
      <w:r w:rsidR="00EC402A">
        <w:t xml:space="preserve"> while higher-tier UEs are not </w:t>
      </w:r>
      <w:r w:rsidR="00D6715A">
        <w:t>impacted negatively</w:t>
      </w:r>
      <w:r>
        <w:t xml:space="preserve">. </w:t>
      </w:r>
      <w:r w:rsidR="00D6715A">
        <w:t xml:space="preserve">6G </w:t>
      </w:r>
      <w:r>
        <w:t xml:space="preserve">system </w:t>
      </w:r>
      <w:r w:rsidR="00D6715A">
        <w:t>could</w:t>
      </w:r>
      <w:r>
        <w:t xml:space="preserve"> be designed around the lowest-tier </w:t>
      </w:r>
      <w:r w:rsidR="00B470BF">
        <w:t xml:space="preserve">UE </w:t>
      </w:r>
      <w:r>
        <w:t>requirements, ensuring lean operation and power efficiency while preserving high performance for advanced terminals.</w:t>
      </w:r>
    </w:p>
    <w:p w14:paraId="0270E938" w14:textId="7F1B8589" w:rsidR="00FF237C" w:rsidRDefault="00FF237C" w:rsidP="00FF237C">
      <w:pPr>
        <w:jc w:val="both"/>
      </w:pPr>
      <w:r>
        <w:t xml:space="preserve">Additionally, early identification of device types during </w:t>
      </w:r>
      <w:r w:rsidR="00CE5536">
        <w:t>cell (re)selection, access control and</w:t>
      </w:r>
      <w:r>
        <w:t xml:space="preserve"> access procedure is critical to enable optimized resource allocation, energy savings, and faster connection </w:t>
      </w:r>
      <w:r w:rsidR="00AD6E43">
        <w:t xml:space="preserve">handling (including </w:t>
      </w:r>
      <w:r>
        <w:t>setup</w:t>
      </w:r>
      <w:r w:rsidR="00CE5536">
        <w:t xml:space="preserve">, resume or </w:t>
      </w:r>
      <w:r w:rsidR="00F052BE">
        <w:t>re-establishment</w:t>
      </w:r>
      <w:r w:rsidR="00AD6E43">
        <w:t>)</w:t>
      </w:r>
      <w:r>
        <w:t xml:space="preserve">. </w:t>
      </w:r>
      <w:r w:rsidR="00AD6E43">
        <w:t xml:space="preserve">RAN2 should study the </w:t>
      </w:r>
      <w:r>
        <w:t>integrat</w:t>
      </w:r>
      <w:r w:rsidR="00AD6E43">
        <w:t>ion of the d</w:t>
      </w:r>
      <w:r>
        <w:t>evice-type differentiation</w:t>
      </w:r>
      <w:r w:rsidR="00AD6E43">
        <w:t xml:space="preserve"> or awareness </w:t>
      </w:r>
      <w:r>
        <w:t xml:space="preserve">into the </w:t>
      </w:r>
      <w:r w:rsidR="00AD6E43">
        <w:t xml:space="preserve">cell (re)selection, </w:t>
      </w:r>
      <w:r>
        <w:t>access</w:t>
      </w:r>
      <w:r w:rsidR="00AD6E43">
        <w:t xml:space="preserve"> control and initial access</w:t>
      </w:r>
      <w:r>
        <w:t xml:space="preserve"> process</w:t>
      </w:r>
      <w:r w:rsidR="00AD6E43">
        <w:t xml:space="preserve"> aiming to </w:t>
      </w:r>
      <w:r>
        <w:t xml:space="preserve">reduce </w:t>
      </w:r>
      <w:r w:rsidR="00AD6E43">
        <w:t xml:space="preserve">6G </w:t>
      </w:r>
      <w:r>
        <w:t xml:space="preserve">system overhead, prevent network congestion, and ensure more efficient coexistence between diverse device </w:t>
      </w:r>
      <w:r w:rsidR="00AD6E43">
        <w:t>types</w:t>
      </w:r>
      <w:r>
        <w:t xml:space="preserve">. The early identification approach </w:t>
      </w:r>
      <w:r w:rsidR="004042D5">
        <w:t>should aim to create a uni</w:t>
      </w:r>
      <w:r>
        <w:t>fied and scalable</w:t>
      </w:r>
      <w:r w:rsidR="004042D5">
        <w:t xml:space="preserve"> mechanism</w:t>
      </w:r>
      <w:r>
        <w:t xml:space="preserve"> avoiding the fragment</w:t>
      </w:r>
      <w:r w:rsidR="00570987">
        <w:t>ation of the market/solutions</w:t>
      </w:r>
      <w:r>
        <w:t>.</w:t>
      </w:r>
    </w:p>
    <w:p w14:paraId="7E1BC671" w14:textId="2B98574E" w:rsidR="00FE1D3E" w:rsidRPr="00692648" w:rsidRDefault="006B70B7" w:rsidP="00FE1D3E">
      <w:pPr>
        <w:pStyle w:val="observ"/>
        <w:ind w:left="360"/>
      </w:pPr>
      <w:bookmarkStart w:id="6" w:name="_Toc213074736"/>
      <w:bookmarkStart w:id="7" w:name="_Toc213331303"/>
      <w:bookmarkStart w:id="8" w:name="_Toc213331383"/>
      <w:r>
        <w:rPr>
          <w:lang w:val="en-US" w:eastAsia="x-none"/>
        </w:rPr>
        <w:t xml:space="preserve">The later </w:t>
      </w:r>
      <w:r w:rsidR="008179F3" w:rsidRPr="008179F3">
        <w:rPr>
          <w:lang w:eastAsia="x-none"/>
        </w:rPr>
        <w:t xml:space="preserve">integration of reduced-capability devices </w:t>
      </w:r>
      <w:r>
        <w:rPr>
          <w:lang w:eastAsia="x-none"/>
        </w:rPr>
        <w:t xml:space="preserve">in 5G system </w:t>
      </w:r>
      <w:r w:rsidR="008179F3" w:rsidRPr="008179F3">
        <w:rPr>
          <w:lang w:eastAsia="x-none"/>
        </w:rPr>
        <w:t xml:space="preserve">led to fragmentation, inefficiency, and scalability issues due to complex backward compatibility, excessive </w:t>
      </w:r>
      <w:r w:rsidR="00B34DB2" w:rsidRPr="008179F3">
        <w:rPr>
          <w:lang w:eastAsia="x-none"/>
        </w:rPr>
        <w:t>signalling</w:t>
      </w:r>
      <w:r w:rsidR="008179F3" w:rsidRPr="008179F3">
        <w:rPr>
          <w:lang w:eastAsia="x-none"/>
        </w:rPr>
        <w:t>, and lack of early device-type differentiation mechanisms</w:t>
      </w:r>
      <w:r w:rsidR="00FE1D3E">
        <w:t>.</w:t>
      </w:r>
      <w:bookmarkEnd w:id="6"/>
      <w:bookmarkEnd w:id="7"/>
      <w:bookmarkEnd w:id="8"/>
    </w:p>
    <w:p w14:paraId="0B60E191" w14:textId="0F4B0BC2" w:rsidR="00E801DB" w:rsidRDefault="00C07670" w:rsidP="004E365C">
      <w:pPr>
        <w:pStyle w:val="Proposal"/>
        <w:numPr>
          <w:ilvl w:val="0"/>
          <w:numId w:val="4"/>
        </w:numPr>
      </w:pPr>
      <w:bookmarkStart w:id="9" w:name="_Toc213074740"/>
      <w:bookmarkStart w:id="10" w:name="_Toc213331306"/>
      <w:bookmarkStart w:id="11" w:name="_Toc213331387"/>
      <w:r w:rsidRPr="00C07670">
        <w:t xml:space="preserve">6G </w:t>
      </w:r>
      <w:r>
        <w:t>system needs to</w:t>
      </w:r>
      <w:r w:rsidRPr="00C07670">
        <w:t xml:space="preserve"> adopt a unified, scalable framework from Day 1 that natively supports</w:t>
      </w:r>
      <w:r w:rsidR="003E6DF6">
        <w:t xml:space="preserve"> any</w:t>
      </w:r>
      <w:r w:rsidRPr="00C07670">
        <w:t xml:space="preserve"> diverse device type</w:t>
      </w:r>
      <w:r w:rsidR="003E6DF6">
        <w:t xml:space="preserve">. </w:t>
      </w:r>
      <w:r w:rsidR="004E365C">
        <w:t>For this, t</w:t>
      </w:r>
      <w:r w:rsidR="003E6DF6">
        <w:t xml:space="preserve">o </w:t>
      </w:r>
      <w:r w:rsidR="00475E9B">
        <w:t xml:space="preserve">study </w:t>
      </w:r>
      <w:r w:rsidR="00734724">
        <w:t>how to</w:t>
      </w:r>
      <w:r w:rsidR="00475E9B">
        <w:t xml:space="preserve"> enable a </w:t>
      </w:r>
      <w:r w:rsidRPr="00C07670">
        <w:t xml:space="preserve">hierarchical </w:t>
      </w:r>
      <w:r>
        <w:t>modelling</w:t>
      </w:r>
      <w:r w:rsidR="00E801DB">
        <w:t xml:space="preserve"> </w:t>
      </w:r>
      <w:r w:rsidR="00475E9B">
        <w:t xml:space="preserve">for diverse device types </w:t>
      </w:r>
      <w:r w:rsidR="00E801DB">
        <w:t>(</w:t>
      </w:r>
      <w:r w:rsidR="003E6DF6">
        <w:t>e.g.,</w:t>
      </w:r>
      <w:r w:rsidR="00E801DB">
        <w:t xml:space="preserve"> a baseline</w:t>
      </w:r>
      <w:r w:rsidR="00C37B61">
        <w:t xml:space="preserve"> functionality is defined for </w:t>
      </w:r>
      <w:r w:rsidR="005A5D4E">
        <w:t>any kind of devices, common to all the diverse device types</w:t>
      </w:r>
      <w:r w:rsidR="003E6DF6">
        <w:t>)</w:t>
      </w:r>
      <w:r w:rsidR="00BB798C">
        <w:t xml:space="preserve"> that allow providing differentiated handling (e.g., during cell (re)selection, access control, initial access, </w:t>
      </w:r>
      <w:r w:rsidR="004E365C">
        <w:t>etc).</w:t>
      </w:r>
      <w:bookmarkEnd w:id="9"/>
      <w:bookmarkEnd w:id="10"/>
      <w:bookmarkEnd w:id="11"/>
      <w:r w:rsidR="00475E9B">
        <w:t xml:space="preserve"> </w:t>
      </w:r>
    </w:p>
    <w:p w14:paraId="1C9ACBD4" w14:textId="77777777" w:rsidR="00FE1D3E" w:rsidRDefault="00FE1D3E" w:rsidP="00FE1D3E">
      <w:pPr>
        <w:jc w:val="both"/>
      </w:pPr>
    </w:p>
    <w:p w14:paraId="4F46609A" w14:textId="73926D47" w:rsidR="00BA7BCC" w:rsidRPr="004C0145" w:rsidRDefault="00BA7BCC" w:rsidP="004C0145">
      <w:pPr>
        <w:pStyle w:val="Heading2"/>
      </w:pPr>
      <w:r w:rsidRPr="004C0145">
        <w:t>New Service</w:t>
      </w:r>
      <w:r w:rsidR="004046AA" w:rsidRPr="004C0145">
        <w:t>s</w:t>
      </w:r>
      <w:r w:rsidR="004C0145">
        <w:t xml:space="preserve"> in 6G</w:t>
      </w:r>
    </w:p>
    <w:p w14:paraId="2EFDA4D4" w14:textId="00C043F8" w:rsidR="004C0145" w:rsidRDefault="004C0145" w:rsidP="004C0145">
      <w:pPr>
        <w:jc w:val="both"/>
      </w:pPr>
      <w:r>
        <w:t>The evolution toward 6G introduces a new generation of data-centric, intelligent, and immersive services that</w:t>
      </w:r>
      <w:r w:rsidR="00B26E15">
        <w:t xml:space="preserve"> aim to</w:t>
      </w:r>
      <w:r>
        <w:t xml:space="preserve"> extend beyond the communication capabilities of 5G. While 5G laid the groundwork for </w:t>
      </w:r>
      <w:proofErr w:type="spellStart"/>
      <w:r>
        <w:t>eMBB</w:t>
      </w:r>
      <w:proofErr w:type="spellEnd"/>
      <w:r>
        <w:t xml:space="preserve"> and URLLC, it was not designed to natively support emerging use cases such as AI-driven networks, Integrated Sensing and Communication (ISAC), XR</w:t>
      </w:r>
      <w:r w:rsidR="00B26E15">
        <w:t xml:space="preserve"> or even metaverse</w:t>
      </w:r>
      <w:r>
        <w:t xml:space="preserve">, holographic communication, Digital Twin </w:t>
      </w:r>
      <w:r w:rsidR="00B26E15">
        <w:t>or other</w:t>
      </w:r>
      <w:r w:rsidR="009A2486">
        <w:t xml:space="preserve"> emergency services</w:t>
      </w:r>
      <w:r>
        <w:t>. The late, “add-on” integration of such services in 5G created fragmented architectures, inefficiencies in data management, and complex operational dependencies. These limitations highlight the necessity for 6G to adopt a unified and scalable system architecture that can accommodate diverse new service requirements from Day 1.</w:t>
      </w:r>
    </w:p>
    <w:p w14:paraId="1DC30537" w14:textId="0109A25C" w:rsidR="004C0145" w:rsidRDefault="004C0145" w:rsidP="004C0145">
      <w:pPr>
        <w:jc w:val="both"/>
      </w:pPr>
      <w:r>
        <w:lastRenderedPageBreak/>
        <w:t>A central limitation in 5G lies in its fragmented data handling approach. Different categories of operational data</w:t>
      </w:r>
      <w:r w:rsidR="009A2486">
        <w:t xml:space="preserve"> (e.g., </w:t>
      </w:r>
      <w:r w:rsidR="00F95988">
        <w:t xml:space="preserve">RAN </w:t>
      </w:r>
      <w:r>
        <w:t>measurements, AI data</w:t>
      </w:r>
      <w:r w:rsidR="00F95988">
        <w:t xml:space="preserve"> </w:t>
      </w:r>
      <w:r>
        <w:t>sets, and sensing information</w:t>
      </w:r>
      <w:r w:rsidR="00F95988">
        <w:t xml:space="preserve">) </w:t>
      </w:r>
      <w:r>
        <w:t xml:space="preserve">are currently processed through independent mechanisms, </w:t>
      </w:r>
      <w:r w:rsidR="00F95988">
        <w:t xml:space="preserve">which may </w:t>
      </w:r>
      <w:r>
        <w:t>lead to duplication and inefficiency. New 6G services will demand the transfer and processing of massive amounts of non-traditional data</w:t>
      </w:r>
      <w:r w:rsidR="00F95988">
        <w:t xml:space="preserve"> (e.g., </w:t>
      </w:r>
      <w:r>
        <w:t>AI models and sensing results</w:t>
      </w:r>
      <w:r w:rsidR="00F95988">
        <w:t>)</w:t>
      </w:r>
      <w:r>
        <w:t>, which require fundamentally different handling from conventional user traffic. To meet these needs, 6G</w:t>
      </w:r>
      <w:r w:rsidR="00AA72C4">
        <w:t xml:space="preserve"> </w:t>
      </w:r>
      <w:r w:rsidR="00454239">
        <w:t>proposals consider the study of</w:t>
      </w:r>
      <w:r>
        <w:t xml:space="preserve"> </w:t>
      </w:r>
      <w:r w:rsidR="00454239">
        <w:t>a</w:t>
      </w:r>
      <w:r>
        <w:t xml:space="preserve"> unified data framework or a dedicated data plane </w:t>
      </w:r>
      <w:r w:rsidR="00454239">
        <w:t xml:space="preserve">to </w:t>
      </w:r>
      <w:r>
        <w:t>efficiently manag</w:t>
      </w:r>
      <w:r w:rsidR="00454239">
        <w:t>e</w:t>
      </w:r>
      <w:r>
        <w:t>, transport, and expos</w:t>
      </w:r>
      <w:r w:rsidR="00454239">
        <w:t>e</w:t>
      </w:r>
      <w:r>
        <w:t xml:space="preserve"> diverse types of operational and service data. This </w:t>
      </w:r>
      <w:r w:rsidR="00487BFE">
        <w:t xml:space="preserve">could help to </w:t>
      </w:r>
      <w:r>
        <w:t xml:space="preserve">improve </w:t>
      </w:r>
      <w:r w:rsidR="00487BFE">
        <w:t xml:space="preserve">the handling of the </w:t>
      </w:r>
      <w:r>
        <w:t xml:space="preserve">data </w:t>
      </w:r>
      <w:r w:rsidR="00487BFE">
        <w:t>and</w:t>
      </w:r>
      <w:r>
        <w:t xml:space="preserve"> </w:t>
      </w:r>
      <w:r w:rsidR="00487BFE">
        <w:t xml:space="preserve">potentially </w:t>
      </w:r>
      <w:r>
        <w:t>also enable AI-driven automation, adaptive learning, and intelligent decision-making directly within the RAN.</w:t>
      </w:r>
    </w:p>
    <w:p w14:paraId="2332BE73" w14:textId="40C507ED" w:rsidR="004C0145" w:rsidRDefault="004C0145" w:rsidP="004C0145">
      <w:pPr>
        <w:jc w:val="both"/>
      </w:pPr>
      <w:r>
        <w:t xml:space="preserve">In parallel, 6G </w:t>
      </w:r>
      <w:r w:rsidR="00487BFE">
        <w:t>plans to study the</w:t>
      </w:r>
      <w:r>
        <w:t xml:space="preserve"> harmoniz</w:t>
      </w:r>
      <w:r w:rsidR="00487BFE">
        <w:t>ation and/or</w:t>
      </w:r>
      <w:r>
        <w:t xml:space="preserve"> integration of Non-Terrestrial Networks (NTN) with Terrestrial Networks (TN) from </w:t>
      </w:r>
      <w:r w:rsidR="00487BFE">
        <w:t>day 1</w:t>
      </w:r>
      <w:r>
        <w:t>. In 5G, NTN support was added as a patchwork solution in later releases, resulting in complexity and limited interoperability. For 6G, the goal is a harmonized</w:t>
      </w:r>
      <w:r w:rsidR="00487BFE">
        <w:t>, when/if possible,</w:t>
      </w:r>
      <w:r>
        <w:t xml:space="preserve"> TN/NTN design </w:t>
      </w:r>
      <w:r w:rsidR="00487BFE">
        <w:t>aiming to</w:t>
      </w:r>
      <w:r>
        <w:t xml:space="preserve"> maximize</w:t>
      </w:r>
      <w:r w:rsidR="00487BFE">
        <w:t xml:space="preserve"> the</w:t>
      </w:r>
      <w:r>
        <w:t xml:space="preserve"> commonality in procedures, signaling, and protocol logic while removing dependencies on GNSS or ephemeris-based frameworks. </w:t>
      </w:r>
      <w:r w:rsidR="0013775F">
        <w:t>This</w:t>
      </w:r>
      <w:r>
        <w:t xml:space="preserve"> unified 6G radio interface</w:t>
      </w:r>
      <w:r w:rsidR="0013775F">
        <w:t xml:space="preserve"> </w:t>
      </w:r>
      <w:r>
        <w:t xml:space="preserve">should </w:t>
      </w:r>
      <w:r w:rsidR="00257EBD">
        <w:t xml:space="preserve">consider the </w:t>
      </w:r>
      <w:r>
        <w:t xml:space="preserve">support </w:t>
      </w:r>
      <w:r w:rsidR="00257EBD">
        <w:t xml:space="preserve">of </w:t>
      </w:r>
      <w:r>
        <w:t xml:space="preserve">multi-orbit constellations (e.g., LEO, MEO, GEO) and </w:t>
      </w:r>
      <w:r w:rsidR="00257EBD">
        <w:t xml:space="preserve">for </w:t>
      </w:r>
      <w:r>
        <w:t>both transparent and regenerative payloads, ensuring seamless connectivity across all environments and enabling true global coverage.</w:t>
      </w:r>
    </w:p>
    <w:p w14:paraId="46F711F3" w14:textId="2AE432A8" w:rsidR="004C0145" w:rsidRDefault="004C0145" w:rsidP="004C0145">
      <w:pPr>
        <w:jc w:val="both"/>
      </w:pPr>
      <w:r>
        <w:t xml:space="preserve">Immersive and interactive services </w:t>
      </w:r>
      <w:r w:rsidR="00257EBD">
        <w:t xml:space="preserve">(e.g., </w:t>
      </w:r>
      <w:r>
        <w:t>XR, holographic communication, and mobile generative AI</w:t>
      </w:r>
      <w:r w:rsidR="00257EBD">
        <w:t>)</w:t>
      </w:r>
      <w:r>
        <w:t xml:space="preserve"> will also require 6G to </w:t>
      </w:r>
      <w:r w:rsidR="00FB4F0F">
        <w:t>consider some</w:t>
      </w:r>
      <w:r>
        <w:t xml:space="preserve"> service awareness. These applications impose simultaneous demands for high throughput, </w:t>
      </w:r>
      <w:r w:rsidR="00FB4F0F">
        <w:t>low</w:t>
      </w:r>
      <w:r>
        <w:t xml:space="preserve"> latency, and high reliability. </w:t>
      </w:r>
      <w:r w:rsidR="00323BC7">
        <w:t>Moreover</w:t>
      </w:r>
      <w:r w:rsidR="00EB5B45">
        <w:t>,</w:t>
      </w:r>
      <w:r w:rsidR="00323BC7">
        <w:t xml:space="preserve"> </w:t>
      </w:r>
      <w:r>
        <w:t xml:space="preserve">6G </w:t>
      </w:r>
      <w:r w:rsidR="00323BC7">
        <w:t>might need to also study whether/how to provide a</w:t>
      </w:r>
      <w:r>
        <w:t xml:space="preserve"> QoE</w:t>
      </w:r>
      <w:r w:rsidR="00323BC7">
        <w:t xml:space="preserve"> </w:t>
      </w:r>
      <w:r>
        <w:t>aware</w:t>
      </w:r>
      <w:r w:rsidR="00323BC7">
        <w:t xml:space="preserve">ness </w:t>
      </w:r>
      <w:r w:rsidR="00EB5B45">
        <w:t>and/or</w:t>
      </w:r>
      <w:r>
        <w:t xml:space="preserve"> QoS framework capable of adapting to user and service contexts. </w:t>
      </w:r>
      <w:r w:rsidR="00EB5B45">
        <w:t>In addition</w:t>
      </w:r>
      <w:r>
        <w:t>,</w:t>
      </w:r>
      <w:r w:rsidR="00EB5B45">
        <w:t xml:space="preserve"> it is also proposed to consider</w:t>
      </w:r>
      <w:r>
        <w:t xml:space="preserve"> emerging AI services that rely on token-based communication introduce new </w:t>
      </w:r>
      <w:r w:rsidR="000907E1">
        <w:t>services</w:t>
      </w:r>
      <w:r w:rsidR="00EB5B45">
        <w:t>/</w:t>
      </w:r>
      <w:r>
        <w:t>traffic.</w:t>
      </w:r>
    </w:p>
    <w:p w14:paraId="59F4DF64" w14:textId="677C3245" w:rsidR="00BA7BCC" w:rsidRPr="00E9743B" w:rsidRDefault="004C0145" w:rsidP="004C0145">
      <w:pPr>
        <w:jc w:val="both"/>
      </w:pPr>
      <w:r>
        <w:t xml:space="preserve">In summary, the 6G RAN must be designed as a unified, intelligent, and extensible platform that supports AI/ML, sensing, NTN integration, immersive services </w:t>
      </w:r>
      <w:r w:rsidR="000907E1">
        <w:t xml:space="preserve">and potentially emergency new services </w:t>
      </w:r>
      <w:r>
        <w:t xml:space="preserve">natively. This approach </w:t>
      </w:r>
      <w:r w:rsidR="009D369E">
        <w:t>could mark</w:t>
      </w:r>
      <w:r>
        <w:t xml:space="preserve"> a decisive shift </w:t>
      </w:r>
      <w:r w:rsidR="009D369E" w:rsidRPr="00E9743B">
        <w:t>to avoid (or minimize)</w:t>
      </w:r>
      <w:r w:rsidRPr="00E9743B">
        <w:t xml:space="preserve"> fragmented evolution toward a holistic architecture that embeds flexibility, scalability, and service-awareness from Day 1. By consolidating diverse functionalities within a harmonized framework, 6G </w:t>
      </w:r>
      <w:r w:rsidR="00803CA5" w:rsidRPr="00E9743B">
        <w:t>could aim to</w:t>
      </w:r>
      <w:r w:rsidRPr="00E9743B">
        <w:t xml:space="preserve"> provide the foundation for a truly data-driven and ubiquitous communication ecosystem.</w:t>
      </w:r>
    </w:p>
    <w:p w14:paraId="2C284BEB" w14:textId="501F91D8" w:rsidR="00FE1D3E" w:rsidRPr="00E9743B" w:rsidRDefault="007D7F1E" w:rsidP="00FE1D3E">
      <w:pPr>
        <w:pStyle w:val="observ"/>
        <w:ind w:left="360"/>
      </w:pPr>
      <w:bookmarkStart w:id="12" w:name="_Toc213074737"/>
      <w:bookmarkStart w:id="13" w:name="_Toc213331304"/>
      <w:bookmarkStart w:id="14" w:name="_Toc213331384"/>
      <w:r w:rsidRPr="007D7F1E">
        <w:rPr>
          <w:lang w:eastAsia="x-none"/>
        </w:rPr>
        <w:t xml:space="preserve">5G </w:t>
      </w:r>
      <w:r w:rsidR="006203D9">
        <w:rPr>
          <w:lang w:eastAsia="x-none"/>
        </w:rPr>
        <w:t xml:space="preserve">features added in different releases lead to a </w:t>
      </w:r>
      <w:r w:rsidRPr="007D7F1E">
        <w:rPr>
          <w:lang w:eastAsia="x-none"/>
        </w:rPr>
        <w:t xml:space="preserve">fragmented integration of emerging services such as XR, NTN </w:t>
      </w:r>
      <w:r w:rsidR="006203D9">
        <w:rPr>
          <w:lang w:eastAsia="x-none"/>
        </w:rPr>
        <w:t xml:space="preserve">and </w:t>
      </w:r>
      <w:r w:rsidR="006203D9" w:rsidRPr="007D7F1E">
        <w:rPr>
          <w:lang w:eastAsia="x-none"/>
        </w:rPr>
        <w:t>AI</w:t>
      </w:r>
      <w:r w:rsidR="006203D9">
        <w:rPr>
          <w:lang w:eastAsia="x-none"/>
        </w:rPr>
        <w:t xml:space="preserve"> which </w:t>
      </w:r>
      <w:r w:rsidRPr="007D7F1E">
        <w:rPr>
          <w:lang w:eastAsia="x-none"/>
        </w:rPr>
        <w:t>led to inefficiencies</w:t>
      </w:r>
      <w:r w:rsidR="00FB0FF9">
        <w:rPr>
          <w:lang w:eastAsia="x-none"/>
        </w:rPr>
        <w:t xml:space="preserve"> and</w:t>
      </w:r>
      <w:r w:rsidR="005C118F">
        <w:rPr>
          <w:lang w:eastAsia="x-none"/>
        </w:rPr>
        <w:t xml:space="preserve"> </w:t>
      </w:r>
      <w:r w:rsidRPr="007D7F1E">
        <w:rPr>
          <w:lang w:eastAsia="x-none"/>
        </w:rPr>
        <w:t>limited scalability</w:t>
      </w:r>
      <w:r w:rsidR="00FB0FF9">
        <w:rPr>
          <w:lang w:eastAsia="x-none"/>
        </w:rPr>
        <w:t xml:space="preserve">. </w:t>
      </w:r>
      <w:r w:rsidRPr="007D7F1E">
        <w:rPr>
          <w:lang w:eastAsia="x-none"/>
        </w:rPr>
        <w:t xml:space="preserve">5G </w:t>
      </w:r>
      <w:r w:rsidR="00FB0FF9">
        <w:rPr>
          <w:lang w:eastAsia="x-none"/>
        </w:rPr>
        <w:t>a</w:t>
      </w:r>
      <w:r w:rsidRPr="007D7F1E">
        <w:rPr>
          <w:lang w:eastAsia="x-none"/>
        </w:rPr>
        <w:t>rchitectur</w:t>
      </w:r>
      <w:r w:rsidR="00FB0FF9">
        <w:rPr>
          <w:lang w:eastAsia="x-none"/>
        </w:rPr>
        <w:t xml:space="preserve">e </w:t>
      </w:r>
      <w:r w:rsidR="007230FC">
        <w:rPr>
          <w:lang w:eastAsia="x-none"/>
        </w:rPr>
        <w:t>is not prioritized</w:t>
      </w:r>
      <w:r w:rsidRPr="007D7F1E">
        <w:rPr>
          <w:lang w:eastAsia="x-none"/>
        </w:rPr>
        <w:t xml:space="preserve"> to</w:t>
      </w:r>
      <w:r w:rsidR="007230FC">
        <w:rPr>
          <w:lang w:eastAsia="x-none"/>
        </w:rPr>
        <w:t xml:space="preserve"> enhance the</w:t>
      </w:r>
      <w:r w:rsidRPr="007D7F1E">
        <w:rPr>
          <w:lang w:eastAsia="x-none"/>
        </w:rPr>
        <w:t xml:space="preserve"> support</w:t>
      </w:r>
      <w:r w:rsidR="007230FC">
        <w:rPr>
          <w:lang w:eastAsia="x-none"/>
        </w:rPr>
        <w:t xml:space="preserve"> of</w:t>
      </w:r>
      <w:r w:rsidRPr="007D7F1E">
        <w:rPr>
          <w:lang w:eastAsia="x-none"/>
        </w:rPr>
        <w:t xml:space="preserve"> diverse, data-centric, and intelligent services</w:t>
      </w:r>
      <w:r w:rsidR="00FE1D3E" w:rsidRPr="00E9743B">
        <w:t>.</w:t>
      </w:r>
      <w:bookmarkEnd w:id="12"/>
      <w:bookmarkEnd w:id="13"/>
      <w:bookmarkEnd w:id="14"/>
    </w:p>
    <w:p w14:paraId="20F5329E" w14:textId="7E73E5F8" w:rsidR="00FE1D3E" w:rsidRPr="00E9743B" w:rsidRDefault="000E6FFF" w:rsidP="00FE1D3E">
      <w:pPr>
        <w:pStyle w:val="Proposal"/>
        <w:numPr>
          <w:ilvl w:val="0"/>
          <w:numId w:val="4"/>
        </w:numPr>
      </w:pPr>
      <w:bookmarkStart w:id="15" w:name="_Toc213074741"/>
      <w:bookmarkStart w:id="16" w:name="_Toc213331307"/>
      <w:bookmarkStart w:id="17" w:name="_Toc213331388"/>
      <w:r w:rsidRPr="000E6FFF">
        <w:t>6G s</w:t>
      </w:r>
      <w:r>
        <w:t xml:space="preserve">ystem needs to </w:t>
      </w:r>
      <w:r w:rsidR="00646EEE">
        <w:t>define</w:t>
      </w:r>
      <w:r w:rsidRPr="000E6FFF">
        <w:t xml:space="preserve"> a unified and scalable architecture that natively </w:t>
      </w:r>
      <w:r w:rsidR="00D174A6">
        <w:t xml:space="preserve">can </w:t>
      </w:r>
      <w:r w:rsidRPr="000E6FFF">
        <w:t xml:space="preserve">support </w:t>
      </w:r>
      <w:r>
        <w:t>any emerging service</w:t>
      </w:r>
      <w:r w:rsidR="00AC53EB">
        <w:t xml:space="preserve"> (</w:t>
      </w:r>
      <w:r>
        <w:t>including</w:t>
      </w:r>
      <w:r w:rsidR="00AC53EB">
        <w:t xml:space="preserve"> e.g.,</w:t>
      </w:r>
      <w:r>
        <w:t xml:space="preserve"> </w:t>
      </w:r>
      <w:r w:rsidRPr="000E6FFF">
        <w:t>AI/ML, sensing, NTN integration, immersive services</w:t>
      </w:r>
      <w:r w:rsidR="00646EEE">
        <w:t>)</w:t>
      </w:r>
      <w:r w:rsidR="000C322B">
        <w:t>.</w:t>
      </w:r>
      <w:bookmarkEnd w:id="15"/>
      <w:bookmarkEnd w:id="16"/>
      <w:bookmarkEnd w:id="17"/>
    </w:p>
    <w:p w14:paraId="79A38C5F" w14:textId="77777777" w:rsidR="00FE1D3E" w:rsidRDefault="00FE1D3E" w:rsidP="00FE1D3E">
      <w:pPr>
        <w:jc w:val="both"/>
      </w:pPr>
    </w:p>
    <w:p w14:paraId="43D32D49" w14:textId="77777777" w:rsidR="00D174A6" w:rsidRDefault="00D174A6" w:rsidP="00FE1D3E">
      <w:pPr>
        <w:jc w:val="both"/>
      </w:pPr>
    </w:p>
    <w:p w14:paraId="3574E119" w14:textId="77777777" w:rsidR="00D174A6" w:rsidRDefault="00D174A6" w:rsidP="00FE1D3E">
      <w:pPr>
        <w:jc w:val="both"/>
      </w:pPr>
    </w:p>
    <w:p w14:paraId="6927049A" w14:textId="77777777" w:rsidR="00BA7BCC" w:rsidRDefault="00BA7BCC"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01F2DF83" w14:textId="77777777" w:rsidR="00B223F7"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B223F7" w:rsidRPr="000F2BBC">
        <w:rPr>
          <w:b/>
          <w:noProof/>
        </w:rPr>
        <w:t>Observation 1.</w:t>
      </w:r>
      <w:r w:rsidR="00B223F7">
        <w:rPr>
          <w:rFonts w:asciiTheme="minorHAnsi" w:eastAsiaTheme="minorEastAsia" w:hAnsiTheme="minorHAnsi" w:cstheme="minorBidi"/>
          <w:noProof/>
          <w:kern w:val="2"/>
          <w:sz w:val="24"/>
          <w:szCs w:val="24"/>
          <w14:ligatures w14:val="standardContextual"/>
        </w:rPr>
        <w:tab/>
      </w:r>
      <w:r w:rsidR="00B223F7" w:rsidRPr="000F2BBC">
        <w:rPr>
          <w:noProof/>
          <w:lang w:eastAsia="x-none"/>
        </w:rPr>
        <w:t xml:space="preserve">The later </w:t>
      </w:r>
      <w:r w:rsidR="00B223F7">
        <w:rPr>
          <w:noProof/>
          <w:lang w:eastAsia="x-none"/>
        </w:rPr>
        <w:t>integration of reduced-capability devices in 5G system led to fragmentation, inefficiency, and scalability issues due to complex backward compatibility, excessive signalling, and lack of early device-type differentiation mechanisms</w:t>
      </w:r>
      <w:r w:rsidR="00B223F7">
        <w:rPr>
          <w:noProof/>
        </w:rPr>
        <w:t>.</w:t>
      </w:r>
    </w:p>
    <w:p w14:paraId="5D754BC7" w14:textId="77777777" w:rsidR="00B223F7" w:rsidRDefault="00B223F7">
      <w:pPr>
        <w:pStyle w:val="TOC1"/>
        <w:rPr>
          <w:rFonts w:asciiTheme="minorHAnsi" w:eastAsiaTheme="minorEastAsia" w:hAnsiTheme="minorHAnsi" w:cstheme="minorBidi"/>
          <w:noProof/>
          <w:kern w:val="2"/>
          <w:sz w:val="24"/>
          <w:szCs w:val="24"/>
          <w14:ligatures w14:val="standardContextual"/>
        </w:rPr>
      </w:pPr>
      <w:r w:rsidRPr="000F2BBC">
        <w:rPr>
          <w:b/>
          <w:noProof/>
        </w:rPr>
        <w:t>Observation 2.</w:t>
      </w:r>
      <w:r>
        <w:rPr>
          <w:rFonts w:asciiTheme="minorHAnsi" w:eastAsiaTheme="minorEastAsia" w:hAnsiTheme="minorHAnsi" w:cstheme="minorBidi"/>
          <w:noProof/>
          <w:kern w:val="2"/>
          <w:sz w:val="24"/>
          <w:szCs w:val="24"/>
          <w14:ligatures w14:val="standardContextual"/>
        </w:rPr>
        <w:tab/>
      </w:r>
      <w:r>
        <w:rPr>
          <w:noProof/>
          <w:lang w:eastAsia="x-none"/>
        </w:rPr>
        <w:t>5G features added in different releases lead to a fragmented integration of emerging services such as XR, NTN and AI which led to inefficiencies and limited scalability. 5G architecture is not prioritized to enhance the support of diverse, data-centric, and intelligent services</w:t>
      </w:r>
      <w:r>
        <w:rPr>
          <w:noProof/>
        </w:rPr>
        <w:t>.</w:t>
      </w:r>
    </w:p>
    <w:p w14:paraId="22795ADE" w14:textId="77E8EB0E"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lastRenderedPageBreak/>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48E77C6" w14:textId="77777777" w:rsidR="00B223F7"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B223F7" w:rsidRPr="00373F92">
        <w:rPr>
          <w:b/>
          <w:noProof/>
        </w:rPr>
        <w:t>Proposal 1.</w:t>
      </w:r>
      <w:r w:rsidR="00B223F7">
        <w:rPr>
          <w:rFonts w:asciiTheme="minorHAnsi" w:eastAsiaTheme="minorEastAsia" w:hAnsiTheme="minorHAnsi" w:cstheme="minorBidi"/>
          <w:noProof/>
          <w:kern w:val="2"/>
          <w:sz w:val="24"/>
          <w:szCs w:val="24"/>
          <w14:ligatures w14:val="standardContextual"/>
        </w:rPr>
        <w:tab/>
      </w:r>
      <w:r w:rsidR="00B223F7">
        <w:rPr>
          <w:noProof/>
        </w:rPr>
        <w:t>6G design should prioritize the study of standalone deployment scenario. Interworking will be based on mobility with 5G NR, supported by MRSS and intra-6G CA. For other migration options, RAN2 should also wait for further guidance from RAN plenary.</w:t>
      </w:r>
    </w:p>
    <w:p w14:paraId="1895E15E" w14:textId="77777777" w:rsidR="00B223F7" w:rsidRDefault="00B223F7">
      <w:pPr>
        <w:pStyle w:val="TOC1"/>
        <w:rPr>
          <w:rFonts w:asciiTheme="minorHAnsi" w:eastAsiaTheme="minorEastAsia" w:hAnsiTheme="minorHAnsi" w:cstheme="minorBidi"/>
          <w:noProof/>
          <w:kern w:val="2"/>
          <w:sz w:val="24"/>
          <w:szCs w:val="24"/>
          <w14:ligatures w14:val="standardContextual"/>
        </w:rPr>
      </w:pPr>
      <w:r w:rsidRPr="00373F92">
        <w:rPr>
          <w:b/>
          <w:noProof/>
        </w:rPr>
        <w:t>Proposal 2.</w:t>
      </w:r>
      <w:r>
        <w:rPr>
          <w:rFonts w:asciiTheme="minorHAnsi" w:eastAsiaTheme="minorEastAsia" w:hAnsiTheme="minorHAnsi" w:cstheme="minorBidi"/>
          <w:noProof/>
          <w:kern w:val="2"/>
          <w:sz w:val="24"/>
          <w:szCs w:val="24"/>
          <w14:ligatures w14:val="standardContextual"/>
        </w:rPr>
        <w:tab/>
      </w:r>
      <w:r>
        <w:rPr>
          <w:noProof/>
        </w:rPr>
        <w:t>6G system needs to adopt a unified, scalable framework from Day 1 that natively supports any diverse device type. For this, to study how to enable a hierarchical modelling for diverse device types (e.g., a baseline functionality is defined for any kind of devices, common to all the diverse device types) that allow providing differentiated handling (e.g., during cell (re)selection, access control, initial access, etc).</w:t>
      </w:r>
    </w:p>
    <w:p w14:paraId="48F37F22" w14:textId="77777777" w:rsidR="00B223F7" w:rsidRDefault="00B223F7">
      <w:pPr>
        <w:pStyle w:val="TOC1"/>
        <w:rPr>
          <w:rFonts w:asciiTheme="minorHAnsi" w:eastAsiaTheme="minorEastAsia" w:hAnsiTheme="minorHAnsi" w:cstheme="minorBidi"/>
          <w:noProof/>
          <w:kern w:val="2"/>
          <w:sz w:val="24"/>
          <w:szCs w:val="24"/>
          <w14:ligatures w14:val="standardContextual"/>
        </w:rPr>
      </w:pPr>
      <w:r w:rsidRPr="00373F92">
        <w:rPr>
          <w:b/>
          <w:noProof/>
        </w:rPr>
        <w:t>Proposal 3.</w:t>
      </w:r>
      <w:r>
        <w:rPr>
          <w:rFonts w:asciiTheme="minorHAnsi" w:eastAsiaTheme="minorEastAsia" w:hAnsiTheme="minorHAnsi" w:cstheme="minorBidi"/>
          <w:noProof/>
          <w:kern w:val="2"/>
          <w:sz w:val="24"/>
          <w:szCs w:val="24"/>
          <w14:ligatures w14:val="standardContextual"/>
        </w:rPr>
        <w:tab/>
      </w:r>
      <w:r>
        <w:rPr>
          <w:noProof/>
        </w:rPr>
        <w:t>6G system needs to define a unified and scalable architecture that natively can support any emerging service (including e.g., AI/ML, sensing, NTN integration, immersive services).</w:t>
      </w:r>
    </w:p>
    <w:p w14:paraId="0580D4BA" w14:textId="406106BB" w:rsidR="00EB410E" w:rsidRDefault="00EB410E" w:rsidP="00EB410E">
      <w:pPr>
        <w:jc w:val="both"/>
        <w:rPr>
          <w:lang w:eastAsia="zh-CN"/>
        </w:rPr>
      </w:pPr>
      <w:r>
        <w:rPr>
          <w:lang w:eastAsia="zh-CN"/>
        </w:rPr>
        <w:fldChar w:fldCharType="end"/>
      </w:r>
    </w:p>
    <w:bookmarkEnd w:id="1"/>
    <w:bookmarkEnd w:id="2"/>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CA94C72"/>
    <w:multiLevelType w:val="hybridMultilevel"/>
    <w:tmpl w:val="C6C2AB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4"/>
  </w:num>
  <w:num w:numId="2" w16cid:durableId="1551303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1"/>
  </w:num>
  <w:num w:numId="4" w16cid:durableId="951472591">
    <w:abstractNumId w:val="2"/>
  </w:num>
  <w:num w:numId="5" w16cid:durableId="140582985">
    <w:abstractNumId w:val="5"/>
  </w:num>
  <w:num w:numId="6" w16cid:durableId="686640496">
    <w:abstractNumId w:val="8"/>
  </w:num>
  <w:num w:numId="7" w16cid:durableId="1715042058">
    <w:abstractNumId w:val="0"/>
  </w:num>
  <w:num w:numId="8" w16cid:durableId="1682391644">
    <w:abstractNumId w:val="7"/>
  </w:num>
  <w:num w:numId="9" w16cid:durableId="317152260">
    <w:abstractNumId w:val="6"/>
  </w:num>
  <w:num w:numId="10" w16cid:durableId="589001322">
    <w:abstractNumId w:val="3"/>
  </w:num>
  <w:num w:numId="11" w16cid:durableId="628752510">
    <w:abstractNumId w:val="4"/>
  </w:num>
  <w:num w:numId="12" w16cid:durableId="1372150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79823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5803201">
    <w:abstractNumId w:val="10"/>
  </w:num>
  <w:num w:numId="15" w16cid:durableId="2791875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87C"/>
    <w:rsid w:val="00021A5C"/>
    <w:rsid w:val="00021E27"/>
    <w:rsid w:val="0003227D"/>
    <w:rsid w:val="000446AF"/>
    <w:rsid w:val="00054827"/>
    <w:rsid w:val="00056716"/>
    <w:rsid w:val="0005785E"/>
    <w:rsid w:val="000630E0"/>
    <w:rsid w:val="00082E6F"/>
    <w:rsid w:val="00085A23"/>
    <w:rsid w:val="000907E1"/>
    <w:rsid w:val="00093231"/>
    <w:rsid w:val="000954F8"/>
    <w:rsid w:val="000A21BF"/>
    <w:rsid w:val="000B2D04"/>
    <w:rsid w:val="000B5481"/>
    <w:rsid w:val="000C322B"/>
    <w:rsid w:val="000D6595"/>
    <w:rsid w:val="000E42E8"/>
    <w:rsid w:val="000E6FFF"/>
    <w:rsid w:val="000F0379"/>
    <w:rsid w:val="000F56C2"/>
    <w:rsid w:val="000F6BAB"/>
    <w:rsid w:val="0010033D"/>
    <w:rsid w:val="00104B74"/>
    <w:rsid w:val="001053E8"/>
    <w:rsid w:val="001069E2"/>
    <w:rsid w:val="00121CA6"/>
    <w:rsid w:val="00125CE0"/>
    <w:rsid w:val="00133771"/>
    <w:rsid w:val="00134C54"/>
    <w:rsid w:val="00137411"/>
    <w:rsid w:val="0013775F"/>
    <w:rsid w:val="001543D7"/>
    <w:rsid w:val="0016210B"/>
    <w:rsid w:val="00163CAE"/>
    <w:rsid w:val="001678D7"/>
    <w:rsid w:val="00167BE7"/>
    <w:rsid w:val="001718C1"/>
    <w:rsid w:val="00175810"/>
    <w:rsid w:val="001762A6"/>
    <w:rsid w:val="00176C2E"/>
    <w:rsid w:val="001778CC"/>
    <w:rsid w:val="00191959"/>
    <w:rsid w:val="001954FF"/>
    <w:rsid w:val="00197214"/>
    <w:rsid w:val="001A68FA"/>
    <w:rsid w:val="001B48F1"/>
    <w:rsid w:val="001B6815"/>
    <w:rsid w:val="001C1751"/>
    <w:rsid w:val="001C2E5D"/>
    <w:rsid w:val="001D136B"/>
    <w:rsid w:val="001E0B8C"/>
    <w:rsid w:val="001E4BE6"/>
    <w:rsid w:val="001E531D"/>
    <w:rsid w:val="002153B2"/>
    <w:rsid w:val="00240F79"/>
    <w:rsid w:val="00255586"/>
    <w:rsid w:val="00257EBD"/>
    <w:rsid w:val="0027287C"/>
    <w:rsid w:val="00275713"/>
    <w:rsid w:val="00275B2F"/>
    <w:rsid w:val="0028096D"/>
    <w:rsid w:val="00287156"/>
    <w:rsid w:val="00294FE8"/>
    <w:rsid w:val="0029572C"/>
    <w:rsid w:val="002A150D"/>
    <w:rsid w:val="002A2FC3"/>
    <w:rsid w:val="002A5A8A"/>
    <w:rsid w:val="002C15C6"/>
    <w:rsid w:val="002C5CD0"/>
    <w:rsid w:val="002D0F53"/>
    <w:rsid w:val="002D4F70"/>
    <w:rsid w:val="002D62DE"/>
    <w:rsid w:val="002E46F5"/>
    <w:rsid w:val="002F1C7B"/>
    <w:rsid w:val="00301101"/>
    <w:rsid w:val="00305609"/>
    <w:rsid w:val="00323BC7"/>
    <w:rsid w:val="00325378"/>
    <w:rsid w:val="00327D5F"/>
    <w:rsid w:val="00331B3E"/>
    <w:rsid w:val="00334785"/>
    <w:rsid w:val="003404D5"/>
    <w:rsid w:val="00351476"/>
    <w:rsid w:val="00354AA4"/>
    <w:rsid w:val="00363594"/>
    <w:rsid w:val="003646DD"/>
    <w:rsid w:val="00365927"/>
    <w:rsid w:val="00367E80"/>
    <w:rsid w:val="003723A0"/>
    <w:rsid w:val="00391D1F"/>
    <w:rsid w:val="00393F1E"/>
    <w:rsid w:val="00395E4E"/>
    <w:rsid w:val="003A6AE5"/>
    <w:rsid w:val="003B2408"/>
    <w:rsid w:val="003B61E9"/>
    <w:rsid w:val="003C08D9"/>
    <w:rsid w:val="003C5E1D"/>
    <w:rsid w:val="003C6698"/>
    <w:rsid w:val="003C7C93"/>
    <w:rsid w:val="003D4383"/>
    <w:rsid w:val="003E41D9"/>
    <w:rsid w:val="003E4BD3"/>
    <w:rsid w:val="003E5DB6"/>
    <w:rsid w:val="003E62C1"/>
    <w:rsid w:val="003E6DF6"/>
    <w:rsid w:val="003F4FAE"/>
    <w:rsid w:val="004042D5"/>
    <w:rsid w:val="004046AA"/>
    <w:rsid w:val="0041586A"/>
    <w:rsid w:val="004177AE"/>
    <w:rsid w:val="0042095C"/>
    <w:rsid w:val="00420FC9"/>
    <w:rsid w:val="0042215A"/>
    <w:rsid w:val="004235BF"/>
    <w:rsid w:val="00425A58"/>
    <w:rsid w:val="004320E1"/>
    <w:rsid w:val="00454239"/>
    <w:rsid w:val="00466831"/>
    <w:rsid w:val="00474353"/>
    <w:rsid w:val="00475E9B"/>
    <w:rsid w:val="00480395"/>
    <w:rsid w:val="00487BFE"/>
    <w:rsid w:val="004956A8"/>
    <w:rsid w:val="004A0CDE"/>
    <w:rsid w:val="004A2FD6"/>
    <w:rsid w:val="004A6422"/>
    <w:rsid w:val="004B764D"/>
    <w:rsid w:val="004C0145"/>
    <w:rsid w:val="004C6014"/>
    <w:rsid w:val="004C6D7D"/>
    <w:rsid w:val="004E1512"/>
    <w:rsid w:val="004E365C"/>
    <w:rsid w:val="0050192C"/>
    <w:rsid w:val="00502FA6"/>
    <w:rsid w:val="0051416A"/>
    <w:rsid w:val="00523745"/>
    <w:rsid w:val="005277DC"/>
    <w:rsid w:val="00542A25"/>
    <w:rsid w:val="00543136"/>
    <w:rsid w:val="00543981"/>
    <w:rsid w:val="0056148B"/>
    <w:rsid w:val="005625C7"/>
    <w:rsid w:val="00563EED"/>
    <w:rsid w:val="00570987"/>
    <w:rsid w:val="00575295"/>
    <w:rsid w:val="00576836"/>
    <w:rsid w:val="005772F6"/>
    <w:rsid w:val="005807C2"/>
    <w:rsid w:val="0058351B"/>
    <w:rsid w:val="00587768"/>
    <w:rsid w:val="005A5D4E"/>
    <w:rsid w:val="005B266B"/>
    <w:rsid w:val="005B4701"/>
    <w:rsid w:val="005B7F19"/>
    <w:rsid w:val="005C118F"/>
    <w:rsid w:val="005C195E"/>
    <w:rsid w:val="005C3052"/>
    <w:rsid w:val="005D025D"/>
    <w:rsid w:val="005D11BF"/>
    <w:rsid w:val="005D291A"/>
    <w:rsid w:val="005E5E8D"/>
    <w:rsid w:val="0060029F"/>
    <w:rsid w:val="00612454"/>
    <w:rsid w:val="0061265D"/>
    <w:rsid w:val="006154A4"/>
    <w:rsid w:val="006203D9"/>
    <w:rsid w:val="00644D1F"/>
    <w:rsid w:val="00646EEE"/>
    <w:rsid w:val="00650A2D"/>
    <w:rsid w:val="0065540E"/>
    <w:rsid w:val="00657E6C"/>
    <w:rsid w:val="0067032F"/>
    <w:rsid w:val="00674EDD"/>
    <w:rsid w:val="00684C79"/>
    <w:rsid w:val="00687FEC"/>
    <w:rsid w:val="00692569"/>
    <w:rsid w:val="00692648"/>
    <w:rsid w:val="0069681B"/>
    <w:rsid w:val="006A0820"/>
    <w:rsid w:val="006B3946"/>
    <w:rsid w:val="006B39D6"/>
    <w:rsid w:val="006B70B7"/>
    <w:rsid w:val="006C119B"/>
    <w:rsid w:val="006C1DC4"/>
    <w:rsid w:val="006C6D8B"/>
    <w:rsid w:val="006E4BB1"/>
    <w:rsid w:val="006E5518"/>
    <w:rsid w:val="006F0772"/>
    <w:rsid w:val="006F3FA7"/>
    <w:rsid w:val="00702959"/>
    <w:rsid w:val="0070633E"/>
    <w:rsid w:val="00715ED8"/>
    <w:rsid w:val="00720A21"/>
    <w:rsid w:val="007230FC"/>
    <w:rsid w:val="00723F24"/>
    <w:rsid w:val="00724CD3"/>
    <w:rsid w:val="0072681D"/>
    <w:rsid w:val="007342AA"/>
    <w:rsid w:val="00734724"/>
    <w:rsid w:val="00742781"/>
    <w:rsid w:val="00743C9B"/>
    <w:rsid w:val="007473EE"/>
    <w:rsid w:val="00750185"/>
    <w:rsid w:val="00763DB3"/>
    <w:rsid w:val="007726E0"/>
    <w:rsid w:val="00772B59"/>
    <w:rsid w:val="00776D76"/>
    <w:rsid w:val="00780473"/>
    <w:rsid w:val="007930B2"/>
    <w:rsid w:val="007B0D1F"/>
    <w:rsid w:val="007C24B1"/>
    <w:rsid w:val="007C6038"/>
    <w:rsid w:val="007D5044"/>
    <w:rsid w:val="007D7F1E"/>
    <w:rsid w:val="007E1859"/>
    <w:rsid w:val="007F4E67"/>
    <w:rsid w:val="007F5B12"/>
    <w:rsid w:val="00803CA5"/>
    <w:rsid w:val="008065F7"/>
    <w:rsid w:val="00806FE6"/>
    <w:rsid w:val="0081019E"/>
    <w:rsid w:val="008179F3"/>
    <w:rsid w:val="00822DBB"/>
    <w:rsid w:val="00825F01"/>
    <w:rsid w:val="008359E9"/>
    <w:rsid w:val="00837504"/>
    <w:rsid w:val="00844D9C"/>
    <w:rsid w:val="00845D8F"/>
    <w:rsid w:val="00846166"/>
    <w:rsid w:val="0084781B"/>
    <w:rsid w:val="00852485"/>
    <w:rsid w:val="00852A9F"/>
    <w:rsid w:val="008548C2"/>
    <w:rsid w:val="00861717"/>
    <w:rsid w:val="00874398"/>
    <w:rsid w:val="00884B04"/>
    <w:rsid w:val="00893C8C"/>
    <w:rsid w:val="00896F88"/>
    <w:rsid w:val="008B56A6"/>
    <w:rsid w:val="008C0088"/>
    <w:rsid w:val="008C798D"/>
    <w:rsid w:val="008D15E7"/>
    <w:rsid w:val="009124EA"/>
    <w:rsid w:val="0091787D"/>
    <w:rsid w:val="009237E0"/>
    <w:rsid w:val="00926220"/>
    <w:rsid w:val="00931D99"/>
    <w:rsid w:val="00932ACB"/>
    <w:rsid w:val="00952A09"/>
    <w:rsid w:val="00961E41"/>
    <w:rsid w:val="00970311"/>
    <w:rsid w:val="00971A8C"/>
    <w:rsid w:val="0097489E"/>
    <w:rsid w:val="009752D4"/>
    <w:rsid w:val="009838C7"/>
    <w:rsid w:val="00987BAE"/>
    <w:rsid w:val="009A2486"/>
    <w:rsid w:val="009B5BFC"/>
    <w:rsid w:val="009B7333"/>
    <w:rsid w:val="009C37F1"/>
    <w:rsid w:val="009D105A"/>
    <w:rsid w:val="009D369E"/>
    <w:rsid w:val="009D5175"/>
    <w:rsid w:val="009D57D6"/>
    <w:rsid w:val="009E1C0E"/>
    <w:rsid w:val="009E1C4B"/>
    <w:rsid w:val="009F1326"/>
    <w:rsid w:val="00A00FBC"/>
    <w:rsid w:val="00A03A43"/>
    <w:rsid w:val="00A04895"/>
    <w:rsid w:val="00A072D0"/>
    <w:rsid w:val="00A07F2D"/>
    <w:rsid w:val="00A16353"/>
    <w:rsid w:val="00A17953"/>
    <w:rsid w:val="00A31791"/>
    <w:rsid w:val="00A33F0D"/>
    <w:rsid w:val="00A35424"/>
    <w:rsid w:val="00A4565C"/>
    <w:rsid w:val="00A458A4"/>
    <w:rsid w:val="00A55568"/>
    <w:rsid w:val="00A701B2"/>
    <w:rsid w:val="00A81DA7"/>
    <w:rsid w:val="00A839CE"/>
    <w:rsid w:val="00A83D1C"/>
    <w:rsid w:val="00A85822"/>
    <w:rsid w:val="00AA5509"/>
    <w:rsid w:val="00AA72C4"/>
    <w:rsid w:val="00AB10C3"/>
    <w:rsid w:val="00AC2966"/>
    <w:rsid w:val="00AC400A"/>
    <w:rsid w:val="00AC4370"/>
    <w:rsid w:val="00AC53EB"/>
    <w:rsid w:val="00AC73B1"/>
    <w:rsid w:val="00AC7B42"/>
    <w:rsid w:val="00AD0208"/>
    <w:rsid w:val="00AD6E43"/>
    <w:rsid w:val="00AD7504"/>
    <w:rsid w:val="00AD7BBD"/>
    <w:rsid w:val="00AE2D08"/>
    <w:rsid w:val="00AF35A2"/>
    <w:rsid w:val="00B06031"/>
    <w:rsid w:val="00B14A78"/>
    <w:rsid w:val="00B14C47"/>
    <w:rsid w:val="00B151CA"/>
    <w:rsid w:val="00B15821"/>
    <w:rsid w:val="00B223F7"/>
    <w:rsid w:val="00B2547C"/>
    <w:rsid w:val="00B26E15"/>
    <w:rsid w:val="00B30248"/>
    <w:rsid w:val="00B304C9"/>
    <w:rsid w:val="00B34DB2"/>
    <w:rsid w:val="00B366FC"/>
    <w:rsid w:val="00B373EE"/>
    <w:rsid w:val="00B470BF"/>
    <w:rsid w:val="00B803FE"/>
    <w:rsid w:val="00B8661C"/>
    <w:rsid w:val="00B931BD"/>
    <w:rsid w:val="00BA093C"/>
    <w:rsid w:val="00BA3CCD"/>
    <w:rsid w:val="00BA53F6"/>
    <w:rsid w:val="00BA7BCC"/>
    <w:rsid w:val="00BB26D7"/>
    <w:rsid w:val="00BB4A77"/>
    <w:rsid w:val="00BB798C"/>
    <w:rsid w:val="00BC62FB"/>
    <w:rsid w:val="00BC65A0"/>
    <w:rsid w:val="00BC6C71"/>
    <w:rsid w:val="00BD271C"/>
    <w:rsid w:val="00BD2FB3"/>
    <w:rsid w:val="00BD3AE3"/>
    <w:rsid w:val="00BE1474"/>
    <w:rsid w:val="00C058D9"/>
    <w:rsid w:val="00C07670"/>
    <w:rsid w:val="00C10552"/>
    <w:rsid w:val="00C17D08"/>
    <w:rsid w:val="00C324F1"/>
    <w:rsid w:val="00C33BB7"/>
    <w:rsid w:val="00C37B61"/>
    <w:rsid w:val="00C40EAE"/>
    <w:rsid w:val="00C450C3"/>
    <w:rsid w:val="00C50AD5"/>
    <w:rsid w:val="00C643E9"/>
    <w:rsid w:val="00C67049"/>
    <w:rsid w:val="00C96501"/>
    <w:rsid w:val="00CA3104"/>
    <w:rsid w:val="00CA6910"/>
    <w:rsid w:val="00CB7DAB"/>
    <w:rsid w:val="00CD4888"/>
    <w:rsid w:val="00CE5536"/>
    <w:rsid w:val="00CE64AA"/>
    <w:rsid w:val="00CF7D20"/>
    <w:rsid w:val="00D008D5"/>
    <w:rsid w:val="00D05CB7"/>
    <w:rsid w:val="00D16713"/>
    <w:rsid w:val="00D174A6"/>
    <w:rsid w:val="00D274A0"/>
    <w:rsid w:val="00D45D80"/>
    <w:rsid w:val="00D50D84"/>
    <w:rsid w:val="00D66823"/>
    <w:rsid w:val="00D6715A"/>
    <w:rsid w:val="00D80C9A"/>
    <w:rsid w:val="00D867A1"/>
    <w:rsid w:val="00D95253"/>
    <w:rsid w:val="00DB0036"/>
    <w:rsid w:val="00DB614A"/>
    <w:rsid w:val="00DD11D3"/>
    <w:rsid w:val="00DD3BB4"/>
    <w:rsid w:val="00DD7B29"/>
    <w:rsid w:val="00DE4AA0"/>
    <w:rsid w:val="00DF3295"/>
    <w:rsid w:val="00DF5888"/>
    <w:rsid w:val="00DF7E0D"/>
    <w:rsid w:val="00E040A7"/>
    <w:rsid w:val="00E042EC"/>
    <w:rsid w:val="00E07026"/>
    <w:rsid w:val="00E22D32"/>
    <w:rsid w:val="00E261D5"/>
    <w:rsid w:val="00E27AD3"/>
    <w:rsid w:val="00E37FC6"/>
    <w:rsid w:val="00E56F31"/>
    <w:rsid w:val="00E60AAA"/>
    <w:rsid w:val="00E61AC1"/>
    <w:rsid w:val="00E66896"/>
    <w:rsid w:val="00E67755"/>
    <w:rsid w:val="00E67A39"/>
    <w:rsid w:val="00E801DB"/>
    <w:rsid w:val="00E96623"/>
    <w:rsid w:val="00E9743B"/>
    <w:rsid w:val="00EB410E"/>
    <w:rsid w:val="00EB5B45"/>
    <w:rsid w:val="00EC3444"/>
    <w:rsid w:val="00EC402A"/>
    <w:rsid w:val="00EC4E79"/>
    <w:rsid w:val="00ED420D"/>
    <w:rsid w:val="00ED7D99"/>
    <w:rsid w:val="00EE1F11"/>
    <w:rsid w:val="00EE4BA3"/>
    <w:rsid w:val="00F022BE"/>
    <w:rsid w:val="00F03C36"/>
    <w:rsid w:val="00F052BE"/>
    <w:rsid w:val="00F12A92"/>
    <w:rsid w:val="00F14CFE"/>
    <w:rsid w:val="00F22652"/>
    <w:rsid w:val="00F47F62"/>
    <w:rsid w:val="00F52645"/>
    <w:rsid w:val="00F60FE6"/>
    <w:rsid w:val="00F64E0D"/>
    <w:rsid w:val="00F65F61"/>
    <w:rsid w:val="00F66CBB"/>
    <w:rsid w:val="00F67062"/>
    <w:rsid w:val="00F70A16"/>
    <w:rsid w:val="00F73A55"/>
    <w:rsid w:val="00F84281"/>
    <w:rsid w:val="00F84A77"/>
    <w:rsid w:val="00F867E9"/>
    <w:rsid w:val="00F92A07"/>
    <w:rsid w:val="00F95988"/>
    <w:rsid w:val="00F96AF9"/>
    <w:rsid w:val="00FB0FF9"/>
    <w:rsid w:val="00FB4F0F"/>
    <w:rsid w:val="00FC2F9B"/>
    <w:rsid w:val="00FC454E"/>
    <w:rsid w:val="00FC7811"/>
    <w:rsid w:val="00FE1D3E"/>
    <w:rsid w:val="00FE4D83"/>
    <w:rsid w:val="00FE6F5A"/>
    <w:rsid w:val="00FE75E7"/>
    <w:rsid w:val="00FF237C"/>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1715</Words>
  <Characters>10018</Characters>
  <Application>Microsoft Office Word</Application>
  <DocSecurity>0</DocSecurity>
  <Lines>147</Lines>
  <Paragraphs>67</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11666</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108</cp:revision>
  <dcterms:created xsi:type="dcterms:W3CDTF">2025-04-21T18:28:00Z</dcterms:created>
  <dcterms:modified xsi:type="dcterms:W3CDTF">2025-11-06T22:22:00Z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