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75FF28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728F2">
        <w:rPr>
          <w:bCs/>
          <w:noProof w:val="0"/>
          <w:sz w:val="24"/>
          <w:szCs w:val="24"/>
        </w:rPr>
        <w:t>1</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42C62DB6" w:rsidR="00A209D6" w:rsidRPr="00465587" w:rsidRDefault="001672AE" w:rsidP="00A209D6">
      <w:pPr>
        <w:pStyle w:val="Header"/>
        <w:tabs>
          <w:tab w:val="right" w:pos="9639"/>
        </w:tabs>
        <w:rPr>
          <w:rFonts w:eastAsia="SimSun"/>
          <w:bCs/>
          <w:sz w:val="24"/>
          <w:szCs w:val="24"/>
          <w:lang w:eastAsia="zh-CN"/>
        </w:rPr>
      </w:pPr>
      <w:r w:rsidRPr="001672AE">
        <w:rPr>
          <w:rFonts w:eastAsia="SimSun"/>
          <w:bCs/>
          <w:sz w:val="24"/>
          <w:szCs w:val="24"/>
          <w:lang w:eastAsia="zh-CN"/>
        </w:rPr>
        <w:t>Athens, Greece, 27 February – 03 March 202</w:t>
      </w:r>
      <w:r>
        <w:rPr>
          <w:rFonts w:eastAsia="SimSun"/>
          <w:bCs/>
          <w:sz w:val="24"/>
          <w:szCs w:val="24"/>
          <w:lang w:eastAsia="zh-CN"/>
        </w:rPr>
        <w:t>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74682F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7B3CB4">
        <w:rPr>
          <w:rFonts w:cs="Arial"/>
          <w:b/>
          <w:bCs/>
          <w:sz w:val="24"/>
          <w:lang w:eastAsia="ja-JP"/>
        </w:rPr>
        <w:t>8.13.3</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47063B4"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B3CB4">
        <w:rPr>
          <w:rFonts w:ascii="Arial" w:hAnsi="Arial" w:cs="Arial"/>
          <w:b/>
          <w:bCs/>
          <w:sz w:val="24"/>
        </w:rPr>
        <w:t xml:space="preserve">Summary of 8.13.3 </w:t>
      </w:r>
      <w:r w:rsidR="007B3CB4" w:rsidRPr="007B3CB4">
        <w:rPr>
          <w:rFonts w:ascii="Arial" w:hAnsi="Arial" w:cs="Arial"/>
          <w:b/>
          <w:bCs/>
          <w:sz w:val="24"/>
        </w:rPr>
        <w:t>MDT override</w:t>
      </w:r>
    </w:p>
    <w:p w14:paraId="1F147C23" w14:textId="6E4F2D7B"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B3CB4" w:rsidRPr="007B3CB4">
        <w:rPr>
          <w:rFonts w:ascii="Arial" w:hAnsi="Arial" w:cs="Arial"/>
          <w:b/>
          <w:bCs/>
          <w:sz w:val="24"/>
        </w:rPr>
        <w:t>NR_ENDC_SON_MDT_enh2-Core</w:t>
      </w:r>
      <w:r w:rsidRPr="00112F1A">
        <w:rPr>
          <w:rFonts w:ascii="Arial" w:hAnsi="Arial" w:cs="Arial"/>
          <w:b/>
          <w:bCs/>
          <w:sz w:val="24"/>
        </w:rPr>
        <w:t xml:space="preserve"> </w:t>
      </w:r>
      <w:r>
        <w:rPr>
          <w:rFonts w:ascii="Arial" w:hAnsi="Arial" w:cs="Arial"/>
          <w:b/>
          <w:bCs/>
          <w:sz w:val="24"/>
        </w:rPr>
        <w:t xml:space="preserve">- Release </w:t>
      </w:r>
      <w:r w:rsidR="007B3CB4">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BE8B9C2" w14:textId="77777777" w:rsidR="007B3CB4" w:rsidRDefault="003C7362" w:rsidP="003C7362">
      <w:r w:rsidRPr="003600FF">
        <w:t xml:space="preserve">This </w:t>
      </w:r>
      <w:r w:rsidR="007B3CB4">
        <w:t>document provides the summary of agenda item</w:t>
      </w:r>
      <w:r w:rsidR="007B3CB4" w:rsidRPr="007B3CB4">
        <w:t xml:space="preserve"> 8.13.3 </w:t>
      </w:r>
      <w:r w:rsidR="007B3CB4">
        <w:t>(</w:t>
      </w:r>
      <w:r w:rsidR="007B3CB4" w:rsidRPr="007B3CB4">
        <w:t>MDT override</w:t>
      </w:r>
      <w:r w:rsidR="007B3CB4">
        <w:t>) considering the following input papers.</w:t>
      </w:r>
    </w:p>
    <w:p w14:paraId="0325B1DC" w14:textId="7B8F0A0C" w:rsidR="007B3CB4" w:rsidRDefault="007B3CB4" w:rsidP="007B3CB4">
      <w:pPr>
        <w:pStyle w:val="B1"/>
      </w:pPr>
      <w:r>
        <w:t>[1]</w:t>
      </w:r>
      <w:r>
        <w:tab/>
      </w:r>
      <w:hyperlink r:id="rId12" w:history="1">
        <w:r w:rsidR="004F7D5D">
          <w:rPr>
            <w:rStyle w:val="Hyperlink"/>
          </w:rPr>
          <w:t>R2-2300293</w:t>
        </w:r>
      </w:hyperlink>
      <w:r>
        <w:tab/>
        <w:t>Consideration on Inter-RAT Signaling Based Logged MDT Override Protection</w:t>
      </w:r>
      <w:r>
        <w:tab/>
        <w:t>CATT</w:t>
      </w:r>
      <w:r>
        <w:tab/>
        <w:t>discussion</w:t>
      </w:r>
      <w:r>
        <w:tab/>
        <w:t>Rel-18</w:t>
      </w:r>
      <w:r>
        <w:tab/>
        <w:t>NR_ENDC_SON_MDT_enh2-Core</w:t>
      </w:r>
    </w:p>
    <w:p w14:paraId="58250416" w14:textId="0D0131ED" w:rsidR="007B3CB4" w:rsidRDefault="007B3CB4" w:rsidP="007B3CB4">
      <w:pPr>
        <w:pStyle w:val="B1"/>
      </w:pPr>
      <w:r>
        <w:t>[2]</w:t>
      </w:r>
      <w:r>
        <w:tab/>
      </w:r>
      <w:hyperlink r:id="rId13" w:history="1">
        <w:r w:rsidR="004F7D5D">
          <w:rPr>
            <w:rStyle w:val="Hyperlink"/>
          </w:rPr>
          <w:t>R2-2300716</w:t>
        </w:r>
      </w:hyperlink>
      <w:r>
        <w:tab/>
        <w:t>On MDT override protection</w:t>
      </w:r>
      <w:r>
        <w:tab/>
        <w:t>Apple</w:t>
      </w:r>
      <w:r>
        <w:tab/>
        <w:t>discussion</w:t>
      </w:r>
      <w:r>
        <w:tab/>
        <w:t>NR_ENDC_SON_MDT_enh2-Core</w:t>
      </w:r>
    </w:p>
    <w:p w14:paraId="1F1A9E8E" w14:textId="0A58DB20" w:rsidR="007B3CB4" w:rsidRDefault="007B3CB4" w:rsidP="007B3CB4">
      <w:pPr>
        <w:pStyle w:val="B1"/>
      </w:pPr>
      <w:r>
        <w:t>[3]</w:t>
      </w:r>
      <w:r>
        <w:tab/>
      </w:r>
      <w:hyperlink r:id="rId14" w:history="1">
        <w:r w:rsidR="004F7D5D">
          <w:rPr>
            <w:rStyle w:val="Hyperlink"/>
          </w:rPr>
          <w:t>R2-2301001</w:t>
        </w:r>
      </w:hyperlink>
      <w:r>
        <w:tab/>
        <w:t>Signalling based logged MDT override protection</w:t>
      </w:r>
      <w:r>
        <w:tab/>
        <w:t>Nokia, Nokia Shanghai Bell</w:t>
      </w:r>
      <w:r>
        <w:tab/>
        <w:t>discussion</w:t>
      </w:r>
      <w:r>
        <w:tab/>
        <w:t>Rel-18</w:t>
      </w:r>
      <w:r>
        <w:tab/>
        <w:t>NR_ENDC_SON_MDT_enh2-Core</w:t>
      </w:r>
    </w:p>
    <w:p w14:paraId="5B4180E8" w14:textId="45CEFDCA" w:rsidR="007B3CB4" w:rsidRDefault="007B3CB4" w:rsidP="007B3CB4">
      <w:pPr>
        <w:pStyle w:val="B1"/>
      </w:pPr>
      <w:r>
        <w:t>[4]</w:t>
      </w:r>
      <w:r>
        <w:tab/>
      </w:r>
      <w:hyperlink r:id="rId15" w:history="1">
        <w:r w:rsidR="004F7D5D">
          <w:rPr>
            <w:rStyle w:val="Hyperlink"/>
          </w:rPr>
          <w:t>R2-2301144</w:t>
        </w:r>
      </w:hyperlink>
      <w:r>
        <w:tab/>
        <w:t>Consideration on MDT override issues</w:t>
      </w:r>
      <w:r>
        <w:tab/>
        <w:t>ZTE Corporation, Sanechips</w:t>
      </w:r>
      <w:r>
        <w:tab/>
        <w:t>discussion</w:t>
      </w:r>
      <w:r>
        <w:tab/>
        <w:t>Rel-18</w:t>
      </w:r>
    </w:p>
    <w:p w14:paraId="7AFB1D84" w14:textId="547BC6FE" w:rsidR="007B3CB4" w:rsidRDefault="007B3CB4" w:rsidP="007B3CB4">
      <w:pPr>
        <w:pStyle w:val="B1"/>
      </w:pPr>
      <w:r>
        <w:t>[5]</w:t>
      </w:r>
      <w:r>
        <w:tab/>
      </w:r>
      <w:hyperlink r:id="rId16" w:history="1">
        <w:r w:rsidR="004F7D5D">
          <w:rPr>
            <w:rStyle w:val="Hyperlink"/>
          </w:rPr>
          <w:t>R2-2301192</w:t>
        </w:r>
      </w:hyperlink>
      <w:r>
        <w:tab/>
        <w:t>Inter-RAT signaling based logged MDT override protection</w:t>
      </w:r>
      <w:r>
        <w:tab/>
        <w:t>Samsung</w:t>
      </w:r>
      <w:r>
        <w:tab/>
        <w:t>discussion</w:t>
      </w:r>
    </w:p>
    <w:p w14:paraId="0EA85DF9" w14:textId="09254C19" w:rsidR="007B3CB4" w:rsidRDefault="007B3CB4" w:rsidP="007B3CB4">
      <w:pPr>
        <w:pStyle w:val="B1"/>
      </w:pPr>
      <w:r>
        <w:t>[6]</w:t>
      </w:r>
      <w:r>
        <w:tab/>
      </w:r>
      <w:hyperlink r:id="rId17" w:history="1">
        <w:r w:rsidR="004F7D5D">
          <w:rPr>
            <w:rStyle w:val="Hyperlink"/>
          </w:rPr>
          <w:t>R2-2301275</w:t>
        </w:r>
      </w:hyperlink>
      <w:r>
        <w:tab/>
        <w:t>MDT enhancements</w:t>
      </w:r>
      <w:r>
        <w:tab/>
        <w:t>Ericsson</w:t>
      </w:r>
      <w:r>
        <w:tab/>
        <w:t>discussion</w:t>
      </w:r>
      <w:r>
        <w:tab/>
        <w:t>NR_ENDC_SON_MDT_enh2-Core</w:t>
      </w:r>
    </w:p>
    <w:p w14:paraId="6C29C73C" w14:textId="794F920E" w:rsidR="007B3CB4" w:rsidRDefault="007B3CB4" w:rsidP="007B3CB4">
      <w:pPr>
        <w:pStyle w:val="B1"/>
      </w:pPr>
      <w:r>
        <w:t>[7]</w:t>
      </w:r>
      <w:r>
        <w:tab/>
      </w:r>
      <w:hyperlink r:id="rId18" w:history="1">
        <w:r w:rsidR="004F7D5D">
          <w:rPr>
            <w:rStyle w:val="Hyperlink"/>
          </w:rPr>
          <w:t>R2-2301420</w:t>
        </w:r>
      </w:hyperlink>
      <w:r>
        <w:tab/>
        <w:t>Signalling based logged MDT override protection</w:t>
      </w:r>
      <w:r>
        <w:tab/>
        <w:t xml:space="preserve">Qualcomm Incorporated </w:t>
      </w:r>
      <w:r>
        <w:tab/>
        <w:t>discussion</w:t>
      </w:r>
      <w:r>
        <w:tab/>
        <w:t>Rel-18</w:t>
      </w:r>
    </w:p>
    <w:p w14:paraId="19CD4854" w14:textId="3E173A6D" w:rsidR="007B3CB4" w:rsidRDefault="007B3CB4" w:rsidP="007B3CB4">
      <w:pPr>
        <w:pStyle w:val="B1"/>
      </w:pPr>
      <w:r>
        <w:t>[8]</w:t>
      </w:r>
      <w:r>
        <w:tab/>
      </w:r>
      <w:hyperlink r:id="rId19" w:history="1">
        <w:r w:rsidR="004F7D5D">
          <w:rPr>
            <w:rStyle w:val="Hyperlink"/>
          </w:rPr>
          <w:t>R2-2301570</w:t>
        </w:r>
      </w:hyperlink>
      <w:r>
        <w:tab/>
        <w:t>Discussion on the inter-system signalling based MDT override protection</w:t>
      </w:r>
      <w:r>
        <w:tab/>
        <w:t>Huawei, HiSilicon</w:t>
      </w:r>
      <w:r>
        <w:tab/>
        <w:t>discussion</w:t>
      </w:r>
      <w:r>
        <w:tab/>
        <w:t>Rel-18</w:t>
      </w:r>
      <w:r>
        <w:tab/>
        <w:t>NR_ENDC_SON_MDT_enh2-Core</w:t>
      </w:r>
    </w:p>
    <w:p w14:paraId="52F46690" w14:textId="20901DAD" w:rsidR="003C7362" w:rsidRDefault="007B3CB4" w:rsidP="007B3CB4">
      <w:pPr>
        <w:pStyle w:val="B1"/>
      </w:pPr>
      <w:r>
        <w:t>[9]</w:t>
      </w:r>
      <w:r>
        <w:tab/>
      </w:r>
      <w:hyperlink r:id="rId20" w:history="1">
        <w:r w:rsidR="004F7D5D">
          <w:rPr>
            <w:rStyle w:val="Hyperlink"/>
          </w:rPr>
          <w:t>R2-2301631</w:t>
        </w:r>
      </w:hyperlink>
      <w:r>
        <w:tab/>
        <w:t>Considerations on the signaling based logged MDT override protection for E-UTRAN</w:t>
      </w:r>
      <w:r>
        <w:tab/>
        <w:t>Beijing Xiaomi Software Tech</w:t>
      </w:r>
      <w:r>
        <w:tab/>
        <w:t>discussion</w:t>
      </w:r>
      <w:r>
        <w:tab/>
        <w:t>Rel-18</w:t>
      </w:r>
    </w:p>
    <w:p w14:paraId="24C12D3A" w14:textId="77777777" w:rsidR="001C1AFE" w:rsidRPr="006E13D1" w:rsidRDefault="001C1AFE" w:rsidP="001C1AFE"/>
    <w:p w14:paraId="2BBFF540" w14:textId="49C3EE24" w:rsidR="00A209D6" w:rsidRPr="006E13D1" w:rsidRDefault="007B3CB4" w:rsidP="00A209D6">
      <w:pPr>
        <w:pStyle w:val="Heading1"/>
      </w:pPr>
      <w:r>
        <w:t>2</w:t>
      </w:r>
      <w:r w:rsidR="00A209D6" w:rsidRPr="006E13D1">
        <w:tab/>
      </w:r>
      <w:r w:rsidR="00E655F5">
        <w:t>Discussion</w:t>
      </w:r>
    </w:p>
    <w:p w14:paraId="2A6E6908" w14:textId="2284F140" w:rsidR="00C93CBC" w:rsidRPr="006E13D1" w:rsidRDefault="00C93CBC" w:rsidP="00C93CBC">
      <w:pPr>
        <w:pStyle w:val="Heading2"/>
      </w:pPr>
      <w:r>
        <w:t>2.1</w:t>
      </w:r>
      <w:r w:rsidRPr="006E13D1">
        <w:tab/>
      </w:r>
      <w:r>
        <w:t>Override protection options</w:t>
      </w:r>
    </w:p>
    <w:p w14:paraId="4BF1D1A0" w14:textId="766899EC" w:rsidR="007B3CB4" w:rsidRDefault="00946540" w:rsidP="00A209D6">
      <w:r>
        <w:t xml:space="preserve">Rapporteurs’ view </w:t>
      </w:r>
      <w:r w:rsidR="00D76E34">
        <w:t xml:space="preserve">is that the </w:t>
      </w:r>
      <w:r>
        <w:t>most important is</w:t>
      </w:r>
      <w:r w:rsidR="00C93CBC">
        <w:t xml:space="preserve"> to address the open issue “</w:t>
      </w:r>
      <w:r w:rsidR="00C93CBC">
        <w:rPr>
          <w:rFonts w:eastAsia="SimSun"/>
          <w:lang w:eastAsia="zh-CN"/>
        </w:rPr>
        <w:t>EUTRA MDT configuration override protection in inter-RAT scenario realized by simultaneous LTE and NR configuration in the UE.”</w:t>
      </w:r>
      <w:r>
        <w:rPr>
          <w:rFonts w:eastAsia="SimSun"/>
          <w:lang w:eastAsia="zh-CN"/>
        </w:rPr>
        <w:t xml:space="preserve">. The following options are addressed </w:t>
      </w:r>
      <w:r w:rsidR="000807C8">
        <w:rPr>
          <w:rFonts w:eastAsia="SimSun"/>
          <w:lang w:eastAsia="zh-CN"/>
        </w:rPr>
        <w:t xml:space="preserve">(solution options that were discussed at RAN2119bis, see </w:t>
      </w:r>
      <w:r w:rsidR="000807C8" w:rsidRPr="000807C8">
        <w:rPr>
          <w:rFonts w:eastAsia="SimSun"/>
          <w:lang w:eastAsia="zh-CN"/>
        </w:rPr>
        <w:t>R2-2210996</w:t>
      </w:r>
      <w:r w:rsidR="000807C8">
        <w:rPr>
          <w:rFonts w:eastAsia="SimSun"/>
          <w:lang w:eastAsia="zh-CN"/>
        </w:rPr>
        <w:t xml:space="preserve">) </w:t>
      </w:r>
      <w:r>
        <w:rPr>
          <w:rFonts w:eastAsia="SimSun"/>
          <w:lang w:eastAsia="zh-CN"/>
        </w:rPr>
        <w:t>in the proposals from the companies</w:t>
      </w:r>
      <w:r w:rsidR="000807C8">
        <w:rPr>
          <w:rFonts w:eastAsia="SimSun"/>
          <w:lang w:eastAsia="zh-CN"/>
        </w:rPr>
        <w:t>:</w:t>
      </w:r>
    </w:p>
    <w:p w14:paraId="33ECE216" w14:textId="68353E26" w:rsidR="000807C8" w:rsidRDefault="00C93CBC" w:rsidP="00946540">
      <w:pPr>
        <w:pStyle w:val="B1"/>
        <w:rPr>
          <w:lang w:val="en-US"/>
        </w:rPr>
      </w:pPr>
      <w:r w:rsidRPr="000807C8">
        <w:rPr>
          <w:b/>
          <w:bCs/>
        </w:rPr>
        <w:t>Solution 1:</w:t>
      </w:r>
      <w:r>
        <w:t xml:space="preserve"> </w:t>
      </w:r>
      <w:r w:rsidR="000807C8">
        <w:rPr>
          <w:lang w:val="en-US"/>
        </w:rPr>
        <w:t xml:space="preserve">Override protection by simultaneous LTE and NR configuration </w:t>
      </w:r>
      <w:r w:rsidR="00FB2608">
        <w:rPr>
          <w:lang w:val="en-US"/>
        </w:rPr>
        <w:t xml:space="preserve"> </w:t>
      </w:r>
    </w:p>
    <w:p w14:paraId="03473964" w14:textId="13B3F35C" w:rsidR="00C93CBC" w:rsidRDefault="00C93CBC" w:rsidP="00946540">
      <w:pPr>
        <w:pStyle w:val="B1"/>
      </w:pPr>
      <w:r w:rsidRPr="000807C8">
        <w:rPr>
          <w:b/>
          <w:bCs/>
        </w:rPr>
        <w:t>Solution 2:</w:t>
      </w:r>
      <w:r>
        <w:t xml:space="preserve"> </w:t>
      </w:r>
      <w:bookmarkStart w:id="0" w:name="_Hlk127814511"/>
      <w:r w:rsidR="000807C8">
        <w:rPr>
          <w:lang w:val="en-US"/>
        </w:rPr>
        <w:t>Override protection by cross-RAT signaling but no cross-RAT reporting of LTE logged MDT report</w:t>
      </w:r>
      <w:bookmarkEnd w:id="0"/>
    </w:p>
    <w:p w14:paraId="4C68964B" w14:textId="144BCE4F" w:rsidR="00C93CBC" w:rsidRDefault="00C93CBC" w:rsidP="00946540">
      <w:pPr>
        <w:pStyle w:val="B1"/>
      </w:pPr>
      <w:r w:rsidRPr="000807C8">
        <w:rPr>
          <w:b/>
          <w:bCs/>
        </w:rPr>
        <w:t>Solution 3:</w:t>
      </w:r>
      <w:r>
        <w:t xml:space="preserve"> </w:t>
      </w:r>
      <w:r w:rsidR="000807C8">
        <w:rPr>
          <w:lang w:val="en-US"/>
        </w:rPr>
        <w:t>Override protection by cross-RAT reporting of LTE logged MDT report</w:t>
      </w:r>
    </w:p>
    <w:p w14:paraId="4E06F365" w14:textId="77777777" w:rsidR="00D76E34" w:rsidRDefault="00D76E34" w:rsidP="00A209D6"/>
    <w:p w14:paraId="65231DC7" w14:textId="2DB097AE" w:rsidR="002166A0" w:rsidRDefault="002166A0" w:rsidP="00A209D6">
      <w:r>
        <w:t xml:space="preserve">No companies proposed solution 3, while there are proposals </w:t>
      </w:r>
      <w:r w:rsidR="00003CC6">
        <w:t xml:space="preserve">(7 paper out of 9) </w:t>
      </w:r>
      <w:r>
        <w:t xml:space="preserve">to exclude solution 3: </w:t>
      </w:r>
    </w:p>
    <w:p w14:paraId="100C0ABC" w14:textId="03B2722E" w:rsidR="002166A0" w:rsidRDefault="005469BC" w:rsidP="002166A0">
      <w:pPr>
        <w:pStyle w:val="B1"/>
      </w:pPr>
      <w:r>
        <w:rPr>
          <w:b/>
          <w:bCs/>
        </w:rPr>
        <w:lastRenderedPageBreak/>
        <w:t>[2] Apple</w:t>
      </w:r>
      <w:r w:rsidR="00CD2222">
        <w:rPr>
          <w:b/>
          <w:bCs/>
        </w:rPr>
        <w:br/>
      </w:r>
      <w:r w:rsidR="002166A0" w:rsidRPr="00642FA3">
        <w:rPr>
          <w:b/>
          <w:bCs/>
        </w:rPr>
        <w:t>Proposal 1</w:t>
      </w:r>
      <w:r w:rsidR="002166A0" w:rsidRPr="00946540">
        <w:t>: RAN2 to either rule out solution 3 or ask RAN3 and SA5 to assess its complexity</w:t>
      </w:r>
    </w:p>
    <w:p w14:paraId="39049B40" w14:textId="31E66016" w:rsidR="002166A0" w:rsidRDefault="002166A0" w:rsidP="002166A0">
      <w:pPr>
        <w:pStyle w:val="B1"/>
      </w:pPr>
      <w:r w:rsidRPr="00642FA3">
        <w:rPr>
          <w:b/>
          <w:bCs/>
        </w:rPr>
        <w:t xml:space="preserve">[3] </w:t>
      </w:r>
      <w:r w:rsidR="005469BC">
        <w:rPr>
          <w:b/>
          <w:bCs/>
        </w:rPr>
        <w:t>Nokia</w:t>
      </w:r>
      <w:r w:rsidR="005469BC">
        <w:rPr>
          <w:b/>
          <w:bCs/>
        </w:rPr>
        <w:br/>
      </w:r>
      <w:r w:rsidRPr="00642FA3">
        <w:rPr>
          <w:b/>
          <w:bCs/>
        </w:rPr>
        <w:t>Proposal 4:</w:t>
      </w:r>
      <w:r>
        <w:t xml:space="preserve"> Cross-RAT reporting for Logged MDT results (i.e., UE reports E-UTRAN logged MDT results availability in NR) is not supported in Rel-18.</w:t>
      </w:r>
    </w:p>
    <w:p w14:paraId="1832F969" w14:textId="0A2ABE17" w:rsidR="002166A0" w:rsidRDefault="00CD2222" w:rsidP="002166A0">
      <w:pPr>
        <w:pStyle w:val="B1"/>
      </w:pPr>
      <w:r>
        <w:rPr>
          <w:b/>
        </w:rPr>
        <w:t>[4] ZTE</w:t>
      </w:r>
      <w:r>
        <w:rPr>
          <w:b/>
        </w:rPr>
        <w:br/>
      </w:r>
      <w:r w:rsidR="002166A0" w:rsidRPr="00E866EC">
        <w:rPr>
          <w:b/>
        </w:rPr>
        <w:t>Proposal 1:</w:t>
      </w:r>
      <w:r w:rsidR="002166A0">
        <w:t xml:space="preserve"> RAN2 selects between option 1 and option 2 for handling MDT overwrite issue:</w:t>
      </w:r>
      <w:r w:rsidR="002166A0">
        <w:br/>
        <w:t>Opt1: Simultaneous MDT configuration for NR and LTE</w:t>
      </w:r>
      <w:r w:rsidR="002166A0">
        <w:br/>
        <w:t>Opt2: Reuse R17 mechanism (i.e., based on MDT type indication and sigLogMeasConfigAvailable indication)</w:t>
      </w:r>
    </w:p>
    <w:p w14:paraId="7697004E" w14:textId="2390C2B4" w:rsidR="002166A0" w:rsidRDefault="00CD2222" w:rsidP="002166A0">
      <w:pPr>
        <w:pStyle w:val="B1"/>
      </w:pPr>
      <w:r>
        <w:rPr>
          <w:b/>
        </w:rPr>
        <w:t>[5] Samsung</w:t>
      </w:r>
      <w:r>
        <w:rPr>
          <w:b/>
        </w:rPr>
        <w:br/>
      </w:r>
      <w:r w:rsidR="002166A0" w:rsidRPr="00E866EC">
        <w:rPr>
          <w:b/>
        </w:rPr>
        <w:t>Proposal 5:</w:t>
      </w:r>
      <w:r w:rsidR="002166A0" w:rsidRPr="00473BB4">
        <w:t xml:space="preserve"> Cross RAT reporting is not supported.</w:t>
      </w:r>
    </w:p>
    <w:p w14:paraId="6A3B7112" w14:textId="6B5FE680" w:rsidR="002166A0" w:rsidRDefault="00CD2222" w:rsidP="002166A0">
      <w:pPr>
        <w:pStyle w:val="B1"/>
      </w:pPr>
      <w:r>
        <w:rPr>
          <w:b/>
        </w:rPr>
        <w:t>[7] Qualcomm</w:t>
      </w:r>
      <w:r>
        <w:rPr>
          <w:b/>
        </w:rPr>
        <w:br/>
      </w:r>
      <w:r w:rsidR="002166A0" w:rsidRPr="00E866EC">
        <w:rPr>
          <w:b/>
        </w:rPr>
        <w:t>Proposal 6:</w:t>
      </w:r>
      <w:r w:rsidR="002166A0" w:rsidRPr="002166A0">
        <w:t xml:space="preserve"> Even for the UE’s not supporting separate memory for NR and LTE logged MDT, cross-RAT reporting of LTE logged MDT (reporting of EUTRA logged MDT to NR) is not supported</w:t>
      </w:r>
    </w:p>
    <w:p w14:paraId="3B2AFD4C" w14:textId="6FB52EEE" w:rsidR="002166A0" w:rsidRDefault="00CD2222" w:rsidP="002166A0">
      <w:pPr>
        <w:pStyle w:val="B1"/>
      </w:pPr>
      <w:r>
        <w:rPr>
          <w:b/>
        </w:rPr>
        <w:t>[8] Huawei</w:t>
      </w:r>
      <w:r>
        <w:rPr>
          <w:b/>
        </w:rPr>
        <w:br/>
      </w:r>
      <w:r w:rsidR="002166A0" w:rsidRPr="00E866EC">
        <w:rPr>
          <w:b/>
        </w:rPr>
        <w:t>Proposal 1:</w:t>
      </w:r>
      <w:r w:rsidR="002166A0">
        <w:t xml:space="preserve"> Do not support cross-RAT reporting for Logged MDT results.</w:t>
      </w:r>
    </w:p>
    <w:p w14:paraId="7B441A4F" w14:textId="7EE84FD8" w:rsidR="002166A0" w:rsidRDefault="00CD2222" w:rsidP="002166A0">
      <w:pPr>
        <w:pStyle w:val="B1"/>
      </w:pPr>
      <w:r>
        <w:rPr>
          <w:b/>
        </w:rPr>
        <w:t>[9] Xiaomi</w:t>
      </w:r>
      <w:r>
        <w:rPr>
          <w:b/>
        </w:rPr>
        <w:br/>
      </w:r>
      <w:r w:rsidR="002166A0" w:rsidRPr="00E866EC">
        <w:rPr>
          <w:b/>
        </w:rPr>
        <w:t>Proposal 2:</w:t>
      </w:r>
      <w:r w:rsidR="002166A0" w:rsidRPr="000807C8">
        <w:t xml:space="preserve"> No need to support the cross-RAT reporting for Logged MDT results in R18</w:t>
      </w:r>
    </w:p>
    <w:p w14:paraId="547C7CAA" w14:textId="6E1A2017" w:rsidR="002166A0" w:rsidRPr="002166A0" w:rsidRDefault="002166A0" w:rsidP="00A209D6">
      <w:pPr>
        <w:rPr>
          <w:b/>
          <w:bCs/>
        </w:rPr>
      </w:pPr>
      <w:r w:rsidRPr="002166A0">
        <w:rPr>
          <w:b/>
          <w:bCs/>
        </w:rPr>
        <w:t>Proposal 1.1: Solution 3 (</w:t>
      </w:r>
      <w:r w:rsidRPr="002166A0">
        <w:rPr>
          <w:b/>
          <w:bCs/>
          <w:lang w:val="en-US"/>
        </w:rPr>
        <w:t>Override protection by cross-RAT reporting of LTE logged MDT report</w:t>
      </w:r>
      <w:r w:rsidRPr="002166A0">
        <w:rPr>
          <w:b/>
          <w:bCs/>
        </w:rPr>
        <w:t>) is excluded from the solution options</w:t>
      </w:r>
      <w:r w:rsidR="00003CC6">
        <w:rPr>
          <w:b/>
          <w:bCs/>
        </w:rPr>
        <w:t xml:space="preserve"> for override protection</w:t>
      </w:r>
      <w:r w:rsidR="00D76E34">
        <w:rPr>
          <w:b/>
          <w:bCs/>
        </w:rPr>
        <w:t>.</w:t>
      </w:r>
    </w:p>
    <w:p w14:paraId="0C01B3AB" w14:textId="77777777" w:rsidR="00D76E34" w:rsidRDefault="00D76E34" w:rsidP="00A209D6"/>
    <w:p w14:paraId="3FAE9B5C" w14:textId="70851D7A" w:rsidR="00D76E34" w:rsidRDefault="00DB3946" w:rsidP="00A209D6">
      <w:r>
        <w:t>Based on the input papers a</w:t>
      </w:r>
      <w:r w:rsidR="00D76E34">
        <w:t>t least 2 companies clearly proposed option 1:</w:t>
      </w:r>
    </w:p>
    <w:p w14:paraId="267232DD" w14:textId="1CC075F0" w:rsidR="001B738A" w:rsidRDefault="00946540" w:rsidP="001B738A">
      <w:pPr>
        <w:pStyle w:val="B1"/>
      </w:pPr>
      <w:r w:rsidRPr="00E866EC">
        <w:rPr>
          <w:b/>
        </w:rPr>
        <w:t xml:space="preserve">[3] </w:t>
      </w:r>
      <w:r w:rsidR="00CD2222">
        <w:rPr>
          <w:b/>
        </w:rPr>
        <w:t>Nokia</w:t>
      </w:r>
      <w:r w:rsidR="00CD2222">
        <w:rPr>
          <w:b/>
        </w:rPr>
        <w:br/>
      </w:r>
      <w:r w:rsidRPr="00E866EC">
        <w:rPr>
          <w:b/>
        </w:rPr>
        <w:t>Proposal 1:</w:t>
      </w:r>
      <w:r w:rsidRPr="00946540">
        <w:t xml:space="preserve"> The UE supports two Logged MDT contexts storing: one for E-UTRA and one for NR.</w:t>
      </w:r>
      <w:r>
        <w:t xml:space="preserve"> </w:t>
      </w:r>
    </w:p>
    <w:p w14:paraId="0F9F651E" w14:textId="2C8C67E7" w:rsidR="004B2E0A" w:rsidRDefault="00CD2222" w:rsidP="001B738A">
      <w:pPr>
        <w:pStyle w:val="B1"/>
        <w:rPr>
          <w:rFonts w:cs="Arial"/>
        </w:rPr>
      </w:pPr>
      <w:r>
        <w:rPr>
          <w:b/>
        </w:rPr>
        <w:t>[6] Ericsson</w:t>
      </w:r>
      <w:r>
        <w:rPr>
          <w:b/>
        </w:rPr>
        <w:br/>
      </w:r>
      <w:r w:rsidR="002C2423" w:rsidRPr="00E866EC">
        <w:rPr>
          <w:b/>
        </w:rPr>
        <w:t>Proposal 1:</w:t>
      </w:r>
      <w:r w:rsidR="002C2423">
        <w:t xml:space="preserve"> </w:t>
      </w:r>
      <w:bookmarkStart w:id="1" w:name="_Toc127386360"/>
      <w:r w:rsidR="002C2423">
        <w:rPr>
          <w:rFonts w:cs="Arial"/>
        </w:rPr>
        <w:t>UE shall maintain separate instances of EUTRA and NR MDT configurations. Furthermore, EUTRA and NR MDT reports would also be maintained separately in the UE.</w:t>
      </w:r>
      <w:bookmarkEnd w:id="1"/>
    </w:p>
    <w:p w14:paraId="2EC39F5F" w14:textId="77E1E8C0" w:rsidR="00C93CBC" w:rsidRDefault="00DB3946" w:rsidP="00A209D6">
      <w:r>
        <w:t>Based on the input papers a</w:t>
      </w:r>
      <w:r w:rsidR="00D76E34">
        <w:t xml:space="preserve">t least 3 companies clearly prefer </w:t>
      </w:r>
      <w:r w:rsidR="00C93CBC">
        <w:t>Option 2:</w:t>
      </w:r>
    </w:p>
    <w:p w14:paraId="7B12EA46" w14:textId="5A50BC6C" w:rsidR="000807C8" w:rsidRDefault="00C93CBC" w:rsidP="00C93CBC">
      <w:pPr>
        <w:pStyle w:val="B1"/>
      </w:pPr>
      <w:r w:rsidRPr="00E866EC">
        <w:rPr>
          <w:b/>
        </w:rPr>
        <w:t>[1]</w:t>
      </w:r>
      <w:r w:rsidR="00946540" w:rsidRPr="00E866EC">
        <w:rPr>
          <w:b/>
        </w:rPr>
        <w:t xml:space="preserve"> </w:t>
      </w:r>
      <w:r w:rsidR="005469BC">
        <w:rPr>
          <w:b/>
        </w:rPr>
        <w:t>CATT</w:t>
      </w:r>
      <w:r w:rsidR="005469BC">
        <w:rPr>
          <w:b/>
        </w:rPr>
        <w:br/>
      </w:r>
      <w:r w:rsidRPr="00E866EC">
        <w:rPr>
          <w:b/>
        </w:rPr>
        <w:t>Proposal 1:</w:t>
      </w:r>
      <w:r>
        <w:t xml:space="preserve"> RAN2 to agree override protection for LTE Logged MDT by cross-RAT signaling but no cross-RAT reporting when the UE moves to NR from LTE.</w:t>
      </w:r>
    </w:p>
    <w:p w14:paraId="5D31FB64" w14:textId="7E5D8C0E" w:rsidR="00D76E34" w:rsidRDefault="00CD2222" w:rsidP="00D76E34">
      <w:pPr>
        <w:pStyle w:val="B1"/>
      </w:pPr>
      <w:r>
        <w:rPr>
          <w:b/>
        </w:rPr>
        <w:t>[5] Samsung</w:t>
      </w:r>
      <w:r>
        <w:rPr>
          <w:b/>
        </w:rPr>
        <w:br/>
      </w:r>
      <w:r w:rsidR="00D76E34" w:rsidRPr="00E866EC">
        <w:rPr>
          <w:b/>
        </w:rPr>
        <w:t>Proposal 1:</w:t>
      </w:r>
      <w:r w:rsidR="00D76E34" w:rsidRPr="004B2E0A">
        <w:t xml:space="preserve"> RAN2 doesn’t consider inter-RAT override protection by simultaneous LTE and NR configuration in the UE</w:t>
      </w:r>
    </w:p>
    <w:p w14:paraId="5F0B39BC" w14:textId="69CE018E" w:rsidR="00946540" w:rsidRDefault="00CD2222" w:rsidP="00C93CBC">
      <w:pPr>
        <w:pStyle w:val="B1"/>
      </w:pPr>
      <w:r>
        <w:rPr>
          <w:b/>
        </w:rPr>
        <w:t>[9] Xiaomi</w:t>
      </w:r>
      <w:r>
        <w:rPr>
          <w:b/>
        </w:rPr>
        <w:br/>
      </w:r>
      <w:r w:rsidR="000807C8" w:rsidRPr="00E866EC">
        <w:rPr>
          <w:b/>
        </w:rPr>
        <w:t>Proposal 3:</w:t>
      </w:r>
      <w:r w:rsidR="000807C8" w:rsidRPr="000807C8">
        <w:t xml:space="preserve"> Solution 2 is considered for the LTE signaling based logged MDT override protection</w:t>
      </w:r>
      <w:r w:rsidR="000807C8">
        <w:t xml:space="preserve"> </w:t>
      </w:r>
    </w:p>
    <w:p w14:paraId="72357345" w14:textId="30AB082F" w:rsidR="00C93CBC" w:rsidRDefault="00D76E34" w:rsidP="00C93CBC">
      <w:r>
        <w:t>On</w:t>
      </w:r>
      <w:r w:rsidR="00DB3946">
        <w:t>e</w:t>
      </w:r>
      <w:r>
        <w:t xml:space="preserve"> company proposed to specify </w:t>
      </w:r>
      <w:r w:rsidR="002166A0">
        <w:t xml:space="preserve">both </w:t>
      </w:r>
      <w:r w:rsidR="00C93CBC">
        <w:t xml:space="preserve">Option </w:t>
      </w:r>
      <w:r w:rsidR="002166A0">
        <w:t>1 and 2</w:t>
      </w:r>
      <w:r w:rsidR="00C93CBC">
        <w:t>:</w:t>
      </w:r>
    </w:p>
    <w:p w14:paraId="3F0570E1" w14:textId="73406699" w:rsidR="00C93CBC" w:rsidRDefault="00CD2222" w:rsidP="002166A0">
      <w:pPr>
        <w:pStyle w:val="B1"/>
      </w:pPr>
      <w:r>
        <w:rPr>
          <w:b/>
        </w:rPr>
        <w:t>[7] Qualcomm</w:t>
      </w:r>
      <w:r>
        <w:rPr>
          <w:b/>
        </w:rPr>
        <w:br/>
      </w:r>
      <w:r w:rsidR="002166A0" w:rsidRPr="00E866EC">
        <w:rPr>
          <w:b/>
        </w:rPr>
        <w:t>Proposal 1:</w:t>
      </w:r>
      <w:r w:rsidR="002166A0">
        <w:t xml:space="preserve"> RAN2 is requested to adopt different solution methods, when</w:t>
      </w:r>
      <w:r w:rsidR="002166A0">
        <w:br/>
        <w:t>-</w:t>
      </w:r>
      <w:r w:rsidR="002166A0">
        <w:tab/>
        <w:t xml:space="preserve">UE supports simultaneous LTE and NR configuration in the UE, and </w:t>
      </w:r>
      <w:r w:rsidR="002166A0">
        <w:br/>
        <w:t>-</w:t>
      </w:r>
      <w:r w:rsidR="002166A0">
        <w:tab/>
        <w:t>UE does not support simultaneous LTE and NR configuration in the UE.</w:t>
      </w:r>
    </w:p>
    <w:p w14:paraId="75770631" w14:textId="0046D226" w:rsidR="00C93CBC" w:rsidRDefault="00D76E34" w:rsidP="00A209D6">
      <w:r>
        <w:t>Two companies proposed further discussion</w:t>
      </w:r>
      <w:r w:rsidR="00DD314F">
        <w:t xml:space="preserve"> for selecting between option 1 and 2</w:t>
      </w:r>
      <w:r>
        <w:t>:</w:t>
      </w:r>
    </w:p>
    <w:p w14:paraId="06165FA8" w14:textId="6E83885B" w:rsidR="00D76E34" w:rsidRDefault="00CD2222" w:rsidP="00D76E34">
      <w:pPr>
        <w:pStyle w:val="B1"/>
      </w:pPr>
      <w:r>
        <w:rPr>
          <w:b/>
        </w:rPr>
        <w:t>[4] ZTE</w:t>
      </w:r>
      <w:r>
        <w:rPr>
          <w:b/>
        </w:rPr>
        <w:br/>
      </w:r>
      <w:r w:rsidR="00D76E34" w:rsidRPr="00E866EC">
        <w:rPr>
          <w:b/>
        </w:rPr>
        <w:t>Proposal 1:</w:t>
      </w:r>
      <w:r w:rsidR="00D76E34">
        <w:t xml:space="preserve"> RAN2 selects between option 1 and option 2 for handling MDT overwrite issue:</w:t>
      </w:r>
      <w:r w:rsidR="00D76E34">
        <w:br/>
        <w:t>Opt1: Simultaneous MDT configuration for NR and LTE</w:t>
      </w:r>
      <w:r w:rsidR="00D76E34">
        <w:br/>
        <w:t>Opt2: Reuse R17 mechanism (i.e., based on MDT type indication and sigLogMeasConfigAvailable indication)</w:t>
      </w:r>
    </w:p>
    <w:p w14:paraId="519D63FC" w14:textId="3BF53117" w:rsidR="00D76E34" w:rsidRDefault="00CD2222" w:rsidP="00D76E34">
      <w:pPr>
        <w:pStyle w:val="B1"/>
      </w:pPr>
      <w:r>
        <w:rPr>
          <w:b/>
        </w:rPr>
        <w:lastRenderedPageBreak/>
        <w:t>[8] Huawei</w:t>
      </w:r>
      <w:r>
        <w:rPr>
          <w:b/>
        </w:rPr>
        <w:br/>
      </w:r>
      <w:r w:rsidR="00D76E34" w:rsidRPr="00E866EC">
        <w:rPr>
          <w:b/>
        </w:rPr>
        <w:t>Proposal 2:</w:t>
      </w:r>
      <w:r w:rsidR="00D76E34">
        <w:t xml:space="preserve"> It is proposed to discuss two options as below, including how it works, pros/cons.</w:t>
      </w:r>
      <w:r w:rsidR="00D76E34">
        <w:br/>
        <w:t>-</w:t>
      </w:r>
      <w:r w:rsidR="00D76E34">
        <w:tab/>
        <w:t>Option 1: Override protection by simultaneous LTE and NR MDT configurations in a UE</w:t>
      </w:r>
      <w:r w:rsidR="00D76E34">
        <w:br/>
        <w:t>-</w:t>
      </w:r>
      <w:r w:rsidR="00D76E34">
        <w:tab/>
        <w:t>Option 2: Override protection by cross-RAT signalling but no cross-RAT reporting of LTE logged MDT report</w:t>
      </w:r>
    </w:p>
    <w:p w14:paraId="4A2C5A14" w14:textId="3017DBFC" w:rsidR="00946540" w:rsidRDefault="00D76E34" w:rsidP="00A209D6">
      <w:r>
        <w:t xml:space="preserve">Rapporteur’s understanding is that </w:t>
      </w:r>
      <w:r w:rsidR="00FB2608">
        <w:t>companies’ view very divergent and thus further discussion is needed.</w:t>
      </w:r>
    </w:p>
    <w:p w14:paraId="2D5B05D5" w14:textId="0B706A6C" w:rsidR="00D76E34" w:rsidRPr="00D76E34" w:rsidRDefault="00D76E34" w:rsidP="00A209D6">
      <w:pPr>
        <w:rPr>
          <w:b/>
          <w:bCs/>
        </w:rPr>
      </w:pPr>
      <w:r w:rsidRPr="00D76E34">
        <w:rPr>
          <w:b/>
          <w:bCs/>
        </w:rPr>
        <w:t xml:space="preserve">Proposal 1.2: Further discuss the advantages and disadvantages of solution 1 </w:t>
      </w:r>
      <w:r w:rsidR="00FB2608">
        <w:rPr>
          <w:b/>
          <w:bCs/>
        </w:rPr>
        <w:t>(</w:t>
      </w:r>
      <w:r w:rsidR="00FB2608" w:rsidRPr="00FB2608">
        <w:rPr>
          <w:b/>
          <w:bCs/>
        </w:rPr>
        <w:t xml:space="preserve">Override protection </w:t>
      </w:r>
      <w:r w:rsidR="00FB2608">
        <w:rPr>
          <w:b/>
          <w:bCs/>
        </w:rPr>
        <w:t xml:space="preserve">for logged MDT </w:t>
      </w:r>
      <w:r w:rsidR="00FB2608" w:rsidRPr="00FB2608">
        <w:rPr>
          <w:b/>
          <w:bCs/>
        </w:rPr>
        <w:t>by simultaneous LTE and NR configuration</w:t>
      </w:r>
      <w:r w:rsidR="00FB2608">
        <w:rPr>
          <w:b/>
          <w:bCs/>
        </w:rPr>
        <w:t xml:space="preserve"> </w:t>
      </w:r>
      <w:r w:rsidR="00FB2608" w:rsidRPr="00FB2608">
        <w:rPr>
          <w:b/>
          <w:bCs/>
        </w:rPr>
        <w:t>for logged MDT</w:t>
      </w:r>
      <w:r w:rsidR="00FB2608">
        <w:rPr>
          <w:b/>
          <w:bCs/>
        </w:rPr>
        <w:t>)</w:t>
      </w:r>
      <w:r w:rsidR="00FB2608" w:rsidRPr="00FB2608">
        <w:rPr>
          <w:b/>
          <w:bCs/>
        </w:rPr>
        <w:t xml:space="preserve"> </w:t>
      </w:r>
      <w:r w:rsidRPr="00D76E34">
        <w:rPr>
          <w:b/>
          <w:bCs/>
        </w:rPr>
        <w:t xml:space="preserve">and </w:t>
      </w:r>
      <w:r w:rsidR="00FB2608">
        <w:rPr>
          <w:b/>
          <w:bCs/>
        </w:rPr>
        <w:t xml:space="preserve">solution </w:t>
      </w:r>
      <w:r w:rsidRPr="00D76E34">
        <w:rPr>
          <w:b/>
          <w:bCs/>
        </w:rPr>
        <w:t xml:space="preserve">2 </w:t>
      </w:r>
      <w:r w:rsidR="00FB2608">
        <w:rPr>
          <w:b/>
          <w:bCs/>
        </w:rPr>
        <w:t>(</w:t>
      </w:r>
      <w:r w:rsidR="00FB2608" w:rsidRPr="00FB2608">
        <w:rPr>
          <w:b/>
          <w:bCs/>
        </w:rPr>
        <w:t>Override protection by cross-RAT signaling but no cross-RAT reporting of LTE logged MDT report</w:t>
      </w:r>
      <w:r w:rsidR="00FB2608">
        <w:rPr>
          <w:b/>
          <w:bCs/>
        </w:rPr>
        <w:t>)</w:t>
      </w:r>
      <w:r w:rsidR="00FB2608" w:rsidRPr="00FB2608">
        <w:rPr>
          <w:b/>
          <w:bCs/>
        </w:rPr>
        <w:t xml:space="preserve"> </w:t>
      </w:r>
      <w:r w:rsidRPr="00D76E34">
        <w:rPr>
          <w:b/>
          <w:bCs/>
        </w:rPr>
        <w:t>to select a</w:t>
      </w:r>
      <w:r w:rsidR="00FB2608">
        <w:rPr>
          <w:b/>
          <w:bCs/>
        </w:rPr>
        <w:t xml:space="preserve"> solution for Rel-18</w:t>
      </w:r>
      <w:r w:rsidRPr="00D76E34">
        <w:rPr>
          <w:b/>
          <w:bCs/>
        </w:rPr>
        <w:t>.</w:t>
      </w:r>
    </w:p>
    <w:p w14:paraId="3F827CAE" w14:textId="77777777" w:rsidR="00946540" w:rsidRDefault="00946540" w:rsidP="00A209D6"/>
    <w:p w14:paraId="7955595E" w14:textId="71F07530" w:rsidR="00C93CBC" w:rsidRPr="006E13D1" w:rsidRDefault="00C93CBC" w:rsidP="00C93CBC">
      <w:pPr>
        <w:pStyle w:val="Heading2"/>
      </w:pPr>
      <w:r>
        <w:t>2.2</w:t>
      </w:r>
      <w:r w:rsidRPr="006E13D1">
        <w:tab/>
      </w:r>
      <w:r>
        <w:t xml:space="preserve">Proposals </w:t>
      </w:r>
      <w:r w:rsidR="00D76E34">
        <w:t>on solution</w:t>
      </w:r>
      <w:r>
        <w:t xml:space="preserve"> 1</w:t>
      </w:r>
    </w:p>
    <w:p w14:paraId="2B5860CC" w14:textId="3F8CC49F" w:rsidR="00C93CBC" w:rsidRDefault="00D76E34" w:rsidP="00A209D6">
      <w:r>
        <w:t>The following proposals were made related to option 1:</w:t>
      </w:r>
    </w:p>
    <w:p w14:paraId="08446F7B" w14:textId="04AA9BFE" w:rsidR="001B738A" w:rsidRDefault="005469BC" w:rsidP="00F50CB8">
      <w:pPr>
        <w:pStyle w:val="B1"/>
      </w:pPr>
      <w:r>
        <w:rPr>
          <w:b/>
        </w:rPr>
        <w:t>[2] Apple</w:t>
      </w:r>
      <w:r>
        <w:rPr>
          <w:b/>
        </w:rPr>
        <w:br/>
      </w:r>
      <w:r w:rsidR="00946540" w:rsidRPr="00E866EC">
        <w:rPr>
          <w:b/>
        </w:rPr>
        <w:t>Proposal 2:</w:t>
      </w:r>
      <w:r w:rsidR="00946540" w:rsidRPr="00946540">
        <w:t xml:space="preserve"> to agree that solution 1 should not impose additional memory requirements on a UE</w:t>
      </w:r>
      <w:r w:rsidR="00F50CB8">
        <w:rPr>
          <w:b/>
        </w:rPr>
        <w:t xml:space="preserve"> </w:t>
      </w:r>
      <w:r>
        <w:rPr>
          <w:b/>
        </w:rPr>
        <w:br/>
      </w:r>
      <w:r w:rsidR="00946540" w:rsidRPr="00E866EC">
        <w:rPr>
          <w:b/>
        </w:rPr>
        <w:t>Proposal 3:</w:t>
      </w:r>
      <w:r w:rsidR="00946540" w:rsidRPr="00946540">
        <w:t xml:space="preserve"> if proposal 2 is not agreeable, additional UE memory increase (above 64kB for both LTE and NR MDT simultaneously) should be optional.</w:t>
      </w:r>
    </w:p>
    <w:p w14:paraId="7C5DA4E0" w14:textId="46B8DAE6" w:rsidR="001B738A" w:rsidRDefault="00D76E34" w:rsidP="00F50CB8">
      <w:pPr>
        <w:pStyle w:val="B1"/>
      </w:pPr>
      <w:r w:rsidRPr="00E866EC">
        <w:rPr>
          <w:b/>
        </w:rPr>
        <w:t xml:space="preserve">[3] </w:t>
      </w:r>
      <w:r w:rsidR="005469BC">
        <w:rPr>
          <w:b/>
        </w:rPr>
        <w:t>Nokia</w:t>
      </w:r>
      <w:r w:rsidR="005469BC">
        <w:rPr>
          <w:b/>
        </w:rPr>
        <w:br/>
      </w:r>
      <w:r w:rsidRPr="00E866EC">
        <w:rPr>
          <w:b/>
        </w:rPr>
        <w:t>Proposal 2:</w:t>
      </w:r>
      <w:r w:rsidRPr="001B738A">
        <w:t xml:space="preserve"> The UE does not release Logged Measurement configuration received in E-UTRAN upon reselecting to NR cell.</w:t>
      </w:r>
      <w:r w:rsidR="00F50CB8">
        <w:rPr>
          <w:b/>
        </w:rPr>
        <w:t xml:space="preserve"> </w:t>
      </w:r>
      <w:r w:rsidR="005469BC">
        <w:rPr>
          <w:b/>
        </w:rPr>
        <w:br/>
      </w:r>
      <w:r w:rsidR="001B738A" w:rsidRPr="00E866EC">
        <w:rPr>
          <w:b/>
        </w:rPr>
        <w:t>Proposal 3:</w:t>
      </w:r>
      <w:r w:rsidR="001B738A">
        <w:t xml:space="preserve"> LTE LoggedMeasurementsConfiguration is not extended with “Logged MDT type” IE.</w:t>
      </w:r>
    </w:p>
    <w:p w14:paraId="1A6F1B6A" w14:textId="758821C1" w:rsidR="002C2423" w:rsidRDefault="00CD2222" w:rsidP="00F50CB8">
      <w:pPr>
        <w:pStyle w:val="B1"/>
        <w:rPr>
          <w:rFonts w:cs="Arial"/>
        </w:rPr>
      </w:pPr>
      <w:r>
        <w:rPr>
          <w:b/>
        </w:rPr>
        <w:t>[6] Ericsson</w:t>
      </w:r>
      <w:r>
        <w:rPr>
          <w:b/>
        </w:rPr>
        <w:br/>
      </w:r>
      <w:r w:rsidR="002C2423" w:rsidRPr="00E866EC">
        <w:rPr>
          <w:b/>
        </w:rPr>
        <w:t>Proposal 2:</w:t>
      </w:r>
      <w:r w:rsidR="002C2423">
        <w:t xml:space="preserve"> </w:t>
      </w:r>
      <w:bookmarkStart w:id="2" w:name="_Toc127386361"/>
      <w:r w:rsidR="002C2423">
        <w:rPr>
          <w:rFonts w:cs="Arial"/>
        </w:rPr>
        <w:t>Cross RAT reporting of MDT results is not required if UE maintains separate instances of MDT results.</w:t>
      </w:r>
      <w:bookmarkEnd w:id="2"/>
      <w:r>
        <w:rPr>
          <w:rFonts w:cs="Arial"/>
          <w:b/>
        </w:rPr>
        <w:br/>
      </w:r>
      <w:r w:rsidR="002C2423" w:rsidRPr="00E866EC">
        <w:rPr>
          <w:rFonts w:cs="Arial"/>
          <w:b/>
        </w:rPr>
        <w:t>Proposal 3:</w:t>
      </w:r>
      <w:r w:rsidR="002C2423">
        <w:rPr>
          <w:rFonts w:cs="Arial"/>
        </w:rPr>
        <w:t xml:space="preserve"> A Rel-18 UE supports simultaneous storage of EUTRA, and NR logged MDT configuration and report if it supports Rel-18 logged measurements in RRC_IDLE and RRC_INACTIVE. Thus, the feature is conditional mandatory for UE if it supports Rel-18 logged MDT.</w:t>
      </w:r>
    </w:p>
    <w:p w14:paraId="08DA6246" w14:textId="166FFEA5" w:rsidR="002C2423" w:rsidRDefault="00CD2222" w:rsidP="00F50CB8">
      <w:pPr>
        <w:pStyle w:val="B1"/>
      </w:pPr>
      <w:r>
        <w:rPr>
          <w:b/>
        </w:rPr>
        <w:t>[7] Qualcomm</w:t>
      </w:r>
      <w:r>
        <w:rPr>
          <w:b/>
        </w:rPr>
        <w:br/>
      </w:r>
      <w:r w:rsidR="002166A0" w:rsidRPr="00E866EC">
        <w:rPr>
          <w:b/>
        </w:rPr>
        <w:t>Proposal 2:</w:t>
      </w:r>
      <w:r w:rsidR="002166A0" w:rsidRPr="002166A0">
        <w:t xml:space="preserve"> For UEs supporting simultaneous LTE and NR configuration, the extension of the LTE LoggedMeasurementConfiguration (with Logged MDT type indication) is not required for LTE logged MDT override protection, as intra-EUTRA and NR logged MDT override protection during mobility from NR to LTE are not supported</w:t>
      </w:r>
      <w:r w:rsidR="00F50CB8">
        <w:rPr>
          <w:b/>
        </w:rPr>
        <w:t xml:space="preserve"> </w:t>
      </w:r>
      <w:r>
        <w:rPr>
          <w:b/>
        </w:rPr>
        <w:br/>
      </w:r>
      <w:r w:rsidR="002166A0" w:rsidRPr="00E866EC">
        <w:rPr>
          <w:b/>
        </w:rPr>
        <w:t>Proposal 3:</w:t>
      </w:r>
      <w:r w:rsidR="002166A0" w:rsidRPr="002166A0">
        <w:t xml:space="preserve"> Handling of UE capability signaling at the network is not a specific requirement for supporting override protection in the inter-RAT scenario realized by simultaneous LTE and NR configuration in the UE. No additional UE and network impact.</w:t>
      </w:r>
      <w:r w:rsidR="002166A0">
        <w:t xml:space="preserve"> </w:t>
      </w:r>
    </w:p>
    <w:p w14:paraId="24A7D1A4" w14:textId="0A212CC6" w:rsidR="003B0279" w:rsidRDefault="00FB2608" w:rsidP="003B0279">
      <w:r>
        <w:t xml:space="preserve">Rapporteur’s understanding is that these proposals are relevant if solution 1 is selected. As there are some </w:t>
      </w:r>
      <w:r w:rsidR="005E60E7">
        <w:t xml:space="preserve">points that are </w:t>
      </w:r>
      <w:r w:rsidR="007D0B05">
        <w:t xml:space="preserve">proposed by multiple companies, some </w:t>
      </w:r>
      <w:r>
        <w:t>proposals may be easily agreed if solution 1 is selected:</w:t>
      </w:r>
    </w:p>
    <w:p w14:paraId="003EB249" w14:textId="52011E09" w:rsidR="00FB2608" w:rsidRPr="00FB2608" w:rsidRDefault="00FB2608" w:rsidP="003B0279">
      <w:pPr>
        <w:rPr>
          <w:b/>
          <w:bCs/>
        </w:rPr>
      </w:pPr>
      <w:r w:rsidRPr="00FB2608">
        <w:rPr>
          <w:b/>
          <w:bCs/>
        </w:rPr>
        <w:t xml:space="preserve">Proposal 2: If solution 1 </w:t>
      </w:r>
      <w:r>
        <w:rPr>
          <w:b/>
          <w:bCs/>
        </w:rPr>
        <w:t>(</w:t>
      </w:r>
      <w:r w:rsidRPr="00FB2608">
        <w:rPr>
          <w:b/>
          <w:bCs/>
        </w:rPr>
        <w:t>Override protection by simultaneous LTE and NR configuration</w:t>
      </w:r>
      <w:r w:rsidRPr="00FB2608">
        <w:t xml:space="preserve"> </w:t>
      </w:r>
      <w:r w:rsidRPr="00FB2608">
        <w:rPr>
          <w:b/>
          <w:bCs/>
        </w:rPr>
        <w:t>for logged MDT</w:t>
      </w:r>
      <w:r>
        <w:rPr>
          <w:b/>
          <w:bCs/>
        </w:rPr>
        <w:t xml:space="preserve">) </w:t>
      </w:r>
      <w:r w:rsidRPr="00FB2608">
        <w:rPr>
          <w:b/>
          <w:bCs/>
        </w:rPr>
        <w:t xml:space="preserve">is selected then </w:t>
      </w:r>
    </w:p>
    <w:p w14:paraId="77656681" w14:textId="25223E34" w:rsidR="00FB2608" w:rsidRPr="00FB2608" w:rsidRDefault="00FB2608" w:rsidP="00FB2608">
      <w:pPr>
        <w:pStyle w:val="ListParagraph"/>
        <w:numPr>
          <w:ilvl w:val="0"/>
          <w:numId w:val="9"/>
        </w:numPr>
        <w:rPr>
          <w:b/>
          <w:bCs/>
        </w:rPr>
      </w:pPr>
      <w:r w:rsidRPr="00FB2608">
        <w:rPr>
          <w:b/>
          <w:bCs/>
        </w:rPr>
        <w:t>No EUTRA signalling change is needed</w:t>
      </w:r>
      <w:r>
        <w:rPr>
          <w:b/>
          <w:bCs/>
        </w:rPr>
        <w:t>.</w:t>
      </w:r>
    </w:p>
    <w:p w14:paraId="7FECCAAF" w14:textId="63B8ACEE" w:rsidR="00FB2608" w:rsidRPr="00FB2608" w:rsidRDefault="00FB2608" w:rsidP="00FB2608">
      <w:pPr>
        <w:pStyle w:val="ListParagraph"/>
        <w:numPr>
          <w:ilvl w:val="0"/>
          <w:numId w:val="9"/>
        </w:numPr>
        <w:rPr>
          <w:b/>
          <w:bCs/>
        </w:rPr>
      </w:pPr>
      <w:r>
        <w:rPr>
          <w:b/>
          <w:bCs/>
        </w:rPr>
        <w:t xml:space="preserve">The need and optionality of </w:t>
      </w:r>
      <w:r w:rsidRPr="00FB2608">
        <w:rPr>
          <w:b/>
          <w:bCs/>
        </w:rPr>
        <w:t>UE capabili</w:t>
      </w:r>
      <w:r>
        <w:rPr>
          <w:b/>
          <w:bCs/>
        </w:rPr>
        <w:t>ti</w:t>
      </w:r>
      <w:r w:rsidRPr="00FB2608">
        <w:rPr>
          <w:b/>
          <w:bCs/>
        </w:rPr>
        <w:t xml:space="preserve">es </w:t>
      </w:r>
      <w:r>
        <w:rPr>
          <w:b/>
          <w:bCs/>
        </w:rPr>
        <w:t xml:space="preserve">for storing simultaneous logged MDT reports </w:t>
      </w:r>
      <w:r w:rsidRPr="00FB2608">
        <w:rPr>
          <w:b/>
          <w:bCs/>
        </w:rPr>
        <w:t>require further discussion.</w:t>
      </w:r>
    </w:p>
    <w:p w14:paraId="718FE5AB" w14:textId="030ED658" w:rsidR="00C93CBC" w:rsidRPr="006E13D1" w:rsidRDefault="00C93CBC" w:rsidP="00C93CBC">
      <w:pPr>
        <w:pStyle w:val="Heading2"/>
      </w:pPr>
      <w:r>
        <w:t>2.</w:t>
      </w:r>
      <w:r w:rsidR="004C3832">
        <w:t>3</w:t>
      </w:r>
      <w:r w:rsidRPr="006E13D1">
        <w:tab/>
      </w:r>
      <w:r>
        <w:t xml:space="preserve">Proposals </w:t>
      </w:r>
      <w:r w:rsidR="00D76E34">
        <w:t>on solution</w:t>
      </w:r>
      <w:r>
        <w:t xml:space="preserve"> 2</w:t>
      </w:r>
    </w:p>
    <w:p w14:paraId="75144876" w14:textId="1F8053AB" w:rsidR="00D76E34" w:rsidRDefault="00D76E34" w:rsidP="00D76E34">
      <w:r>
        <w:t>The following proposals were made related to option 2:</w:t>
      </w:r>
    </w:p>
    <w:p w14:paraId="2925665A" w14:textId="42DCDA5F" w:rsidR="00757A1C" w:rsidRDefault="00757A1C" w:rsidP="008F1C2D">
      <w:pPr>
        <w:pStyle w:val="B1"/>
      </w:pPr>
      <w:r w:rsidRPr="00E866EC">
        <w:rPr>
          <w:b/>
        </w:rPr>
        <w:t xml:space="preserve">[1] </w:t>
      </w:r>
      <w:r w:rsidR="005469BC">
        <w:rPr>
          <w:b/>
        </w:rPr>
        <w:t>CATT</w:t>
      </w:r>
      <w:r w:rsidR="005469BC">
        <w:rPr>
          <w:b/>
        </w:rPr>
        <w:br/>
      </w:r>
      <w:r w:rsidRPr="00E866EC">
        <w:rPr>
          <w:b/>
        </w:rPr>
        <w:t>Proposal 2:</w:t>
      </w:r>
      <w:r w:rsidRPr="00C93CBC">
        <w:t xml:space="preserve"> Extend the LTE LoggedMeasurementConfiguration to include Logged MDT type indication information.</w:t>
      </w:r>
      <w:r w:rsidR="008F1C2D">
        <w:rPr>
          <w:b/>
        </w:rPr>
        <w:t xml:space="preserve"> </w:t>
      </w:r>
      <w:r w:rsidR="005469BC">
        <w:rPr>
          <w:b/>
        </w:rPr>
        <w:br/>
      </w:r>
      <w:r w:rsidRPr="00E866EC">
        <w:rPr>
          <w:b/>
        </w:rPr>
        <w:t>Proposal 3:</w:t>
      </w:r>
      <w:r w:rsidRPr="00C93CBC">
        <w:t xml:space="preserve"> Re-use the existing sigLogMeasConfigAvailable-r17 field to achieve assistance information reporting for inter-RAT signaling based logged MDT override protection.</w:t>
      </w:r>
    </w:p>
    <w:p w14:paraId="2612FC53" w14:textId="0CC792A8" w:rsidR="00FF6F7D" w:rsidRDefault="00CD2222" w:rsidP="008F1C2D">
      <w:pPr>
        <w:pStyle w:val="B1"/>
      </w:pPr>
      <w:r>
        <w:rPr>
          <w:b/>
        </w:rPr>
        <w:lastRenderedPageBreak/>
        <w:t>[4] ZTE</w:t>
      </w:r>
      <w:r>
        <w:rPr>
          <w:b/>
        </w:rPr>
        <w:br/>
      </w:r>
      <w:r w:rsidR="00FF6F7D" w:rsidRPr="00E866EC">
        <w:rPr>
          <w:b/>
        </w:rPr>
        <w:t>Proposal 2:</w:t>
      </w:r>
      <w:r w:rsidR="00FF6F7D" w:rsidRPr="00FF6F7D">
        <w:t xml:space="preserve"> If Option 2 of proposal 1 is selected (i.e., R17 mechanism is used), signalling based logged MDT type indication is included in EUTRA logged MDT configuration.</w:t>
      </w:r>
      <w:r w:rsidR="008F1C2D">
        <w:rPr>
          <w:b/>
        </w:rPr>
        <w:t xml:space="preserve"> </w:t>
      </w:r>
      <w:r>
        <w:rPr>
          <w:b/>
        </w:rPr>
        <w:br/>
      </w:r>
      <w:r w:rsidR="00FF6F7D" w:rsidRPr="00E866EC">
        <w:rPr>
          <w:b/>
        </w:rPr>
        <w:t>Proposal 3:</w:t>
      </w:r>
      <w:r w:rsidR="00FF6F7D">
        <w:t xml:space="preserve"> </w:t>
      </w:r>
      <w:r w:rsidR="00FF6F7D" w:rsidRPr="00FF6F7D">
        <w:t>RAN2 further discuss whether priority handling for signalling logged MDT configuration between different RAT types is needed or not in case option 2 of proposal 1 is selected</w:t>
      </w:r>
      <w:r w:rsidR="008F1C2D">
        <w:rPr>
          <w:b/>
        </w:rPr>
        <w:t xml:space="preserve"> </w:t>
      </w:r>
      <w:r>
        <w:rPr>
          <w:b/>
        </w:rPr>
        <w:br/>
      </w:r>
      <w:r w:rsidR="00FF6F7D" w:rsidRPr="00E866EC">
        <w:rPr>
          <w:b/>
        </w:rPr>
        <w:t>Proposal 4:</w:t>
      </w:r>
      <w:r w:rsidR="00FF6F7D" w:rsidRPr="00FF6F7D">
        <w:t xml:space="preserve"> If option 2 of proposal 1 is selected, UE indicates in RRCSetupComplete message there is a available EUTRA signalling based MDT configuration or EUTRA signalling based MDT results unfetched to NW when reselect from EUTRA to NR. ffs reusing existing bit (sigLogMeasConfigAvailable) or introducing new bit.</w:t>
      </w:r>
    </w:p>
    <w:p w14:paraId="6E01C0F8" w14:textId="0E4BB35C" w:rsidR="00473BB4" w:rsidRDefault="00CD2222" w:rsidP="008F1C2D">
      <w:pPr>
        <w:pStyle w:val="B1"/>
      </w:pPr>
      <w:r>
        <w:rPr>
          <w:b/>
        </w:rPr>
        <w:t>[5] Samsung</w:t>
      </w:r>
      <w:r>
        <w:rPr>
          <w:b/>
        </w:rPr>
        <w:br/>
      </w:r>
      <w:r w:rsidR="00473BB4" w:rsidRPr="00E866EC">
        <w:rPr>
          <w:b/>
        </w:rPr>
        <w:t>Proposal 2:</w:t>
      </w:r>
      <w:r w:rsidR="00473BB4" w:rsidRPr="00473BB4">
        <w:t xml:space="preserve"> Extend LTE LoggedMeasurementConfiguration with Logged MDT type indication</w:t>
      </w:r>
      <w:r w:rsidR="008F1C2D">
        <w:rPr>
          <w:b/>
        </w:rPr>
        <w:t xml:space="preserve"> </w:t>
      </w:r>
      <w:r>
        <w:rPr>
          <w:b/>
        </w:rPr>
        <w:br/>
      </w:r>
      <w:r w:rsidR="00473BB4" w:rsidRPr="00E866EC">
        <w:rPr>
          <w:b/>
        </w:rPr>
        <w:t>Proposal 3:</w:t>
      </w:r>
      <w:r w:rsidR="00473BB4" w:rsidRPr="00473BB4">
        <w:t xml:space="preserve"> UE informs gNB whether signaling based MDT is configured when it is configured by E-UTRA.</w:t>
      </w:r>
      <w:r>
        <w:rPr>
          <w:b/>
        </w:rPr>
        <w:br/>
      </w:r>
      <w:r w:rsidR="00473BB4" w:rsidRPr="00E866EC">
        <w:rPr>
          <w:b/>
        </w:rPr>
        <w:t>Proposal 4:</w:t>
      </w:r>
      <w:r w:rsidR="00473BB4" w:rsidRPr="00473BB4">
        <w:t xml:space="preserve"> R17 NR signaling can be reused by the UE to inform gNB whether signaling based MDT is configured even when it is configured by E-UTRA.</w:t>
      </w:r>
    </w:p>
    <w:p w14:paraId="201124A9" w14:textId="570139E5" w:rsidR="006564AB" w:rsidRDefault="00CD2222" w:rsidP="00F50CB8">
      <w:pPr>
        <w:pStyle w:val="B1"/>
        <w:rPr>
          <w:rFonts w:cs="Arial"/>
        </w:rPr>
      </w:pPr>
      <w:r>
        <w:rPr>
          <w:rFonts w:cs="Arial"/>
          <w:b/>
        </w:rPr>
        <w:t>[6] Ericsson</w:t>
      </w:r>
      <w:r>
        <w:rPr>
          <w:rFonts w:cs="Arial"/>
          <w:b/>
        </w:rPr>
        <w:br/>
      </w:r>
      <w:r w:rsidR="006564AB" w:rsidRPr="00E866EC">
        <w:rPr>
          <w:rFonts w:cs="Arial"/>
          <w:b/>
        </w:rPr>
        <w:t>Proposal 4:</w:t>
      </w:r>
      <w:r w:rsidR="006564AB">
        <w:rPr>
          <w:rFonts w:cs="Arial"/>
        </w:rPr>
        <w:t xml:space="preserve"> If UEs don’t support separate RAT specific instances of MDT reports, signalling based MDT configuration flag is provided to LTE UEs as part of LTE logged MDT configuration</w:t>
      </w:r>
      <w:r>
        <w:rPr>
          <w:rFonts w:cs="Arial"/>
          <w:b/>
        </w:rPr>
        <w:br/>
      </w:r>
      <w:r w:rsidR="006564AB" w:rsidRPr="00E866EC">
        <w:rPr>
          <w:b/>
        </w:rPr>
        <w:t>Proposal 5:</w:t>
      </w:r>
      <w:r w:rsidR="006564AB">
        <w:t xml:space="preserve"> If UEs don’t support separate RAT specific instances of MDT reports; In NR, UE reports availability of signalling based logged MDT configuration without checking the RAT information.</w:t>
      </w:r>
      <w:r w:rsidR="00F50CB8">
        <w:rPr>
          <w:b/>
        </w:rPr>
        <w:t xml:space="preserve"> </w:t>
      </w:r>
      <w:r>
        <w:rPr>
          <w:b/>
        </w:rPr>
        <w:br/>
      </w:r>
      <w:r w:rsidR="006564AB" w:rsidRPr="00E866EC">
        <w:rPr>
          <w:b/>
        </w:rPr>
        <w:t>Proposal 6:</w:t>
      </w:r>
      <w:r w:rsidR="006564AB">
        <w:t xml:space="preserve"> If UEs don’t support separate RAT specific instances of MDT reports; the indication in NR to report availability of signalling based logged MDT can be re-used for LTE.</w:t>
      </w:r>
      <w:r w:rsidR="008F1C2D">
        <w:rPr>
          <w:b/>
        </w:rPr>
        <w:t xml:space="preserve"> </w:t>
      </w:r>
      <w:r>
        <w:rPr>
          <w:b/>
        </w:rPr>
        <w:br/>
      </w:r>
      <w:r w:rsidR="006564AB" w:rsidRPr="00E866EC">
        <w:rPr>
          <w:b/>
        </w:rPr>
        <w:t>Proposal 7:</w:t>
      </w:r>
      <w:r w:rsidR="006564AB">
        <w:t xml:space="preserve"> </w:t>
      </w:r>
      <w:r w:rsidR="006564AB">
        <w:rPr>
          <w:rFonts w:cs="Arial"/>
        </w:rPr>
        <w:t>If UEs don’t support separate RAT specific instances of MDT reports and if the UE in NR network has LTE signalling based logged MDT report and T330 timer has expired, NR nodes can fetch the LTE logged MDT report</w:t>
      </w:r>
    </w:p>
    <w:p w14:paraId="1F1ADC26" w14:textId="36BF250D" w:rsidR="002166A0" w:rsidRDefault="00CD2222" w:rsidP="008F1C2D">
      <w:pPr>
        <w:pStyle w:val="B1"/>
      </w:pPr>
      <w:r>
        <w:rPr>
          <w:rFonts w:cs="Arial"/>
          <w:b/>
        </w:rPr>
        <w:t>[7] Qualcomm</w:t>
      </w:r>
      <w:r>
        <w:rPr>
          <w:rFonts w:cs="Arial"/>
          <w:b/>
        </w:rPr>
        <w:br/>
      </w:r>
      <w:r w:rsidR="002166A0" w:rsidRPr="00E866EC">
        <w:rPr>
          <w:rFonts w:cs="Arial"/>
          <w:b/>
        </w:rPr>
        <w:t>Proposal 4:</w:t>
      </w:r>
      <w:r w:rsidR="002166A0" w:rsidRPr="002166A0">
        <w:rPr>
          <w:rFonts w:cs="Arial"/>
        </w:rPr>
        <w:t xml:space="preserve"> For UEs that do not support separate memory for NR and LTE logged MDT, the extension of the LTE LoggedMeasurementConfiguration (with Logged MDT type indication) is needed.</w:t>
      </w:r>
      <w:r w:rsidR="008F1C2D">
        <w:rPr>
          <w:rFonts w:cs="Arial"/>
          <w:b/>
        </w:rPr>
        <w:t xml:space="preserve"> </w:t>
      </w:r>
      <w:r>
        <w:rPr>
          <w:rFonts w:cs="Arial"/>
          <w:b/>
        </w:rPr>
        <w:br/>
      </w:r>
      <w:r w:rsidR="002166A0" w:rsidRPr="00E866EC">
        <w:rPr>
          <w:rFonts w:cs="Arial"/>
          <w:b/>
        </w:rPr>
        <w:t>Proposal 5:</w:t>
      </w:r>
      <w:r w:rsidR="002166A0" w:rsidRPr="002166A0">
        <w:rPr>
          <w:rFonts w:cs="Arial"/>
        </w:rPr>
        <w:t xml:space="preserve"> UEs that do not support separate memory for NR and LTE-logged MDT and when it is configured with LTE signaling-based logged MDT need to send an indication in NR RRC Complete messages.</w:t>
      </w:r>
    </w:p>
    <w:p w14:paraId="471FA0AF" w14:textId="4F7F6719" w:rsidR="002166A0" w:rsidRDefault="00CD2222" w:rsidP="006564AB">
      <w:pPr>
        <w:pStyle w:val="B1"/>
      </w:pPr>
      <w:r>
        <w:rPr>
          <w:b/>
        </w:rPr>
        <w:t>[9] Xiaomi</w:t>
      </w:r>
      <w:r>
        <w:rPr>
          <w:b/>
        </w:rPr>
        <w:br/>
      </w:r>
      <w:r w:rsidR="000807C8" w:rsidRPr="00E866EC">
        <w:rPr>
          <w:b/>
        </w:rPr>
        <w:t>Proposal 1:</w:t>
      </w:r>
      <w:r w:rsidR="000807C8" w:rsidRPr="000807C8">
        <w:t xml:space="preserve"> Extend LTE LoggedMeasurementConfiguration with logged MDT type indication</w:t>
      </w:r>
    </w:p>
    <w:p w14:paraId="39C8DDBE" w14:textId="07B44845" w:rsidR="00BB7144" w:rsidRDefault="00BB7144" w:rsidP="00BB7144">
      <w:r>
        <w:t>Rapporteur’s understanding is that these proposals are relevant if solution 2 is selected. As there are some points that are proposed by multiple companies, some proposals may be easily agreed if solution 2 is selected:</w:t>
      </w:r>
    </w:p>
    <w:p w14:paraId="62409223" w14:textId="278389C3" w:rsidR="00FB2608" w:rsidRPr="00FB2608" w:rsidRDefault="00FB2608" w:rsidP="00FB2608">
      <w:pPr>
        <w:rPr>
          <w:b/>
          <w:bCs/>
        </w:rPr>
      </w:pPr>
      <w:r w:rsidRPr="00FB2608">
        <w:rPr>
          <w:b/>
          <w:bCs/>
        </w:rPr>
        <w:t xml:space="preserve">Proposal </w:t>
      </w:r>
      <w:r w:rsidR="004E42AC">
        <w:rPr>
          <w:b/>
          <w:bCs/>
        </w:rPr>
        <w:t>3</w:t>
      </w:r>
      <w:r w:rsidRPr="00FB2608">
        <w:rPr>
          <w:b/>
          <w:bCs/>
        </w:rPr>
        <w:t xml:space="preserve">: If solution </w:t>
      </w:r>
      <w:r w:rsidR="004E42AC">
        <w:rPr>
          <w:b/>
          <w:bCs/>
        </w:rPr>
        <w:t>2</w:t>
      </w:r>
      <w:r w:rsidRPr="00FB2608">
        <w:rPr>
          <w:b/>
          <w:bCs/>
        </w:rPr>
        <w:t xml:space="preserve"> </w:t>
      </w:r>
      <w:r>
        <w:rPr>
          <w:b/>
          <w:bCs/>
        </w:rPr>
        <w:t>(</w:t>
      </w:r>
      <w:r w:rsidR="004E42AC" w:rsidRPr="004E42AC">
        <w:rPr>
          <w:b/>
          <w:bCs/>
        </w:rPr>
        <w:t>Override protection by cross-RAT signaling but no cross-RAT reporting of LTE logged MDT report</w:t>
      </w:r>
      <w:r>
        <w:rPr>
          <w:b/>
          <w:bCs/>
        </w:rPr>
        <w:t xml:space="preserve">) </w:t>
      </w:r>
      <w:r w:rsidRPr="00FB2608">
        <w:rPr>
          <w:b/>
          <w:bCs/>
        </w:rPr>
        <w:t xml:space="preserve">is selected then </w:t>
      </w:r>
    </w:p>
    <w:p w14:paraId="623327A6" w14:textId="3FEE308A" w:rsidR="00FB2608" w:rsidRPr="00FB2608" w:rsidRDefault="004E42AC" w:rsidP="00FB2608">
      <w:pPr>
        <w:pStyle w:val="ListParagraph"/>
        <w:numPr>
          <w:ilvl w:val="0"/>
          <w:numId w:val="10"/>
        </w:numPr>
        <w:rPr>
          <w:b/>
          <w:bCs/>
        </w:rPr>
      </w:pPr>
      <w:r w:rsidRPr="004E42AC">
        <w:rPr>
          <w:b/>
          <w:bCs/>
        </w:rPr>
        <w:t>Extend the LTE LoggedMeasurementConfiguration to include Logged MDT type indication information</w:t>
      </w:r>
    </w:p>
    <w:p w14:paraId="7AE55D47" w14:textId="1F097978" w:rsidR="0043377E" w:rsidRDefault="0043377E" w:rsidP="0043377E">
      <w:pPr>
        <w:pStyle w:val="ListParagraph"/>
        <w:numPr>
          <w:ilvl w:val="0"/>
          <w:numId w:val="10"/>
        </w:numPr>
        <w:rPr>
          <w:b/>
          <w:bCs/>
        </w:rPr>
      </w:pPr>
      <w:r w:rsidRPr="004E42AC">
        <w:rPr>
          <w:b/>
          <w:bCs/>
        </w:rPr>
        <w:t xml:space="preserve">NR signaling </w:t>
      </w:r>
      <w:r>
        <w:rPr>
          <w:b/>
          <w:bCs/>
        </w:rPr>
        <w:t>is need</w:t>
      </w:r>
      <w:r w:rsidR="00C0499E">
        <w:rPr>
          <w:b/>
          <w:bCs/>
        </w:rPr>
        <w:t>ed</w:t>
      </w:r>
      <w:r>
        <w:rPr>
          <w:b/>
          <w:bCs/>
        </w:rPr>
        <w:t xml:space="preserve"> to </w:t>
      </w:r>
      <w:r w:rsidR="00E41023">
        <w:rPr>
          <w:b/>
          <w:bCs/>
        </w:rPr>
        <w:t xml:space="preserve">inform the gNB </w:t>
      </w:r>
      <w:r w:rsidR="00EB5F11">
        <w:rPr>
          <w:b/>
          <w:bCs/>
        </w:rPr>
        <w:t xml:space="preserve">that </w:t>
      </w:r>
      <w:r w:rsidR="00E41023" w:rsidRPr="004E42AC">
        <w:rPr>
          <w:b/>
          <w:bCs/>
        </w:rPr>
        <w:t>signaling based MDT is configured</w:t>
      </w:r>
      <w:r w:rsidR="00E41023">
        <w:rPr>
          <w:b/>
          <w:bCs/>
        </w:rPr>
        <w:t xml:space="preserve"> </w:t>
      </w:r>
      <w:r w:rsidR="00143E6C">
        <w:rPr>
          <w:b/>
          <w:bCs/>
        </w:rPr>
        <w:t>by E-UTRA</w:t>
      </w:r>
    </w:p>
    <w:p w14:paraId="773E6213" w14:textId="77777777" w:rsidR="004E42AC" w:rsidRDefault="004E42AC" w:rsidP="00FB2608">
      <w:pPr>
        <w:pStyle w:val="ListParagraph"/>
        <w:numPr>
          <w:ilvl w:val="0"/>
          <w:numId w:val="10"/>
        </w:numPr>
        <w:rPr>
          <w:b/>
          <w:bCs/>
        </w:rPr>
      </w:pPr>
      <w:r w:rsidRPr="004E42AC">
        <w:rPr>
          <w:b/>
          <w:bCs/>
        </w:rPr>
        <w:t>R17 NR signaling can be reused by the UE to inform gNB whether signaling based MDT is configured even when it is configured by E-UTRA</w:t>
      </w:r>
    </w:p>
    <w:p w14:paraId="0E57386E" w14:textId="5385E2CE" w:rsidR="003701D1" w:rsidRDefault="00C4654C" w:rsidP="00FB2608">
      <w:pPr>
        <w:pStyle w:val="ListParagraph"/>
        <w:numPr>
          <w:ilvl w:val="0"/>
          <w:numId w:val="10"/>
        </w:numPr>
        <w:rPr>
          <w:b/>
          <w:bCs/>
        </w:rPr>
      </w:pPr>
      <w:r>
        <w:rPr>
          <w:b/>
          <w:bCs/>
        </w:rPr>
        <w:t xml:space="preserve">Further discuss </w:t>
      </w:r>
      <w:r w:rsidR="007F2244">
        <w:rPr>
          <w:b/>
          <w:bCs/>
        </w:rPr>
        <w:t xml:space="preserve">whether </w:t>
      </w:r>
      <w:r w:rsidR="00A67C00" w:rsidRPr="00A67C00">
        <w:rPr>
          <w:b/>
          <w:bCs/>
        </w:rPr>
        <w:t>priority handling for signalling logged MDT configuration between different RAT types is needed or no</w:t>
      </w:r>
      <w:r w:rsidR="00A67C00">
        <w:rPr>
          <w:b/>
          <w:bCs/>
        </w:rPr>
        <w:t>t</w:t>
      </w:r>
    </w:p>
    <w:p w14:paraId="200DFBA4" w14:textId="3BCBCC8D" w:rsidR="002C2423" w:rsidRPr="006E13D1" w:rsidRDefault="002C2423" w:rsidP="002C2423">
      <w:pPr>
        <w:pStyle w:val="Heading2"/>
      </w:pPr>
      <w:r>
        <w:t>2.</w:t>
      </w:r>
      <w:r w:rsidR="003B0279">
        <w:t>4</w:t>
      </w:r>
      <w:r w:rsidRPr="006E13D1">
        <w:tab/>
      </w:r>
      <w:r>
        <w:t>Other proposals</w:t>
      </w:r>
    </w:p>
    <w:p w14:paraId="1B3F2366" w14:textId="285BB4A5" w:rsidR="00946540" w:rsidRDefault="003B0279" w:rsidP="00A209D6">
      <w:r>
        <w:t xml:space="preserve">There is a proposal that is not related to the selection of the solution option: </w:t>
      </w:r>
    </w:p>
    <w:p w14:paraId="3C845E67" w14:textId="3B4755FC" w:rsidR="00946540" w:rsidRDefault="00CD2222" w:rsidP="004C3832">
      <w:pPr>
        <w:pStyle w:val="B1"/>
        <w:rPr>
          <w:rFonts w:cs="Arial"/>
        </w:rPr>
      </w:pPr>
      <w:r>
        <w:rPr>
          <w:b/>
        </w:rPr>
        <w:t>[6] Ericsson</w:t>
      </w:r>
      <w:r>
        <w:rPr>
          <w:b/>
        </w:rPr>
        <w:br/>
      </w:r>
      <w:r w:rsidR="004C3832" w:rsidRPr="00E866EC">
        <w:rPr>
          <w:b/>
        </w:rPr>
        <w:t>Proposal 8:</w:t>
      </w:r>
      <w:r w:rsidR="004C3832">
        <w:t xml:space="preserve"> </w:t>
      </w:r>
      <w:r w:rsidR="004C3832">
        <w:rPr>
          <w:rFonts w:cs="Arial"/>
        </w:rPr>
        <w:t>RAN2 implement the formula for total RAN delay calculation based on the provided TP and send an LS to SA5 to take the formula into account.</w:t>
      </w:r>
    </w:p>
    <w:p w14:paraId="0E1B5590" w14:textId="0D53BF8A" w:rsidR="004E42AC" w:rsidRDefault="004E42AC" w:rsidP="003B0279">
      <w:r>
        <w:t>Rapporteur’s view is that the discussion of this issue is not essential for the progress, therefore it can be postponed.</w:t>
      </w:r>
    </w:p>
    <w:p w14:paraId="38D2C47F" w14:textId="2FA57015" w:rsidR="003B0279" w:rsidRPr="004E42AC" w:rsidRDefault="00FB2608" w:rsidP="003B0279">
      <w:pPr>
        <w:rPr>
          <w:b/>
          <w:bCs/>
        </w:rPr>
      </w:pPr>
      <w:r w:rsidRPr="004E42AC">
        <w:rPr>
          <w:b/>
          <w:bCs/>
        </w:rPr>
        <w:t xml:space="preserve">Proposal 4: Postpone the discussion on </w:t>
      </w:r>
      <w:r w:rsidR="004E42AC" w:rsidRPr="004E42AC">
        <w:rPr>
          <w:b/>
          <w:bCs/>
        </w:rPr>
        <w:t xml:space="preserve">proposal 8 of </w:t>
      </w:r>
      <w:r w:rsidR="00256376" w:rsidRPr="00256376">
        <w:rPr>
          <w:b/>
          <w:bCs/>
        </w:rPr>
        <w:t>R2-2301275</w:t>
      </w:r>
      <w:r w:rsidR="004E42AC" w:rsidRPr="004E42AC">
        <w:rPr>
          <w:b/>
          <w:bCs/>
        </w:rPr>
        <w:t>.</w:t>
      </w:r>
    </w:p>
    <w:p w14:paraId="60F19064" w14:textId="73B79364" w:rsidR="004F7D5D" w:rsidRPr="006E13D1" w:rsidRDefault="004F7D5D" w:rsidP="004F7D5D">
      <w:pPr>
        <w:pStyle w:val="Heading1"/>
      </w:pPr>
      <w:r>
        <w:lastRenderedPageBreak/>
        <w:t>3</w:t>
      </w:r>
      <w:r w:rsidRPr="006E13D1">
        <w:tab/>
      </w:r>
      <w:r>
        <w:t>Conclusion</w:t>
      </w:r>
      <w:r w:rsidR="00E70C6E">
        <w:t>s</w:t>
      </w:r>
    </w:p>
    <w:p w14:paraId="2E3D2A5D" w14:textId="00EFC7CD" w:rsidR="004F7D5D" w:rsidRPr="006E13D1" w:rsidRDefault="005B58DA" w:rsidP="004F7D5D">
      <w:r>
        <w:t>This summary provides the following proposals:</w:t>
      </w:r>
    </w:p>
    <w:p w14:paraId="6DAC6C78" w14:textId="77777777" w:rsidR="00535B3B" w:rsidRPr="002166A0" w:rsidRDefault="00535B3B" w:rsidP="00535B3B">
      <w:pPr>
        <w:rPr>
          <w:b/>
          <w:bCs/>
        </w:rPr>
      </w:pPr>
      <w:r w:rsidRPr="002166A0">
        <w:rPr>
          <w:b/>
          <w:bCs/>
        </w:rPr>
        <w:t>Proposal 1.1: Solution 3 (</w:t>
      </w:r>
      <w:r w:rsidRPr="002166A0">
        <w:rPr>
          <w:b/>
          <w:bCs/>
          <w:lang w:val="en-US"/>
        </w:rPr>
        <w:t>Override protection by cross-RAT reporting of LTE logged MDT report</w:t>
      </w:r>
      <w:r w:rsidRPr="002166A0">
        <w:rPr>
          <w:b/>
          <w:bCs/>
        </w:rPr>
        <w:t>) is excluded from the solution options</w:t>
      </w:r>
      <w:r>
        <w:rPr>
          <w:b/>
          <w:bCs/>
        </w:rPr>
        <w:t xml:space="preserve"> for override protection.</w:t>
      </w:r>
    </w:p>
    <w:p w14:paraId="2AC3260A" w14:textId="56A487F6" w:rsidR="007B3CB4" w:rsidRDefault="00535B3B" w:rsidP="00A209D6">
      <w:pPr>
        <w:rPr>
          <w:b/>
          <w:bCs/>
        </w:rPr>
      </w:pPr>
      <w:r w:rsidRPr="00D76E34">
        <w:rPr>
          <w:b/>
          <w:bCs/>
        </w:rPr>
        <w:t xml:space="preserve">Proposal 1.2: Further discuss the advantages and disadvantages of solution 1 </w:t>
      </w:r>
      <w:r>
        <w:rPr>
          <w:b/>
          <w:bCs/>
        </w:rPr>
        <w:t>(</w:t>
      </w:r>
      <w:r w:rsidRPr="00FB2608">
        <w:rPr>
          <w:b/>
          <w:bCs/>
        </w:rPr>
        <w:t xml:space="preserve">Override protection </w:t>
      </w:r>
      <w:r>
        <w:rPr>
          <w:b/>
          <w:bCs/>
        </w:rPr>
        <w:t xml:space="preserve">for logged MDT </w:t>
      </w:r>
      <w:r w:rsidRPr="00FB2608">
        <w:rPr>
          <w:b/>
          <w:bCs/>
        </w:rPr>
        <w:t>by simultaneous LTE and NR configuration</w:t>
      </w:r>
      <w:r>
        <w:rPr>
          <w:b/>
          <w:bCs/>
        </w:rPr>
        <w:t xml:space="preserve"> </w:t>
      </w:r>
      <w:r w:rsidRPr="00FB2608">
        <w:rPr>
          <w:b/>
          <w:bCs/>
        </w:rPr>
        <w:t>for logged MDT</w:t>
      </w:r>
      <w:r>
        <w:rPr>
          <w:b/>
          <w:bCs/>
        </w:rPr>
        <w:t>)</w:t>
      </w:r>
      <w:r w:rsidRPr="00FB2608">
        <w:rPr>
          <w:b/>
          <w:bCs/>
        </w:rPr>
        <w:t xml:space="preserve"> </w:t>
      </w:r>
      <w:r w:rsidRPr="00D76E34">
        <w:rPr>
          <w:b/>
          <w:bCs/>
        </w:rPr>
        <w:t xml:space="preserve">and </w:t>
      </w:r>
      <w:r>
        <w:rPr>
          <w:b/>
          <w:bCs/>
        </w:rPr>
        <w:t xml:space="preserve">solution </w:t>
      </w:r>
      <w:r w:rsidRPr="00D76E34">
        <w:rPr>
          <w:b/>
          <w:bCs/>
        </w:rPr>
        <w:t xml:space="preserve">2 </w:t>
      </w:r>
      <w:r>
        <w:rPr>
          <w:b/>
          <w:bCs/>
        </w:rPr>
        <w:t>(</w:t>
      </w:r>
      <w:r w:rsidRPr="00FB2608">
        <w:rPr>
          <w:b/>
          <w:bCs/>
        </w:rPr>
        <w:t>Override protection by cross-RAT signaling but no cross-RAT reporting of LTE logged MDT report</w:t>
      </w:r>
      <w:r>
        <w:rPr>
          <w:b/>
          <w:bCs/>
        </w:rPr>
        <w:t>)</w:t>
      </w:r>
      <w:r w:rsidRPr="00FB2608">
        <w:rPr>
          <w:b/>
          <w:bCs/>
        </w:rPr>
        <w:t xml:space="preserve"> </w:t>
      </w:r>
      <w:r w:rsidRPr="00D76E34">
        <w:rPr>
          <w:b/>
          <w:bCs/>
        </w:rPr>
        <w:t>to select a</w:t>
      </w:r>
      <w:r>
        <w:rPr>
          <w:b/>
          <w:bCs/>
        </w:rPr>
        <w:t xml:space="preserve"> solution for Rel-18</w:t>
      </w:r>
      <w:r w:rsidRPr="00D76E34">
        <w:rPr>
          <w:b/>
          <w:bCs/>
        </w:rPr>
        <w:t>.</w:t>
      </w:r>
    </w:p>
    <w:p w14:paraId="15B41697" w14:textId="77777777" w:rsidR="00535B3B" w:rsidRPr="00FB2608" w:rsidRDefault="00535B3B" w:rsidP="00535B3B">
      <w:pPr>
        <w:rPr>
          <w:b/>
          <w:bCs/>
        </w:rPr>
      </w:pPr>
      <w:r w:rsidRPr="00FB2608">
        <w:rPr>
          <w:b/>
          <w:bCs/>
        </w:rPr>
        <w:t xml:space="preserve">Proposal 2: If solution 1 </w:t>
      </w:r>
      <w:r>
        <w:rPr>
          <w:b/>
          <w:bCs/>
        </w:rPr>
        <w:t>(</w:t>
      </w:r>
      <w:r w:rsidRPr="00FB2608">
        <w:rPr>
          <w:b/>
          <w:bCs/>
        </w:rPr>
        <w:t>Override protection by simultaneous LTE and NR configuration</w:t>
      </w:r>
      <w:r w:rsidRPr="00FB2608">
        <w:t xml:space="preserve"> </w:t>
      </w:r>
      <w:r w:rsidRPr="00FB2608">
        <w:rPr>
          <w:b/>
          <w:bCs/>
        </w:rPr>
        <w:t>for logged MDT</w:t>
      </w:r>
      <w:r>
        <w:rPr>
          <w:b/>
          <w:bCs/>
        </w:rPr>
        <w:t xml:space="preserve">) </w:t>
      </w:r>
      <w:r w:rsidRPr="00FB2608">
        <w:rPr>
          <w:b/>
          <w:bCs/>
        </w:rPr>
        <w:t xml:space="preserve">is selected then </w:t>
      </w:r>
    </w:p>
    <w:p w14:paraId="38D36E22" w14:textId="77777777" w:rsidR="00535B3B" w:rsidRPr="00FB2608" w:rsidRDefault="00535B3B" w:rsidP="00535B3B">
      <w:pPr>
        <w:pStyle w:val="ListParagraph"/>
        <w:numPr>
          <w:ilvl w:val="0"/>
          <w:numId w:val="11"/>
        </w:numPr>
        <w:rPr>
          <w:b/>
          <w:bCs/>
        </w:rPr>
      </w:pPr>
      <w:r w:rsidRPr="00FB2608">
        <w:rPr>
          <w:b/>
          <w:bCs/>
        </w:rPr>
        <w:t>No EUTRA signalling change is needed</w:t>
      </w:r>
      <w:r>
        <w:rPr>
          <w:b/>
          <w:bCs/>
        </w:rPr>
        <w:t>.</w:t>
      </w:r>
    </w:p>
    <w:p w14:paraId="2234D413" w14:textId="77777777" w:rsidR="00535B3B" w:rsidRPr="00FB2608" w:rsidRDefault="00535B3B" w:rsidP="00535B3B">
      <w:pPr>
        <w:pStyle w:val="ListParagraph"/>
        <w:numPr>
          <w:ilvl w:val="0"/>
          <w:numId w:val="11"/>
        </w:numPr>
        <w:rPr>
          <w:b/>
          <w:bCs/>
        </w:rPr>
      </w:pPr>
      <w:r>
        <w:rPr>
          <w:b/>
          <w:bCs/>
        </w:rPr>
        <w:t xml:space="preserve">The need and optionality of </w:t>
      </w:r>
      <w:r w:rsidRPr="00FB2608">
        <w:rPr>
          <w:b/>
          <w:bCs/>
        </w:rPr>
        <w:t>UE capabili</w:t>
      </w:r>
      <w:r>
        <w:rPr>
          <w:b/>
          <w:bCs/>
        </w:rPr>
        <w:t>ti</w:t>
      </w:r>
      <w:r w:rsidRPr="00FB2608">
        <w:rPr>
          <w:b/>
          <w:bCs/>
        </w:rPr>
        <w:t xml:space="preserve">es </w:t>
      </w:r>
      <w:r>
        <w:rPr>
          <w:b/>
          <w:bCs/>
        </w:rPr>
        <w:t xml:space="preserve">for storing simultaneous logged MDT reports </w:t>
      </w:r>
      <w:r w:rsidRPr="00FB2608">
        <w:rPr>
          <w:b/>
          <w:bCs/>
        </w:rPr>
        <w:t>require further discussion.</w:t>
      </w:r>
    </w:p>
    <w:p w14:paraId="35681606" w14:textId="77777777" w:rsidR="00535B3B" w:rsidRPr="00FB2608" w:rsidRDefault="00535B3B" w:rsidP="00535B3B">
      <w:pPr>
        <w:rPr>
          <w:b/>
          <w:bCs/>
        </w:rPr>
      </w:pPr>
      <w:r w:rsidRPr="00FB2608">
        <w:rPr>
          <w:b/>
          <w:bCs/>
        </w:rPr>
        <w:t xml:space="preserve">Proposal </w:t>
      </w:r>
      <w:r>
        <w:rPr>
          <w:b/>
          <w:bCs/>
        </w:rPr>
        <w:t>3</w:t>
      </w:r>
      <w:r w:rsidRPr="00FB2608">
        <w:rPr>
          <w:b/>
          <w:bCs/>
        </w:rPr>
        <w:t xml:space="preserve">: If solution </w:t>
      </w:r>
      <w:r>
        <w:rPr>
          <w:b/>
          <w:bCs/>
        </w:rPr>
        <w:t>2</w:t>
      </w:r>
      <w:r w:rsidRPr="00FB2608">
        <w:rPr>
          <w:b/>
          <w:bCs/>
        </w:rPr>
        <w:t xml:space="preserve"> </w:t>
      </w:r>
      <w:r>
        <w:rPr>
          <w:b/>
          <w:bCs/>
        </w:rPr>
        <w:t>(</w:t>
      </w:r>
      <w:r w:rsidRPr="004E42AC">
        <w:rPr>
          <w:b/>
          <w:bCs/>
        </w:rPr>
        <w:t>Override protection by cross-RAT signaling but no cross-RAT reporting of LTE logged MDT report</w:t>
      </w:r>
      <w:r>
        <w:rPr>
          <w:b/>
          <w:bCs/>
        </w:rPr>
        <w:t xml:space="preserve">) </w:t>
      </w:r>
      <w:r w:rsidRPr="00FB2608">
        <w:rPr>
          <w:b/>
          <w:bCs/>
        </w:rPr>
        <w:t xml:space="preserve">is selected then </w:t>
      </w:r>
    </w:p>
    <w:p w14:paraId="7521B83F" w14:textId="77777777" w:rsidR="00535B3B" w:rsidRPr="00FB2608" w:rsidRDefault="00535B3B" w:rsidP="00535B3B">
      <w:pPr>
        <w:pStyle w:val="ListParagraph"/>
        <w:numPr>
          <w:ilvl w:val="0"/>
          <w:numId w:val="12"/>
        </w:numPr>
        <w:rPr>
          <w:b/>
          <w:bCs/>
        </w:rPr>
      </w:pPr>
      <w:r w:rsidRPr="004E42AC">
        <w:rPr>
          <w:b/>
          <w:bCs/>
        </w:rPr>
        <w:t>Extend the LTE LoggedMeasurementConfiguration to include Logged MDT type indication information</w:t>
      </w:r>
    </w:p>
    <w:p w14:paraId="29A64173" w14:textId="77777777" w:rsidR="00535B3B" w:rsidRDefault="00535B3B" w:rsidP="00535B3B">
      <w:pPr>
        <w:pStyle w:val="ListParagraph"/>
        <w:numPr>
          <w:ilvl w:val="0"/>
          <w:numId w:val="12"/>
        </w:numPr>
        <w:rPr>
          <w:b/>
          <w:bCs/>
        </w:rPr>
      </w:pPr>
      <w:r w:rsidRPr="004E42AC">
        <w:rPr>
          <w:b/>
          <w:bCs/>
        </w:rPr>
        <w:t xml:space="preserve">NR signaling </w:t>
      </w:r>
      <w:r>
        <w:rPr>
          <w:b/>
          <w:bCs/>
        </w:rPr>
        <w:t xml:space="preserve">is needed to inform the gNB that </w:t>
      </w:r>
      <w:r w:rsidRPr="004E42AC">
        <w:rPr>
          <w:b/>
          <w:bCs/>
        </w:rPr>
        <w:t>signaling based MDT is configured</w:t>
      </w:r>
      <w:r>
        <w:rPr>
          <w:b/>
          <w:bCs/>
        </w:rPr>
        <w:t xml:space="preserve"> by E-UTRA</w:t>
      </w:r>
    </w:p>
    <w:p w14:paraId="6A29964B" w14:textId="77777777" w:rsidR="00535B3B" w:rsidRDefault="00535B3B" w:rsidP="00535B3B">
      <w:pPr>
        <w:pStyle w:val="ListParagraph"/>
        <w:numPr>
          <w:ilvl w:val="0"/>
          <w:numId w:val="12"/>
        </w:numPr>
        <w:rPr>
          <w:b/>
          <w:bCs/>
        </w:rPr>
      </w:pPr>
      <w:r w:rsidRPr="004E42AC">
        <w:rPr>
          <w:b/>
          <w:bCs/>
        </w:rPr>
        <w:t>R17 NR signaling can be reused by the UE to inform gNB whether signaling based MDT is configured even when it is configured by E-UTRA</w:t>
      </w:r>
    </w:p>
    <w:p w14:paraId="587799F4" w14:textId="77777777" w:rsidR="00535B3B" w:rsidRDefault="00535B3B" w:rsidP="00535B3B">
      <w:pPr>
        <w:pStyle w:val="ListParagraph"/>
        <w:numPr>
          <w:ilvl w:val="0"/>
          <w:numId w:val="12"/>
        </w:numPr>
        <w:rPr>
          <w:b/>
          <w:bCs/>
        </w:rPr>
      </w:pPr>
      <w:r>
        <w:rPr>
          <w:b/>
          <w:bCs/>
        </w:rPr>
        <w:t xml:space="preserve">Further discuss whether </w:t>
      </w:r>
      <w:r w:rsidRPr="00A67C00">
        <w:rPr>
          <w:b/>
          <w:bCs/>
        </w:rPr>
        <w:t>priority handling for signalling logged MDT configuration between different RAT types is needed or no</w:t>
      </w:r>
      <w:r>
        <w:rPr>
          <w:b/>
          <w:bCs/>
        </w:rPr>
        <w:t>t</w:t>
      </w:r>
    </w:p>
    <w:p w14:paraId="63CD999A" w14:textId="77777777" w:rsidR="00E70C6E" w:rsidRPr="004E42AC" w:rsidRDefault="00E70C6E" w:rsidP="00E70C6E">
      <w:pPr>
        <w:rPr>
          <w:b/>
          <w:bCs/>
        </w:rPr>
      </w:pPr>
      <w:r w:rsidRPr="004E42AC">
        <w:rPr>
          <w:b/>
          <w:bCs/>
        </w:rPr>
        <w:t xml:space="preserve">Proposal 4: Postpone the discussion on proposal 8 of </w:t>
      </w:r>
      <w:r w:rsidRPr="00256376">
        <w:rPr>
          <w:b/>
          <w:bCs/>
        </w:rPr>
        <w:t>R2-2301275</w:t>
      </w:r>
      <w:r w:rsidRPr="004E42AC">
        <w:rPr>
          <w:b/>
          <w:bCs/>
        </w:rPr>
        <w:t>.</w:t>
      </w:r>
    </w:p>
    <w:p w14:paraId="312B439D" w14:textId="77777777" w:rsidR="00E70C6E" w:rsidRDefault="00E70C6E" w:rsidP="00A209D6"/>
    <w:sectPr w:rsidR="00E70C6E">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90280" w14:textId="77777777" w:rsidR="00B55AF0" w:rsidRDefault="00B55AF0">
      <w:r>
        <w:separator/>
      </w:r>
    </w:p>
  </w:endnote>
  <w:endnote w:type="continuationSeparator" w:id="0">
    <w:p w14:paraId="60CD324E" w14:textId="77777777" w:rsidR="00B55AF0" w:rsidRDefault="00B55AF0">
      <w:r>
        <w:continuationSeparator/>
      </w:r>
    </w:p>
  </w:endnote>
  <w:endnote w:type="continuationNotice" w:id="1">
    <w:p w14:paraId="67F26C50" w14:textId="77777777" w:rsidR="00B55AF0" w:rsidRDefault="00B55A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17DEC" w14:textId="77777777" w:rsidR="00B55AF0" w:rsidRDefault="00B55AF0">
      <w:r>
        <w:separator/>
      </w:r>
    </w:p>
  </w:footnote>
  <w:footnote w:type="continuationSeparator" w:id="0">
    <w:p w14:paraId="14C5D6E1" w14:textId="77777777" w:rsidR="00B55AF0" w:rsidRDefault="00B55AF0">
      <w:r>
        <w:continuationSeparator/>
      </w:r>
    </w:p>
  </w:footnote>
  <w:footnote w:type="continuationNotice" w:id="1">
    <w:p w14:paraId="681589EB" w14:textId="77777777" w:rsidR="00B55AF0" w:rsidRDefault="00B55A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985B85"/>
    <w:multiLevelType w:val="hybridMultilevel"/>
    <w:tmpl w:val="936C33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3377A"/>
    <w:multiLevelType w:val="hybridMultilevel"/>
    <w:tmpl w:val="936C33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0BB178E"/>
    <w:multiLevelType w:val="hybridMultilevel"/>
    <w:tmpl w:val="936C3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593E14"/>
    <w:multiLevelType w:val="hybridMultilevel"/>
    <w:tmpl w:val="936C33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7"/>
  </w:num>
  <w:num w:numId="7">
    <w:abstractNumId w:val="8"/>
  </w:num>
  <w:num w:numId="8">
    <w:abstractNumId w:val="9"/>
  </w:num>
  <w:num w:numId="9">
    <w:abstractNumId w:val="6"/>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CC6"/>
    <w:rsid w:val="00016557"/>
    <w:rsid w:val="00023C40"/>
    <w:rsid w:val="000321CA"/>
    <w:rsid w:val="00033397"/>
    <w:rsid w:val="000340D4"/>
    <w:rsid w:val="00040095"/>
    <w:rsid w:val="00073C9C"/>
    <w:rsid w:val="00080512"/>
    <w:rsid w:val="000807C8"/>
    <w:rsid w:val="00087C4B"/>
    <w:rsid w:val="00090468"/>
    <w:rsid w:val="00094568"/>
    <w:rsid w:val="000B366F"/>
    <w:rsid w:val="000B7BCF"/>
    <w:rsid w:val="000C522B"/>
    <w:rsid w:val="000D58AB"/>
    <w:rsid w:val="00112F1A"/>
    <w:rsid w:val="00143E6C"/>
    <w:rsid w:val="00145075"/>
    <w:rsid w:val="001672AE"/>
    <w:rsid w:val="001741A0"/>
    <w:rsid w:val="00175FA0"/>
    <w:rsid w:val="00194CD0"/>
    <w:rsid w:val="001B49C9"/>
    <w:rsid w:val="001B738A"/>
    <w:rsid w:val="001C1AFE"/>
    <w:rsid w:val="001C23F4"/>
    <w:rsid w:val="001C4F79"/>
    <w:rsid w:val="001F168B"/>
    <w:rsid w:val="001F7831"/>
    <w:rsid w:val="00204045"/>
    <w:rsid w:val="0020712B"/>
    <w:rsid w:val="002166A0"/>
    <w:rsid w:val="0022606D"/>
    <w:rsid w:val="00231728"/>
    <w:rsid w:val="00233EA1"/>
    <w:rsid w:val="002444D2"/>
    <w:rsid w:val="00244A05"/>
    <w:rsid w:val="00250404"/>
    <w:rsid w:val="00256376"/>
    <w:rsid w:val="002610D8"/>
    <w:rsid w:val="002747EC"/>
    <w:rsid w:val="002855BF"/>
    <w:rsid w:val="002C2423"/>
    <w:rsid w:val="002F0D22"/>
    <w:rsid w:val="00311B17"/>
    <w:rsid w:val="003172DC"/>
    <w:rsid w:val="00325AE3"/>
    <w:rsid w:val="00326069"/>
    <w:rsid w:val="0035462D"/>
    <w:rsid w:val="00355A63"/>
    <w:rsid w:val="0036459E"/>
    <w:rsid w:val="00364B41"/>
    <w:rsid w:val="003701D1"/>
    <w:rsid w:val="003775A5"/>
    <w:rsid w:val="00383096"/>
    <w:rsid w:val="0039227F"/>
    <w:rsid w:val="0039346C"/>
    <w:rsid w:val="003A41EF"/>
    <w:rsid w:val="003B0188"/>
    <w:rsid w:val="003B0279"/>
    <w:rsid w:val="003B40AD"/>
    <w:rsid w:val="003C4E37"/>
    <w:rsid w:val="003C7362"/>
    <w:rsid w:val="003D6EEE"/>
    <w:rsid w:val="003E16BE"/>
    <w:rsid w:val="003E7137"/>
    <w:rsid w:val="003F4E28"/>
    <w:rsid w:val="004006E8"/>
    <w:rsid w:val="00401855"/>
    <w:rsid w:val="00404446"/>
    <w:rsid w:val="0043377E"/>
    <w:rsid w:val="00444257"/>
    <w:rsid w:val="0046023E"/>
    <w:rsid w:val="00465587"/>
    <w:rsid w:val="00473BB4"/>
    <w:rsid w:val="00477455"/>
    <w:rsid w:val="004A1F7B"/>
    <w:rsid w:val="004B2E0A"/>
    <w:rsid w:val="004B4B05"/>
    <w:rsid w:val="004B68BB"/>
    <w:rsid w:val="004C3832"/>
    <w:rsid w:val="004C44D2"/>
    <w:rsid w:val="004D3578"/>
    <w:rsid w:val="004D380D"/>
    <w:rsid w:val="004E213A"/>
    <w:rsid w:val="004E42AC"/>
    <w:rsid w:val="004E6210"/>
    <w:rsid w:val="004F5216"/>
    <w:rsid w:val="004F7D5D"/>
    <w:rsid w:val="00502B29"/>
    <w:rsid w:val="00503171"/>
    <w:rsid w:val="00506C28"/>
    <w:rsid w:val="00534DA0"/>
    <w:rsid w:val="00535B3B"/>
    <w:rsid w:val="00543E6C"/>
    <w:rsid w:val="005469BC"/>
    <w:rsid w:val="00565087"/>
    <w:rsid w:val="0056573F"/>
    <w:rsid w:val="00571279"/>
    <w:rsid w:val="00597B9E"/>
    <w:rsid w:val="005A49C6"/>
    <w:rsid w:val="005B58DA"/>
    <w:rsid w:val="005E60E7"/>
    <w:rsid w:val="00611566"/>
    <w:rsid w:val="00642FA3"/>
    <w:rsid w:val="00646D99"/>
    <w:rsid w:val="006564AB"/>
    <w:rsid w:val="00656910"/>
    <w:rsid w:val="006574C0"/>
    <w:rsid w:val="006657F3"/>
    <w:rsid w:val="00675A4D"/>
    <w:rsid w:val="006776F0"/>
    <w:rsid w:val="00696821"/>
    <w:rsid w:val="006C285F"/>
    <w:rsid w:val="006C66D8"/>
    <w:rsid w:val="006D1E24"/>
    <w:rsid w:val="006D35DE"/>
    <w:rsid w:val="006E1417"/>
    <w:rsid w:val="006E2423"/>
    <w:rsid w:val="006F14ED"/>
    <w:rsid w:val="006F6A2C"/>
    <w:rsid w:val="007069DC"/>
    <w:rsid w:val="00710201"/>
    <w:rsid w:val="0072073A"/>
    <w:rsid w:val="00734222"/>
    <w:rsid w:val="007342B5"/>
    <w:rsid w:val="00734A5B"/>
    <w:rsid w:val="007418A3"/>
    <w:rsid w:val="00744E76"/>
    <w:rsid w:val="00757A1C"/>
    <w:rsid w:val="00757D40"/>
    <w:rsid w:val="007662B5"/>
    <w:rsid w:val="00781F0F"/>
    <w:rsid w:val="00785684"/>
    <w:rsid w:val="0078727C"/>
    <w:rsid w:val="0079049D"/>
    <w:rsid w:val="00793DC5"/>
    <w:rsid w:val="007B18D8"/>
    <w:rsid w:val="007B3CB4"/>
    <w:rsid w:val="007C095F"/>
    <w:rsid w:val="007C2DD0"/>
    <w:rsid w:val="007D0B05"/>
    <w:rsid w:val="007E7FF5"/>
    <w:rsid w:val="007F2244"/>
    <w:rsid w:val="007F2E08"/>
    <w:rsid w:val="008028A4"/>
    <w:rsid w:val="00813245"/>
    <w:rsid w:val="008206F9"/>
    <w:rsid w:val="00823E6D"/>
    <w:rsid w:val="0083540F"/>
    <w:rsid w:val="00840DE0"/>
    <w:rsid w:val="0086354A"/>
    <w:rsid w:val="008768CA"/>
    <w:rsid w:val="0087733B"/>
    <w:rsid w:val="00877EF9"/>
    <w:rsid w:val="00880559"/>
    <w:rsid w:val="008B5306"/>
    <w:rsid w:val="008C2E2A"/>
    <w:rsid w:val="008C3057"/>
    <w:rsid w:val="008D2E4D"/>
    <w:rsid w:val="008D6F13"/>
    <w:rsid w:val="008E7298"/>
    <w:rsid w:val="008F1C2D"/>
    <w:rsid w:val="008F3291"/>
    <w:rsid w:val="008F396F"/>
    <w:rsid w:val="008F3DCD"/>
    <w:rsid w:val="008F694A"/>
    <w:rsid w:val="0090271F"/>
    <w:rsid w:val="00902DB9"/>
    <w:rsid w:val="0090466A"/>
    <w:rsid w:val="00923655"/>
    <w:rsid w:val="00936071"/>
    <w:rsid w:val="009376CD"/>
    <w:rsid w:val="00940212"/>
    <w:rsid w:val="00942EC2"/>
    <w:rsid w:val="00946540"/>
    <w:rsid w:val="009562BE"/>
    <w:rsid w:val="00961B32"/>
    <w:rsid w:val="00962509"/>
    <w:rsid w:val="00970DB3"/>
    <w:rsid w:val="00974BB0"/>
    <w:rsid w:val="00975BCD"/>
    <w:rsid w:val="009928A9"/>
    <w:rsid w:val="009A0AF3"/>
    <w:rsid w:val="009A2466"/>
    <w:rsid w:val="009B07CD"/>
    <w:rsid w:val="009C19E9"/>
    <w:rsid w:val="009D74A6"/>
    <w:rsid w:val="009E0E87"/>
    <w:rsid w:val="00A06666"/>
    <w:rsid w:val="00A10F02"/>
    <w:rsid w:val="00A204CA"/>
    <w:rsid w:val="00A209D6"/>
    <w:rsid w:val="00A22738"/>
    <w:rsid w:val="00A258F9"/>
    <w:rsid w:val="00A32B7F"/>
    <w:rsid w:val="00A536F4"/>
    <w:rsid w:val="00A53724"/>
    <w:rsid w:val="00A54B2B"/>
    <w:rsid w:val="00A67C00"/>
    <w:rsid w:val="00A7577E"/>
    <w:rsid w:val="00A82346"/>
    <w:rsid w:val="00A9671C"/>
    <w:rsid w:val="00AA1553"/>
    <w:rsid w:val="00AC5E4F"/>
    <w:rsid w:val="00AC66B9"/>
    <w:rsid w:val="00B050CE"/>
    <w:rsid w:val="00B05380"/>
    <w:rsid w:val="00B05962"/>
    <w:rsid w:val="00B15449"/>
    <w:rsid w:val="00B16C2F"/>
    <w:rsid w:val="00B27303"/>
    <w:rsid w:val="00B47FD1"/>
    <w:rsid w:val="00B516BB"/>
    <w:rsid w:val="00B55AF0"/>
    <w:rsid w:val="00B701C6"/>
    <w:rsid w:val="00B728F2"/>
    <w:rsid w:val="00B8403B"/>
    <w:rsid w:val="00B84DB2"/>
    <w:rsid w:val="00BB45E4"/>
    <w:rsid w:val="00BB7144"/>
    <w:rsid w:val="00BC1A92"/>
    <w:rsid w:val="00BC3555"/>
    <w:rsid w:val="00C0499E"/>
    <w:rsid w:val="00C12B51"/>
    <w:rsid w:val="00C158E4"/>
    <w:rsid w:val="00C24650"/>
    <w:rsid w:val="00C25465"/>
    <w:rsid w:val="00C31E08"/>
    <w:rsid w:val="00C33079"/>
    <w:rsid w:val="00C4654C"/>
    <w:rsid w:val="00C55A12"/>
    <w:rsid w:val="00C6553E"/>
    <w:rsid w:val="00C83A13"/>
    <w:rsid w:val="00C9068C"/>
    <w:rsid w:val="00C92967"/>
    <w:rsid w:val="00C93CBC"/>
    <w:rsid w:val="00CA3D0C"/>
    <w:rsid w:val="00CA654B"/>
    <w:rsid w:val="00CB72B8"/>
    <w:rsid w:val="00CD2222"/>
    <w:rsid w:val="00CD4C7B"/>
    <w:rsid w:val="00CD58FE"/>
    <w:rsid w:val="00D20496"/>
    <w:rsid w:val="00D2312D"/>
    <w:rsid w:val="00D33BE3"/>
    <w:rsid w:val="00D3792D"/>
    <w:rsid w:val="00D4716E"/>
    <w:rsid w:val="00D55E47"/>
    <w:rsid w:val="00D5620D"/>
    <w:rsid w:val="00D611F6"/>
    <w:rsid w:val="00D62E19"/>
    <w:rsid w:val="00D67CD1"/>
    <w:rsid w:val="00D738D6"/>
    <w:rsid w:val="00D75BA8"/>
    <w:rsid w:val="00D76E34"/>
    <w:rsid w:val="00D80795"/>
    <w:rsid w:val="00D854BE"/>
    <w:rsid w:val="00D87E00"/>
    <w:rsid w:val="00D9134D"/>
    <w:rsid w:val="00D96D11"/>
    <w:rsid w:val="00DA7A03"/>
    <w:rsid w:val="00DB0DB8"/>
    <w:rsid w:val="00DB1818"/>
    <w:rsid w:val="00DB25BF"/>
    <w:rsid w:val="00DB3946"/>
    <w:rsid w:val="00DC309B"/>
    <w:rsid w:val="00DC4DA2"/>
    <w:rsid w:val="00DC5261"/>
    <w:rsid w:val="00DD314F"/>
    <w:rsid w:val="00DE25D2"/>
    <w:rsid w:val="00DE6761"/>
    <w:rsid w:val="00E41023"/>
    <w:rsid w:val="00E46C08"/>
    <w:rsid w:val="00E471CF"/>
    <w:rsid w:val="00E62835"/>
    <w:rsid w:val="00E655F5"/>
    <w:rsid w:val="00E70C6E"/>
    <w:rsid w:val="00E77645"/>
    <w:rsid w:val="00E83697"/>
    <w:rsid w:val="00E86664"/>
    <w:rsid w:val="00E866EC"/>
    <w:rsid w:val="00EA66C9"/>
    <w:rsid w:val="00EB5F11"/>
    <w:rsid w:val="00EC4A25"/>
    <w:rsid w:val="00EF612C"/>
    <w:rsid w:val="00F025A2"/>
    <w:rsid w:val="00F036E9"/>
    <w:rsid w:val="00F07388"/>
    <w:rsid w:val="00F2026E"/>
    <w:rsid w:val="00F2210A"/>
    <w:rsid w:val="00F37743"/>
    <w:rsid w:val="00F50CB8"/>
    <w:rsid w:val="00F54A3D"/>
    <w:rsid w:val="00F54CB0"/>
    <w:rsid w:val="00F579CD"/>
    <w:rsid w:val="00F653B8"/>
    <w:rsid w:val="00F71B89"/>
    <w:rsid w:val="00F7353C"/>
    <w:rsid w:val="00F76F8F"/>
    <w:rsid w:val="00F91636"/>
    <w:rsid w:val="00F941DF"/>
    <w:rsid w:val="00FA1266"/>
    <w:rsid w:val="00FA5FA7"/>
    <w:rsid w:val="00FB2608"/>
    <w:rsid w:val="00FB36FA"/>
    <w:rsid w:val="00FB704E"/>
    <w:rsid w:val="00FC1192"/>
    <w:rsid w:val="00FD3612"/>
    <w:rsid w:val="00FE106D"/>
    <w:rsid w:val="00FE251B"/>
    <w:rsid w:val="00FF2334"/>
    <w:rsid w:val="00FF570D"/>
    <w:rsid w:val="00FF6F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6AA91EEA-5425-46EE-A2D6-790CFC1B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Normal"/>
    <w:link w:val="Doc-titleChar"/>
    <w:qFormat/>
    <w:rsid w:val="007B3CB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B3CB4"/>
    <w:rPr>
      <w:rFonts w:ascii="Arial" w:eastAsia="MS Mincho" w:hAnsi="Arial"/>
      <w:noProof/>
      <w:szCs w:val="24"/>
    </w:rPr>
  </w:style>
  <w:style w:type="character" w:styleId="FollowedHyperlink">
    <w:name w:val="FollowedHyperlink"/>
    <w:basedOn w:val="DefaultParagraphFont"/>
    <w:rsid w:val="004F7D5D"/>
    <w:rPr>
      <w:color w:val="954F72" w:themeColor="followedHyperlink"/>
      <w:u w:val="single"/>
    </w:rPr>
  </w:style>
  <w:style w:type="paragraph" w:styleId="ListParagraph">
    <w:name w:val="List Paragraph"/>
    <w:basedOn w:val="Normal"/>
    <w:uiPriority w:val="34"/>
    <w:qFormat/>
    <w:rsid w:val="00FB2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0620">
      <w:bodyDiv w:val="1"/>
      <w:marLeft w:val="0"/>
      <w:marRight w:val="0"/>
      <w:marTop w:val="0"/>
      <w:marBottom w:val="0"/>
      <w:divBdr>
        <w:top w:val="none" w:sz="0" w:space="0" w:color="auto"/>
        <w:left w:val="none" w:sz="0" w:space="0" w:color="auto"/>
        <w:bottom w:val="none" w:sz="0" w:space="0" w:color="auto"/>
        <w:right w:val="none" w:sz="0" w:space="0" w:color="auto"/>
      </w:divBdr>
    </w:div>
    <w:div w:id="217859286">
      <w:bodyDiv w:val="1"/>
      <w:marLeft w:val="0"/>
      <w:marRight w:val="0"/>
      <w:marTop w:val="0"/>
      <w:marBottom w:val="0"/>
      <w:divBdr>
        <w:top w:val="none" w:sz="0" w:space="0" w:color="auto"/>
        <w:left w:val="none" w:sz="0" w:space="0" w:color="auto"/>
        <w:bottom w:val="none" w:sz="0" w:space="0" w:color="auto"/>
        <w:right w:val="none" w:sz="0" w:space="0" w:color="auto"/>
      </w:divBdr>
    </w:div>
    <w:div w:id="222763639">
      <w:bodyDiv w:val="1"/>
      <w:marLeft w:val="0"/>
      <w:marRight w:val="0"/>
      <w:marTop w:val="0"/>
      <w:marBottom w:val="0"/>
      <w:divBdr>
        <w:top w:val="none" w:sz="0" w:space="0" w:color="auto"/>
        <w:left w:val="none" w:sz="0" w:space="0" w:color="auto"/>
        <w:bottom w:val="none" w:sz="0" w:space="0" w:color="auto"/>
        <w:right w:val="none" w:sz="0" w:space="0" w:color="auto"/>
      </w:divBdr>
    </w:div>
    <w:div w:id="328482597">
      <w:bodyDiv w:val="1"/>
      <w:marLeft w:val="0"/>
      <w:marRight w:val="0"/>
      <w:marTop w:val="0"/>
      <w:marBottom w:val="0"/>
      <w:divBdr>
        <w:top w:val="none" w:sz="0" w:space="0" w:color="auto"/>
        <w:left w:val="none" w:sz="0" w:space="0" w:color="auto"/>
        <w:bottom w:val="none" w:sz="0" w:space="0" w:color="auto"/>
        <w:right w:val="none" w:sz="0" w:space="0" w:color="auto"/>
      </w:divBdr>
    </w:div>
    <w:div w:id="352153526">
      <w:bodyDiv w:val="1"/>
      <w:marLeft w:val="0"/>
      <w:marRight w:val="0"/>
      <w:marTop w:val="0"/>
      <w:marBottom w:val="0"/>
      <w:divBdr>
        <w:top w:val="none" w:sz="0" w:space="0" w:color="auto"/>
        <w:left w:val="none" w:sz="0" w:space="0" w:color="auto"/>
        <w:bottom w:val="none" w:sz="0" w:space="0" w:color="auto"/>
        <w:right w:val="none" w:sz="0" w:space="0" w:color="auto"/>
      </w:divBdr>
    </w:div>
    <w:div w:id="401215822">
      <w:bodyDiv w:val="1"/>
      <w:marLeft w:val="0"/>
      <w:marRight w:val="0"/>
      <w:marTop w:val="0"/>
      <w:marBottom w:val="0"/>
      <w:divBdr>
        <w:top w:val="none" w:sz="0" w:space="0" w:color="auto"/>
        <w:left w:val="none" w:sz="0" w:space="0" w:color="auto"/>
        <w:bottom w:val="none" w:sz="0" w:space="0" w:color="auto"/>
        <w:right w:val="none" w:sz="0" w:space="0" w:color="auto"/>
      </w:divBdr>
    </w:div>
    <w:div w:id="471873395">
      <w:bodyDiv w:val="1"/>
      <w:marLeft w:val="0"/>
      <w:marRight w:val="0"/>
      <w:marTop w:val="0"/>
      <w:marBottom w:val="0"/>
      <w:divBdr>
        <w:top w:val="none" w:sz="0" w:space="0" w:color="auto"/>
        <w:left w:val="none" w:sz="0" w:space="0" w:color="auto"/>
        <w:bottom w:val="none" w:sz="0" w:space="0" w:color="auto"/>
        <w:right w:val="none" w:sz="0" w:space="0" w:color="auto"/>
      </w:divBdr>
    </w:div>
    <w:div w:id="576206370">
      <w:bodyDiv w:val="1"/>
      <w:marLeft w:val="0"/>
      <w:marRight w:val="0"/>
      <w:marTop w:val="0"/>
      <w:marBottom w:val="0"/>
      <w:divBdr>
        <w:top w:val="none" w:sz="0" w:space="0" w:color="auto"/>
        <w:left w:val="none" w:sz="0" w:space="0" w:color="auto"/>
        <w:bottom w:val="none" w:sz="0" w:space="0" w:color="auto"/>
        <w:right w:val="none" w:sz="0" w:space="0" w:color="auto"/>
      </w:divBdr>
    </w:div>
    <w:div w:id="765073631">
      <w:bodyDiv w:val="1"/>
      <w:marLeft w:val="0"/>
      <w:marRight w:val="0"/>
      <w:marTop w:val="0"/>
      <w:marBottom w:val="0"/>
      <w:divBdr>
        <w:top w:val="none" w:sz="0" w:space="0" w:color="auto"/>
        <w:left w:val="none" w:sz="0" w:space="0" w:color="auto"/>
        <w:bottom w:val="none" w:sz="0" w:space="0" w:color="auto"/>
        <w:right w:val="none" w:sz="0" w:space="0" w:color="auto"/>
      </w:divBdr>
    </w:div>
    <w:div w:id="793476157">
      <w:bodyDiv w:val="1"/>
      <w:marLeft w:val="0"/>
      <w:marRight w:val="0"/>
      <w:marTop w:val="0"/>
      <w:marBottom w:val="0"/>
      <w:divBdr>
        <w:top w:val="none" w:sz="0" w:space="0" w:color="auto"/>
        <w:left w:val="none" w:sz="0" w:space="0" w:color="auto"/>
        <w:bottom w:val="none" w:sz="0" w:space="0" w:color="auto"/>
        <w:right w:val="none" w:sz="0" w:space="0" w:color="auto"/>
      </w:divBdr>
    </w:div>
    <w:div w:id="8517245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2108552">
      <w:bodyDiv w:val="1"/>
      <w:marLeft w:val="0"/>
      <w:marRight w:val="0"/>
      <w:marTop w:val="0"/>
      <w:marBottom w:val="0"/>
      <w:divBdr>
        <w:top w:val="none" w:sz="0" w:space="0" w:color="auto"/>
        <w:left w:val="none" w:sz="0" w:space="0" w:color="auto"/>
        <w:bottom w:val="none" w:sz="0" w:space="0" w:color="auto"/>
        <w:right w:val="none" w:sz="0" w:space="0" w:color="auto"/>
      </w:divBdr>
    </w:div>
    <w:div w:id="907618023">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63406098">
      <w:bodyDiv w:val="1"/>
      <w:marLeft w:val="0"/>
      <w:marRight w:val="0"/>
      <w:marTop w:val="0"/>
      <w:marBottom w:val="0"/>
      <w:divBdr>
        <w:top w:val="none" w:sz="0" w:space="0" w:color="auto"/>
        <w:left w:val="none" w:sz="0" w:space="0" w:color="auto"/>
        <w:bottom w:val="none" w:sz="0" w:space="0" w:color="auto"/>
        <w:right w:val="none" w:sz="0" w:space="0" w:color="auto"/>
      </w:divBdr>
    </w:div>
    <w:div w:id="114832249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32306643">
      <w:bodyDiv w:val="1"/>
      <w:marLeft w:val="0"/>
      <w:marRight w:val="0"/>
      <w:marTop w:val="0"/>
      <w:marBottom w:val="0"/>
      <w:divBdr>
        <w:top w:val="none" w:sz="0" w:space="0" w:color="auto"/>
        <w:left w:val="none" w:sz="0" w:space="0" w:color="auto"/>
        <w:bottom w:val="none" w:sz="0" w:space="0" w:color="auto"/>
        <w:right w:val="none" w:sz="0" w:space="0" w:color="auto"/>
      </w:divBdr>
    </w:div>
    <w:div w:id="1586719892">
      <w:bodyDiv w:val="1"/>
      <w:marLeft w:val="0"/>
      <w:marRight w:val="0"/>
      <w:marTop w:val="0"/>
      <w:marBottom w:val="0"/>
      <w:divBdr>
        <w:top w:val="none" w:sz="0" w:space="0" w:color="auto"/>
        <w:left w:val="none" w:sz="0" w:space="0" w:color="auto"/>
        <w:bottom w:val="none" w:sz="0" w:space="0" w:color="auto"/>
        <w:right w:val="none" w:sz="0" w:space="0" w:color="auto"/>
      </w:divBdr>
    </w:div>
    <w:div w:id="1807622846">
      <w:bodyDiv w:val="1"/>
      <w:marLeft w:val="0"/>
      <w:marRight w:val="0"/>
      <w:marTop w:val="0"/>
      <w:marBottom w:val="0"/>
      <w:divBdr>
        <w:top w:val="none" w:sz="0" w:space="0" w:color="auto"/>
        <w:left w:val="none" w:sz="0" w:space="0" w:color="auto"/>
        <w:bottom w:val="none" w:sz="0" w:space="0" w:color="auto"/>
        <w:right w:val="none" w:sz="0" w:space="0" w:color="auto"/>
      </w:divBdr>
    </w:div>
    <w:div w:id="1865096109">
      <w:bodyDiv w:val="1"/>
      <w:marLeft w:val="0"/>
      <w:marRight w:val="0"/>
      <w:marTop w:val="0"/>
      <w:marBottom w:val="0"/>
      <w:divBdr>
        <w:top w:val="none" w:sz="0" w:space="0" w:color="auto"/>
        <w:left w:val="none" w:sz="0" w:space="0" w:color="auto"/>
        <w:bottom w:val="none" w:sz="0" w:space="0" w:color="auto"/>
        <w:right w:val="none" w:sz="0" w:space="0" w:color="auto"/>
      </w:divBdr>
    </w:div>
    <w:div w:id="1883857964">
      <w:bodyDiv w:val="1"/>
      <w:marLeft w:val="0"/>
      <w:marRight w:val="0"/>
      <w:marTop w:val="0"/>
      <w:marBottom w:val="0"/>
      <w:divBdr>
        <w:top w:val="none" w:sz="0" w:space="0" w:color="auto"/>
        <w:left w:val="none" w:sz="0" w:space="0" w:color="auto"/>
        <w:bottom w:val="none" w:sz="0" w:space="0" w:color="auto"/>
        <w:right w:val="none" w:sz="0" w:space="0" w:color="auto"/>
      </w:divBdr>
    </w:div>
    <w:div w:id="1930236003">
      <w:bodyDiv w:val="1"/>
      <w:marLeft w:val="0"/>
      <w:marRight w:val="0"/>
      <w:marTop w:val="0"/>
      <w:marBottom w:val="0"/>
      <w:divBdr>
        <w:top w:val="none" w:sz="0" w:space="0" w:color="auto"/>
        <w:left w:val="none" w:sz="0" w:space="0" w:color="auto"/>
        <w:bottom w:val="none" w:sz="0" w:space="0" w:color="auto"/>
        <w:right w:val="none" w:sz="0" w:space="0" w:color="auto"/>
      </w:divBdr>
    </w:div>
    <w:div w:id="19629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0716.zip" TargetMode="External"/><Relationship Id="rId18" Type="http://schemas.openxmlformats.org/officeDocument/2006/relationships/hyperlink" Target="https://www.3gpp.org/ftp/tsg_ran/WG2_RL2/TSGR2_121/Docs/R2-2301420.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3gpp.org/ftp/tsg_ran/WG2_RL2/TSGR2_121/Docs/R2-2300293.zip" TargetMode="External"/><Relationship Id="rId17" Type="http://schemas.openxmlformats.org/officeDocument/2006/relationships/hyperlink" Target="https://www.3gpp.org/ftp/tsg_ran/WG2_RL2/TSGR2_121/Docs/R2-2301275.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21/Docs/R2-2301192.zip" TargetMode="External"/><Relationship Id="rId20" Type="http://schemas.openxmlformats.org/officeDocument/2006/relationships/hyperlink" Target="https://www.3gpp.org/ftp/tsg_ran/WG2_RL2/TSGR2_121/Docs/R2-230163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21/Docs/R2-2301144.zi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21/Docs/R2-230157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1/Docs/R2-2301001.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5AIRPNAIUNRU-859666464-13447</_dlc_DocId>
    <_dlc_DocIdUrl xmlns="71c5aaf6-e6ce-465b-b873-5148d2a4c105">
      <Url>https://nokia.sharepoint.com/sites/c5g/e2earch/_layouts/15/DocIdRedir.aspx?ID=5AIRPNAIUNRU-859666464-13447</Url>
      <Description>5AIRPNAIUNRU-859666464-13447</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1</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13629</CharactersWithSpaces>
  <SharedDoc>false</SharedDoc>
  <HyperlinkBase/>
  <HLinks>
    <vt:vector size="54" baseType="variant">
      <vt:variant>
        <vt:i4>8323140</vt:i4>
      </vt:variant>
      <vt:variant>
        <vt:i4>24</vt:i4>
      </vt:variant>
      <vt:variant>
        <vt:i4>0</vt:i4>
      </vt:variant>
      <vt:variant>
        <vt:i4>5</vt:i4>
      </vt:variant>
      <vt:variant>
        <vt:lpwstr>https://www.3gpp.org/ftp/tsg_ran/WG2_RL2/TSGR2_121/Docs/R2-2301631.zip</vt:lpwstr>
      </vt:variant>
      <vt:variant>
        <vt:lpwstr/>
      </vt:variant>
      <vt:variant>
        <vt:i4>8192064</vt:i4>
      </vt:variant>
      <vt:variant>
        <vt:i4>21</vt:i4>
      </vt:variant>
      <vt:variant>
        <vt:i4>0</vt:i4>
      </vt:variant>
      <vt:variant>
        <vt:i4>5</vt:i4>
      </vt:variant>
      <vt:variant>
        <vt:lpwstr>https://www.3gpp.org/ftp/tsg_ran/WG2_RL2/TSGR2_121/Docs/R2-2301570.zip</vt:lpwstr>
      </vt:variant>
      <vt:variant>
        <vt:lpwstr/>
      </vt:variant>
      <vt:variant>
        <vt:i4>8126533</vt:i4>
      </vt:variant>
      <vt:variant>
        <vt:i4>18</vt:i4>
      </vt:variant>
      <vt:variant>
        <vt:i4>0</vt:i4>
      </vt:variant>
      <vt:variant>
        <vt:i4>5</vt:i4>
      </vt:variant>
      <vt:variant>
        <vt:lpwstr>https://www.3gpp.org/ftp/tsg_ran/WG2_RL2/TSGR2_121/Docs/R2-2301420.zip</vt:lpwstr>
      </vt:variant>
      <vt:variant>
        <vt:lpwstr/>
      </vt:variant>
      <vt:variant>
        <vt:i4>8323136</vt:i4>
      </vt:variant>
      <vt:variant>
        <vt:i4>15</vt:i4>
      </vt:variant>
      <vt:variant>
        <vt:i4>0</vt:i4>
      </vt:variant>
      <vt:variant>
        <vt:i4>5</vt:i4>
      </vt:variant>
      <vt:variant>
        <vt:lpwstr>https://www.3gpp.org/ftp/tsg_ran/WG2_RL2/TSGR2_121/Docs/R2-2301275.zip</vt:lpwstr>
      </vt:variant>
      <vt:variant>
        <vt:lpwstr/>
      </vt:variant>
      <vt:variant>
        <vt:i4>8061006</vt:i4>
      </vt:variant>
      <vt:variant>
        <vt:i4>12</vt:i4>
      </vt:variant>
      <vt:variant>
        <vt:i4>0</vt:i4>
      </vt:variant>
      <vt:variant>
        <vt:i4>5</vt:i4>
      </vt:variant>
      <vt:variant>
        <vt:lpwstr>https://www.3gpp.org/ftp/tsg_ran/WG2_RL2/TSGR2_121/Docs/R2-2301192.zip</vt:lpwstr>
      </vt:variant>
      <vt:variant>
        <vt:lpwstr/>
      </vt:variant>
      <vt:variant>
        <vt:i4>8192067</vt:i4>
      </vt:variant>
      <vt:variant>
        <vt:i4>9</vt:i4>
      </vt:variant>
      <vt:variant>
        <vt:i4>0</vt:i4>
      </vt:variant>
      <vt:variant>
        <vt:i4>5</vt:i4>
      </vt:variant>
      <vt:variant>
        <vt:lpwstr>https://www.3gpp.org/ftp/tsg_ran/WG2_RL2/TSGR2_121/Docs/R2-2301144.zip</vt:lpwstr>
      </vt:variant>
      <vt:variant>
        <vt:lpwstr/>
      </vt:variant>
      <vt:variant>
        <vt:i4>7929927</vt:i4>
      </vt:variant>
      <vt:variant>
        <vt:i4>6</vt:i4>
      </vt:variant>
      <vt:variant>
        <vt:i4>0</vt:i4>
      </vt:variant>
      <vt:variant>
        <vt:i4>5</vt:i4>
      </vt:variant>
      <vt:variant>
        <vt:lpwstr>https://www.3gpp.org/ftp/tsg_ran/WG2_RL2/TSGR2_121/Docs/R2-2301001.zip</vt:lpwstr>
      </vt:variant>
      <vt:variant>
        <vt:lpwstr/>
      </vt:variant>
      <vt:variant>
        <vt:i4>7929927</vt:i4>
      </vt:variant>
      <vt:variant>
        <vt:i4>3</vt:i4>
      </vt:variant>
      <vt:variant>
        <vt:i4>0</vt:i4>
      </vt:variant>
      <vt:variant>
        <vt:i4>5</vt:i4>
      </vt:variant>
      <vt:variant>
        <vt:lpwstr>https://www.3gpp.org/ftp/tsg_ran/WG2_RL2/TSGR2_121/Docs/R2-2300716.zip</vt:lpwstr>
      </vt:variant>
      <vt:variant>
        <vt:lpwstr/>
      </vt:variant>
      <vt:variant>
        <vt:i4>7929935</vt:i4>
      </vt:variant>
      <vt:variant>
        <vt:i4>0</vt:i4>
      </vt:variant>
      <vt:variant>
        <vt:i4>0</vt:i4>
      </vt:variant>
      <vt:variant>
        <vt:i4>5</vt:i4>
      </vt:variant>
      <vt:variant>
        <vt:lpwstr>https://www.3gpp.org/ftp/tsg_ran/WG2_RL2/TSGR2_121/Docs/R2-2300293.zip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Nokia(GWO)1</cp:lastModifiedBy>
  <cp:revision>177</cp:revision>
  <dcterms:created xsi:type="dcterms:W3CDTF">2016-08-12T12:53:00Z</dcterms:created>
  <dcterms:modified xsi:type="dcterms:W3CDTF">2023-02-22T19:14:00Z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ff7acbf8-c84c-4bed-bb99-158db42939b6</vt:lpwstr>
  </property>
</Properties>
</file>