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B54E8">
        <w:rPr>
          <w:bCs/>
          <w:noProof w:val="0"/>
          <w:sz w:val="24"/>
          <w:szCs w:val="24"/>
        </w:rPr>
        <w:t>2</w:t>
      </w:r>
      <w:r w:rsidR="007C2BD0">
        <w:rPr>
          <w:bCs/>
          <w:noProof w:val="0"/>
          <w:sz w:val="24"/>
          <w:szCs w:val="24"/>
        </w:rPr>
        <w:t>1</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BF4EB2" w:rsidRPr="00BF4EB2">
        <w:rPr>
          <w:bCs/>
          <w:noProof w:val="0"/>
          <w:sz w:val="24"/>
          <w:szCs w:val="24"/>
        </w:rPr>
        <w:t>2</w:t>
      </w:r>
      <w:r w:rsidR="007C2BD0">
        <w:rPr>
          <w:bCs/>
          <w:noProof w:val="0"/>
          <w:sz w:val="24"/>
          <w:szCs w:val="24"/>
        </w:rPr>
        <w:t>30xxxx</w:t>
      </w:r>
    </w:p>
    <w:p w:rsidR="00A209D6" w:rsidRPr="007C2BD0" w:rsidRDefault="007C2BD0" w:rsidP="007C2BD0">
      <w:pPr>
        <w:tabs>
          <w:tab w:val="right" w:pos="9639"/>
          <w:tab w:val="right" w:pos="13323"/>
        </w:tabs>
        <w:rPr>
          <w:rFonts w:ascii="Arial" w:eastAsiaTheme="minorEastAsia" w:hAnsi="Arial" w:cs="Arial"/>
          <w:b/>
          <w:sz w:val="24"/>
          <w:szCs w:val="24"/>
          <w:lang w:eastAsia="zh-CN"/>
        </w:rPr>
      </w:pPr>
      <w:r>
        <w:rPr>
          <w:rFonts w:ascii="Arial" w:hAnsi="Arial" w:cs="Arial"/>
          <w:b/>
          <w:sz w:val="24"/>
          <w:szCs w:val="24"/>
        </w:rPr>
        <w:t>Athens, Greece, 27th February – 3rd March, 2023</w:t>
      </w:r>
      <w:r w:rsidR="00A209D6">
        <w:rPr>
          <w:sz w:val="24"/>
          <w:szCs w:val="24"/>
          <w:lang w:eastAsia="zh-CN"/>
        </w:rPr>
        <w:tab/>
      </w:r>
    </w:p>
    <w:p w:rsidR="00A209D6" w:rsidRPr="00B266B0" w:rsidRDefault="00A209D6" w:rsidP="00A209D6">
      <w:pPr>
        <w:pStyle w:val="a3"/>
        <w:rPr>
          <w:bCs/>
          <w:noProof w:val="0"/>
          <w:sz w:val="24"/>
        </w:rPr>
      </w:pPr>
    </w:p>
    <w:p w:rsidR="00A209D6" w:rsidRPr="00B266B0" w:rsidRDefault="00A209D6" w:rsidP="00A209D6">
      <w:pPr>
        <w:pStyle w:val="a3"/>
        <w:rPr>
          <w:bCs/>
          <w:noProof w:val="0"/>
          <w:sz w:val="24"/>
        </w:rPr>
      </w:pPr>
    </w:p>
    <w:p w:rsidR="00446C3A" w:rsidRPr="00B266B0" w:rsidRDefault="00446C3A" w:rsidP="00446C3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F68AC">
        <w:rPr>
          <w:rFonts w:cs="Arial"/>
          <w:b/>
          <w:bCs/>
          <w:sz w:val="24"/>
          <w:lang w:eastAsia="ja-JP"/>
        </w:rPr>
        <w:t>6.</w:t>
      </w:r>
      <w:r w:rsidR="007C2BD0">
        <w:rPr>
          <w:rFonts w:cs="Arial"/>
          <w:b/>
          <w:bCs/>
          <w:sz w:val="24"/>
          <w:lang w:eastAsia="ja-JP"/>
        </w:rPr>
        <w:t>2.2</w:t>
      </w:r>
    </w:p>
    <w:p w:rsidR="00446C3A" w:rsidRPr="00B266B0" w:rsidRDefault="00446C3A" w:rsidP="00446C3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C2BD0">
        <w:rPr>
          <w:rFonts w:ascii="Arial" w:hAnsi="Arial" w:cs="Arial"/>
          <w:b/>
          <w:bCs/>
          <w:sz w:val="24"/>
        </w:rPr>
        <w:t>Huawei, HiSilicon</w:t>
      </w:r>
    </w:p>
    <w:p w:rsidR="00446C3A" w:rsidRDefault="00446C3A" w:rsidP="00446C3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C2BD0">
        <w:rPr>
          <w:rFonts w:ascii="Arial" w:hAnsi="Arial" w:cs="Arial"/>
          <w:b/>
          <w:bCs/>
          <w:sz w:val="24"/>
        </w:rPr>
        <w:t>Report of [AT121][601</w:t>
      </w:r>
      <w:r w:rsidR="00BF4EB2" w:rsidRPr="00BF4EB2">
        <w:rPr>
          <w:rFonts w:ascii="Arial" w:hAnsi="Arial" w:cs="Arial"/>
          <w:b/>
          <w:bCs/>
          <w:sz w:val="24"/>
        </w:rPr>
        <w:t xml:space="preserve">][MBS-R17] </w:t>
      </w:r>
      <w:r w:rsidR="007C2BD0">
        <w:rPr>
          <w:rFonts w:ascii="Arial" w:hAnsi="Arial" w:cs="Arial"/>
          <w:b/>
          <w:bCs/>
          <w:sz w:val="24"/>
        </w:rPr>
        <w:t>NPN and PLMN ID</w:t>
      </w:r>
      <w:r w:rsidR="00BF4EB2" w:rsidRPr="00BF4EB2">
        <w:rPr>
          <w:rFonts w:ascii="Arial" w:hAnsi="Arial" w:cs="Arial"/>
          <w:b/>
          <w:bCs/>
          <w:sz w:val="24"/>
        </w:rPr>
        <w:t xml:space="preserve"> (</w:t>
      </w:r>
      <w:r w:rsidR="007C2BD0">
        <w:rPr>
          <w:rFonts w:ascii="Arial" w:hAnsi="Arial" w:cs="Arial"/>
          <w:b/>
          <w:bCs/>
          <w:sz w:val="24"/>
        </w:rPr>
        <w:t>Huawei</w:t>
      </w:r>
      <w:r w:rsidR="00BF4EB2" w:rsidRPr="00BF4EB2">
        <w:rPr>
          <w:rFonts w:ascii="Arial" w:hAnsi="Arial" w:cs="Arial"/>
          <w:b/>
          <w:bCs/>
          <w:sz w:val="24"/>
        </w:rPr>
        <w:t>)</w:t>
      </w:r>
    </w:p>
    <w:p w:rsidR="00446C3A" w:rsidRPr="00B266B0" w:rsidRDefault="00446C3A" w:rsidP="00446C3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A266C2" w:rsidRPr="00A266C2">
        <w:rPr>
          <w:rFonts w:ascii="Arial" w:hAnsi="Arial" w:cs="Arial"/>
          <w:b/>
          <w:bCs/>
          <w:sz w:val="24"/>
        </w:rPr>
        <w:t xml:space="preserve">NR_MBS-Core </w:t>
      </w:r>
      <w:r>
        <w:rPr>
          <w:rFonts w:ascii="Arial" w:hAnsi="Arial" w:cs="Arial"/>
          <w:b/>
          <w:bCs/>
          <w:sz w:val="24"/>
        </w:rPr>
        <w:t xml:space="preserve">- Release </w:t>
      </w:r>
      <w:r w:rsidR="00A266C2">
        <w:rPr>
          <w:rFonts w:ascii="Arial" w:hAnsi="Arial" w:cs="Arial"/>
          <w:b/>
          <w:bCs/>
          <w:sz w:val="24"/>
        </w:rPr>
        <w:t>17</w:t>
      </w:r>
    </w:p>
    <w:p w:rsidR="00446C3A" w:rsidRDefault="00446C3A" w:rsidP="00446C3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rsidR="00BF77A1" w:rsidRDefault="00BF77A1" w:rsidP="00446C3A">
      <w:pPr>
        <w:tabs>
          <w:tab w:val="left" w:pos="1985"/>
        </w:tabs>
        <w:rPr>
          <w:rFonts w:ascii="Arial" w:hAnsi="Arial" w:cs="Arial"/>
          <w:b/>
          <w:bCs/>
          <w:sz w:val="24"/>
        </w:rPr>
      </w:pPr>
    </w:p>
    <w:p w:rsidR="00BF77A1" w:rsidRDefault="00BF77A1" w:rsidP="00BF77A1">
      <w:pPr>
        <w:pStyle w:val="1"/>
        <w:numPr>
          <w:ilvl w:val="0"/>
          <w:numId w:val="12"/>
        </w:numPr>
        <w:overflowPunct w:val="0"/>
        <w:autoSpaceDE w:val="0"/>
        <w:autoSpaceDN w:val="0"/>
        <w:adjustRightInd w:val="0"/>
        <w:rPr>
          <w:lang w:eastAsia="ja-JP"/>
        </w:rPr>
      </w:pPr>
      <w:r>
        <w:t>Introduction</w:t>
      </w:r>
    </w:p>
    <w:p w:rsidR="00BF77A1" w:rsidRDefault="00BF77A1" w:rsidP="00BF77A1">
      <w:pPr>
        <w:spacing w:after="120"/>
      </w:pPr>
      <w:r>
        <w:t>In the last RAN2 meeting, the following agreements were reached about MBS support in NPN:</w:t>
      </w:r>
    </w:p>
    <w:p w:rsidR="00BF77A1" w:rsidRDefault="00BF77A1" w:rsidP="00BF77A1">
      <w:pPr>
        <w:pStyle w:val="Agreement"/>
        <w:numPr>
          <w:ilvl w:val="0"/>
          <w:numId w:val="11"/>
        </w:numPr>
        <w:tabs>
          <w:tab w:val="clear" w:pos="1352"/>
          <w:tab w:val="left" w:pos="1276"/>
          <w:tab w:val="left" w:pos="1619"/>
        </w:tabs>
        <w:ind w:left="426"/>
      </w:pPr>
      <w:r>
        <w:t xml:space="preserve">MBS should be supported within SNPN. FFS if some change is needed. FFS CAG </w:t>
      </w:r>
    </w:p>
    <w:p w:rsidR="00BF77A1" w:rsidRDefault="00BF77A1" w:rsidP="00BF77A1">
      <w:pPr>
        <w:pStyle w:val="Agreement"/>
        <w:numPr>
          <w:ilvl w:val="0"/>
          <w:numId w:val="11"/>
        </w:numPr>
        <w:tabs>
          <w:tab w:val="clear" w:pos="1352"/>
          <w:tab w:val="left" w:pos="1276"/>
          <w:tab w:val="left" w:pos="1619"/>
        </w:tabs>
        <w:ind w:left="426"/>
      </w:pPr>
      <w:r>
        <w:t xml:space="preserve">RAN2 specs allow to use plmn-Index to indicate PLMN+NID (=SNPN ID). </w:t>
      </w:r>
    </w:p>
    <w:p w:rsidR="00BF77A1" w:rsidRDefault="00BF77A1" w:rsidP="00BF77A1">
      <w:pPr>
        <w:pStyle w:val="Agreement"/>
        <w:numPr>
          <w:ilvl w:val="0"/>
          <w:numId w:val="11"/>
        </w:numPr>
        <w:tabs>
          <w:tab w:val="clear" w:pos="1352"/>
          <w:tab w:val="left" w:pos="1276"/>
          <w:tab w:val="left" w:pos="1619"/>
        </w:tabs>
        <w:ind w:left="426"/>
      </w:pPr>
      <w:r>
        <w:t xml:space="preserve">RAN2 specs allow to use plmn-Index to indicate CAG. </w:t>
      </w:r>
    </w:p>
    <w:p w:rsidR="00BF77A1" w:rsidRDefault="00BF77A1" w:rsidP="00BF77A1">
      <w:pPr>
        <w:pStyle w:val="Agreement"/>
        <w:numPr>
          <w:ilvl w:val="0"/>
          <w:numId w:val="11"/>
        </w:numPr>
        <w:tabs>
          <w:tab w:val="clear" w:pos="1352"/>
          <w:tab w:val="left" w:pos="1276"/>
          <w:tab w:val="left" w:pos="1619"/>
        </w:tabs>
        <w:ind w:left="426"/>
      </w:pPr>
      <w:r>
        <w:t>FFS whether this works without specification changes for all the required scenarios.</w:t>
      </w:r>
    </w:p>
    <w:p w:rsidR="00BF77A1" w:rsidRDefault="00BF77A1" w:rsidP="00BF77A1">
      <w:pPr>
        <w:pStyle w:val="Agreement"/>
        <w:numPr>
          <w:ilvl w:val="0"/>
          <w:numId w:val="11"/>
        </w:numPr>
        <w:tabs>
          <w:tab w:val="clear" w:pos="1352"/>
          <w:tab w:val="left" w:pos="1276"/>
          <w:tab w:val="left" w:pos="1619"/>
        </w:tabs>
        <w:ind w:left="426"/>
      </w:pPr>
      <w:r>
        <w:t>FFS whether/what changes are needed for inter-node messages</w:t>
      </w:r>
    </w:p>
    <w:p w:rsidR="00BF77A1" w:rsidRDefault="00BF77A1" w:rsidP="00446C3A">
      <w:pPr>
        <w:tabs>
          <w:tab w:val="left" w:pos="1985"/>
        </w:tabs>
        <w:rPr>
          <w:rFonts w:ascii="Arial" w:hAnsi="Arial" w:cs="Arial"/>
          <w:b/>
          <w:bCs/>
          <w:sz w:val="24"/>
        </w:rPr>
      </w:pPr>
    </w:p>
    <w:p w:rsidR="00BF77A1" w:rsidRDefault="00BF77A1" w:rsidP="00BF77A1">
      <w:r>
        <w:t>This offline is to reach an alignment between the companies on:</w:t>
      </w:r>
    </w:p>
    <w:p w:rsidR="00BF77A1" w:rsidRDefault="00BF77A1" w:rsidP="00BF77A1">
      <w:r>
        <w:rPr>
          <w:rFonts w:hint="eastAsia"/>
        </w:rPr>
        <w:t>•</w:t>
      </w:r>
      <w:r>
        <w:tab/>
        <w:t>Whether/what changes are needed to enable MBS support for NPN</w:t>
      </w:r>
    </w:p>
    <w:p w:rsidR="00BF77A1" w:rsidRPr="00BF77A1" w:rsidRDefault="00BF77A1" w:rsidP="00BF77A1">
      <w:r>
        <w:rPr>
          <w:rFonts w:hint="eastAsia"/>
        </w:rPr>
        <w:t>•</w:t>
      </w:r>
      <w:r>
        <w:tab/>
        <w:t>How TMGI (PLMN ID) should be signalled in multicast configuration</w:t>
      </w:r>
    </w:p>
    <w:p w:rsidR="00652FB2" w:rsidRDefault="00652FB2" w:rsidP="00652FB2">
      <w:pPr>
        <w:rPr>
          <w:rFonts w:eastAsia="等线"/>
        </w:rPr>
      </w:pPr>
    </w:p>
    <w:p w:rsidR="00652FB2" w:rsidRPr="00577F84" w:rsidRDefault="008D6AF3" w:rsidP="00652FB2">
      <w:pPr>
        <w:pStyle w:val="1"/>
        <w:numPr>
          <w:ilvl w:val="0"/>
          <w:numId w:val="12"/>
        </w:numPr>
        <w:overflowPunct w:val="0"/>
        <w:autoSpaceDE w:val="0"/>
        <w:autoSpaceDN w:val="0"/>
        <w:adjustRightInd w:val="0"/>
        <w:rPr>
          <w:color w:val="BFBFBF" w:themeColor="background1" w:themeShade="BF"/>
        </w:rPr>
      </w:pPr>
      <w:r w:rsidRPr="00577F84">
        <w:rPr>
          <w:color w:val="BFBFBF" w:themeColor="background1" w:themeShade="BF"/>
        </w:rPr>
        <w:t xml:space="preserve">The usage of </w:t>
      </w:r>
      <w:proofErr w:type="spellStart"/>
      <w:r w:rsidRPr="00577F84">
        <w:rPr>
          <w:color w:val="BFBFBF" w:themeColor="background1" w:themeShade="BF"/>
        </w:rPr>
        <w:t>plmn</w:t>
      </w:r>
      <w:proofErr w:type="spellEnd"/>
      <w:r w:rsidRPr="00577F84">
        <w:rPr>
          <w:color w:val="BFBFBF" w:themeColor="background1" w:themeShade="BF"/>
        </w:rPr>
        <w:t>-index</w:t>
      </w:r>
      <w:r w:rsidR="00652FB2" w:rsidRPr="00577F84">
        <w:rPr>
          <w:color w:val="BFBFBF" w:themeColor="background1" w:themeShade="BF"/>
        </w:rPr>
        <w:t xml:space="preserve"> </w:t>
      </w:r>
      <w:r w:rsidRPr="00577F84">
        <w:rPr>
          <w:color w:val="BFBFBF" w:themeColor="background1" w:themeShade="BF"/>
        </w:rPr>
        <w:t>for</w:t>
      </w:r>
      <w:r w:rsidR="00652FB2" w:rsidRPr="00577F84">
        <w:rPr>
          <w:color w:val="BFBFBF" w:themeColor="background1" w:themeShade="BF"/>
        </w:rPr>
        <w:t xml:space="preserve"> multicast </w:t>
      </w:r>
      <w:r w:rsidR="00165803" w:rsidRPr="00577F84">
        <w:rPr>
          <w:color w:val="BFBFBF" w:themeColor="background1" w:themeShade="BF"/>
        </w:rPr>
        <w:t>configuration</w:t>
      </w:r>
    </w:p>
    <w:p w:rsidR="008D6AF3" w:rsidRPr="00577F84" w:rsidRDefault="008D6AF3" w:rsidP="008D6AF3">
      <w:pPr>
        <w:rPr>
          <w:color w:val="BFBFBF" w:themeColor="background1" w:themeShade="BF"/>
        </w:rPr>
      </w:pPr>
      <w:r w:rsidRPr="00577F84">
        <w:rPr>
          <w:color w:val="BFBFBF" w:themeColor="background1" w:themeShade="BF"/>
        </w:rPr>
        <w:t xml:space="preserve">For MBS multicast, if </w:t>
      </w:r>
      <w:r w:rsidRPr="00577F84">
        <w:rPr>
          <w:i/>
          <w:color w:val="BFBFBF" w:themeColor="background1" w:themeShade="BF"/>
        </w:rPr>
        <w:t>plmn-index</w:t>
      </w:r>
      <w:r w:rsidRPr="00577F84">
        <w:rPr>
          <w:color w:val="BFBFBF" w:themeColor="background1" w:themeShade="BF"/>
        </w:rPr>
        <w:t xml:space="preserve"> is used in the TMGI for an MBS session, the target gNB may not be able to recognize the </w:t>
      </w:r>
      <w:r w:rsidRPr="00577F84">
        <w:rPr>
          <w:i/>
          <w:color w:val="BFBFBF" w:themeColor="background1" w:themeShade="BF"/>
        </w:rPr>
        <w:t xml:space="preserve">plmn-index </w:t>
      </w:r>
      <w:r w:rsidRPr="00577F84">
        <w:rPr>
          <w:color w:val="BFBFBF" w:themeColor="background1" w:themeShade="BF"/>
        </w:rPr>
        <w:t>when the RRC context is forwarded to target gNB during handover. In the RAN2#120 meeting, this issue was discussed but postponed due to limit of time. Based on companies’ contributions, the following options are proposed:</w:t>
      </w:r>
    </w:p>
    <w:p w:rsidR="008D6AF3" w:rsidRPr="00577F84" w:rsidRDefault="008D6AF3" w:rsidP="008D6AF3">
      <w:pPr>
        <w:rPr>
          <w:color w:val="BFBFBF" w:themeColor="background1" w:themeShade="BF"/>
          <w:lang w:eastAsia="zh-CN"/>
        </w:rPr>
      </w:pPr>
      <w:r w:rsidRPr="00577F84">
        <w:rPr>
          <w:rFonts w:hint="eastAsia"/>
          <w:b/>
          <w:color w:val="BFBFBF" w:themeColor="background1" w:themeShade="BF"/>
          <w:lang w:eastAsia="zh-CN"/>
        </w:rPr>
        <w:t>O</w:t>
      </w:r>
      <w:r w:rsidRPr="00577F84">
        <w:rPr>
          <w:b/>
          <w:color w:val="BFBFBF" w:themeColor="background1" w:themeShade="BF"/>
          <w:lang w:eastAsia="zh-CN"/>
        </w:rPr>
        <w:t>ption 1:</w:t>
      </w:r>
      <w:r w:rsidRPr="00577F84">
        <w:rPr>
          <w:color w:val="BFBFBF" w:themeColor="background1" w:themeShade="BF"/>
          <w:lang w:eastAsia="zh-CN"/>
        </w:rPr>
        <w:t xml:space="preserve"> The </w:t>
      </w:r>
      <w:r w:rsidRPr="00577F84">
        <w:rPr>
          <w:color w:val="BFBFBF" w:themeColor="background1" w:themeShade="BF"/>
        </w:rPr>
        <w:t>plmn-index</w:t>
      </w:r>
      <w:r w:rsidRPr="00577F84">
        <w:rPr>
          <w:color w:val="BFBFBF" w:themeColor="background1" w:themeShade="BF"/>
          <w:lang w:eastAsia="zh-CN"/>
        </w:rPr>
        <w:t xml:space="preserve"> can be used for multicast and the UE </w:t>
      </w:r>
      <w:r w:rsidR="006325D3" w:rsidRPr="00577F84">
        <w:rPr>
          <w:color w:val="BFBFBF" w:themeColor="background1" w:themeShade="BF"/>
          <w:lang w:eastAsia="zh-CN"/>
        </w:rPr>
        <w:t>maintain</w:t>
      </w:r>
      <w:r w:rsidRPr="00577F84">
        <w:rPr>
          <w:color w:val="BFBFBF" w:themeColor="background1" w:themeShade="BF"/>
          <w:lang w:eastAsia="zh-CN"/>
        </w:rPr>
        <w:t>s the plmn-index with the PLMN ID before handover.</w:t>
      </w:r>
      <w:r w:rsidR="006325D3" w:rsidRPr="00577F84">
        <w:rPr>
          <w:color w:val="BFBFBF" w:themeColor="background1" w:themeShade="BF"/>
          <w:lang w:eastAsia="zh-CN"/>
        </w:rPr>
        <w:t xml:space="preserve"> The NW should translate the index to PLMN ID.</w:t>
      </w:r>
      <w:r w:rsidR="00690163" w:rsidRPr="00577F84">
        <w:rPr>
          <w:color w:val="BFBFBF" w:themeColor="background1" w:themeShade="BF"/>
          <w:lang w:eastAsia="zh-CN"/>
        </w:rPr>
        <w:t xml:space="preserve"> The </w:t>
      </w:r>
      <w:r w:rsidR="00151C57" w:rsidRPr="00577F84">
        <w:rPr>
          <w:color w:val="BFBFBF" w:themeColor="background1" w:themeShade="BF"/>
          <w:lang w:eastAsia="zh-CN"/>
        </w:rPr>
        <w:t xml:space="preserve">&lt;ue will use target SIB1 to </w:t>
      </w:r>
      <w:proofErr w:type="spellStart"/>
      <w:r w:rsidR="00151C57" w:rsidRPr="00577F84">
        <w:rPr>
          <w:color w:val="BFBFBF" w:themeColor="background1" w:themeShade="BF"/>
          <w:lang w:eastAsia="zh-CN"/>
        </w:rPr>
        <w:t>translqte</w:t>
      </w:r>
      <w:proofErr w:type="spellEnd"/>
      <w:r w:rsidR="00151C57" w:rsidRPr="00577F84">
        <w:rPr>
          <w:color w:val="BFBFBF" w:themeColor="background1" w:themeShade="BF"/>
          <w:lang w:eastAsia="zh-CN"/>
        </w:rPr>
        <w:t xml:space="preserve"> from </w:t>
      </w:r>
      <w:proofErr w:type="spellStart"/>
      <w:r w:rsidR="00151C57" w:rsidRPr="00577F84">
        <w:rPr>
          <w:color w:val="BFBFBF" w:themeColor="background1" w:themeShade="BF"/>
          <w:lang w:eastAsia="zh-CN"/>
        </w:rPr>
        <w:t>plmn</w:t>
      </w:r>
      <w:proofErr w:type="spellEnd"/>
      <w:r w:rsidR="00151C57" w:rsidRPr="00577F84">
        <w:rPr>
          <w:color w:val="BFBFBF" w:themeColor="background1" w:themeShade="BF"/>
          <w:lang w:eastAsia="zh-CN"/>
        </w:rPr>
        <w:t xml:space="preserve"> index to </w:t>
      </w:r>
      <w:proofErr w:type="spellStart"/>
      <w:r w:rsidR="00151C57" w:rsidRPr="00577F84">
        <w:rPr>
          <w:color w:val="BFBFBF" w:themeColor="background1" w:themeShade="BF"/>
          <w:lang w:eastAsia="zh-CN"/>
        </w:rPr>
        <w:t>expicit</w:t>
      </w:r>
      <w:proofErr w:type="spellEnd"/>
      <w:r w:rsidR="00151C57" w:rsidRPr="00577F84">
        <w:rPr>
          <w:color w:val="BFBFBF" w:themeColor="background1" w:themeShade="BF"/>
          <w:lang w:eastAsia="zh-CN"/>
        </w:rPr>
        <w:t xml:space="preserve"> </w:t>
      </w:r>
      <w:proofErr w:type="spellStart"/>
      <w:r w:rsidR="00151C57" w:rsidRPr="00577F84">
        <w:rPr>
          <w:color w:val="BFBFBF" w:themeColor="background1" w:themeShade="BF"/>
          <w:lang w:eastAsia="zh-CN"/>
        </w:rPr>
        <w:t>plmn</w:t>
      </w:r>
      <w:proofErr w:type="spellEnd"/>
      <w:r w:rsidR="00151C57" w:rsidRPr="00577F84">
        <w:rPr>
          <w:color w:val="BFBFBF" w:themeColor="background1" w:themeShade="BF"/>
          <w:lang w:eastAsia="zh-CN"/>
        </w:rPr>
        <w:t xml:space="preserve"> id </w:t>
      </w:r>
      <w:proofErr w:type="spellStart"/>
      <w:r w:rsidR="00151C57" w:rsidRPr="00577F84">
        <w:rPr>
          <w:color w:val="BFBFBF" w:themeColor="background1" w:themeShade="BF"/>
          <w:lang w:eastAsia="zh-CN"/>
        </w:rPr>
        <w:t>qfter</w:t>
      </w:r>
      <w:proofErr w:type="spellEnd"/>
      <w:r w:rsidR="00151C57" w:rsidRPr="00577F84">
        <w:rPr>
          <w:color w:val="BFBFBF" w:themeColor="background1" w:themeShade="BF"/>
          <w:lang w:eastAsia="zh-CN"/>
        </w:rPr>
        <w:t xml:space="preserve"> </w:t>
      </w:r>
      <w:proofErr w:type="spellStart"/>
      <w:r w:rsidR="00151C57" w:rsidRPr="00577F84">
        <w:rPr>
          <w:color w:val="BFBFBF" w:themeColor="background1" w:themeShade="BF"/>
          <w:lang w:eastAsia="zh-CN"/>
        </w:rPr>
        <w:t>hqndover</w:t>
      </w:r>
      <w:proofErr w:type="spellEnd"/>
    </w:p>
    <w:p w:rsidR="000F3681" w:rsidRPr="00577F84" w:rsidRDefault="000F3681" w:rsidP="000F3681">
      <w:pPr>
        <w:jc w:val="center"/>
        <w:rPr>
          <w:color w:val="BFBFBF" w:themeColor="background1" w:themeShade="BF"/>
          <w:lang w:eastAsia="zh-CN"/>
        </w:rPr>
      </w:pPr>
      <w:r w:rsidRPr="00577F84">
        <w:rPr>
          <w:noProof/>
          <w:color w:val="BFBFBF" w:themeColor="background1" w:themeShade="BF"/>
          <w:lang w:val="en-US" w:eastAsia="zh-CN"/>
        </w:rPr>
        <w:lastRenderedPageBreak/>
        <w:drawing>
          <wp:inline distT="0" distB="0" distL="0" distR="0" wp14:anchorId="478BEDDB" wp14:editId="3F54D3EA">
            <wp:extent cx="4320802" cy="2573655"/>
            <wp:effectExtent l="0" t="0" r="3810" b="0"/>
            <wp:docPr id="1" name="图片 1" descr="C:\Users\x00354265\AppData\Roaming\eSpace_Desktop\UserData\x00354265\imagefiles\3CB734B6-E749-4634-A556-ECBAD75A1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00354265\AppData\Roaming\eSpace_Desktop\UserData\x00354265\imagefiles\3CB734B6-E749-4634-A556-ECBAD75A1E6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2439" cy="2574630"/>
                    </a:xfrm>
                    <a:prstGeom prst="rect">
                      <a:avLst/>
                    </a:prstGeom>
                    <a:noFill/>
                    <a:ln>
                      <a:noFill/>
                    </a:ln>
                  </pic:spPr>
                </pic:pic>
              </a:graphicData>
            </a:graphic>
          </wp:inline>
        </w:drawing>
      </w:r>
    </w:p>
    <w:p w:rsidR="000F3681" w:rsidRPr="00577F84" w:rsidRDefault="008D6AF3" w:rsidP="008D6AF3">
      <w:pPr>
        <w:rPr>
          <w:color w:val="BFBFBF" w:themeColor="background1" w:themeShade="BF"/>
        </w:rPr>
      </w:pPr>
      <w:r w:rsidRPr="00577F84">
        <w:rPr>
          <w:b/>
          <w:color w:val="BFBFBF" w:themeColor="background1" w:themeShade="BF"/>
          <w:lang w:eastAsia="zh-CN"/>
        </w:rPr>
        <w:t xml:space="preserve">Option 2: </w:t>
      </w:r>
      <w:r w:rsidRPr="00577F84">
        <w:rPr>
          <w:color w:val="BFBFBF" w:themeColor="background1" w:themeShade="BF"/>
          <w:lang w:eastAsia="zh-CN"/>
        </w:rPr>
        <w:t xml:space="preserve">The </w:t>
      </w:r>
      <w:r w:rsidRPr="00577F84">
        <w:rPr>
          <w:color w:val="BFBFBF" w:themeColor="background1" w:themeShade="BF"/>
        </w:rPr>
        <w:t>plmn-index</w:t>
      </w:r>
      <w:r w:rsidRPr="00577F84">
        <w:rPr>
          <w:color w:val="BFBFBF" w:themeColor="background1" w:themeShade="BF"/>
          <w:lang w:eastAsia="zh-CN"/>
        </w:rPr>
        <w:t xml:space="preserve"> can be used for multicast and the NW </w:t>
      </w:r>
      <w:r w:rsidR="006325D3" w:rsidRPr="00577F84">
        <w:rPr>
          <w:color w:val="BFBFBF" w:themeColor="background1" w:themeShade="BF"/>
          <w:lang w:eastAsia="zh-CN"/>
        </w:rPr>
        <w:t>shall reconfigure</w:t>
      </w:r>
      <w:r w:rsidRPr="00577F84">
        <w:rPr>
          <w:color w:val="BFBFBF" w:themeColor="background1" w:themeShade="BF"/>
          <w:lang w:eastAsia="zh-CN"/>
        </w:rPr>
        <w:t xml:space="preserve"> the MRB with correct plmn-index during the handover.</w:t>
      </w:r>
      <w:r w:rsidRPr="00577F84">
        <w:rPr>
          <w:color w:val="BFBFBF" w:themeColor="background1" w:themeShade="BF"/>
        </w:rPr>
        <w:t xml:space="preserve"> </w:t>
      </w:r>
    </w:p>
    <w:p w:rsidR="008D6AF3" w:rsidRPr="00577F84" w:rsidRDefault="000F3681" w:rsidP="000F3681">
      <w:pPr>
        <w:jc w:val="center"/>
        <w:rPr>
          <w:color w:val="BFBFBF" w:themeColor="background1" w:themeShade="BF"/>
        </w:rPr>
      </w:pPr>
      <w:r w:rsidRPr="00577F84">
        <w:rPr>
          <w:noProof/>
          <w:color w:val="BFBFBF" w:themeColor="background1" w:themeShade="BF"/>
          <w:lang w:val="en-US" w:eastAsia="zh-CN"/>
        </w:rPr>
        <w:drawing>
          <wp:inline distT="0" distB="0" distL="0" distR="0" wp14:anchorId="64F7962A" wp14:editId="6FB988F1">
            <wp:extent cx="4364428" cy="2412365"/>
            <wp:effectExtent l="0" t="0" r="0" b="6985"/>
            <wp:docPr id="4" name="图片 4" descr="C:\Users\x00354265\AppData\Roaming\eSpace_Desktop\UserData\x00354265\imagefiles\EBADFB9E-29CB-49D5-A0CE-A08E11A429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x00354265\AppData\Roaming\eSpace_Desktop\UserData\x00354265\imagefiles\EBADFB9E-29CB-49D5-A0CE-A08E11A4293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7686" cy="2414166"/>
                    </a:xfrm>
                    <a:prstGeom prst="rect">
                      <a:avLst/>
                    </a:prstGeom>
                    <a:noFill/>
                    <a:ln>
                      <a:noFill/>
                    </a:ln>
                  </pic:spPr>
                </pic:pic>
              </a:graphicData>
            </a:graphic>
          </wp:inline>
        </w:drawing>
      </w:r>
    </w:p>
    <w:p w:rsidR="000F3681" w:rsidRPr="00577F84" w:rsidRDefault="000F3681" w:rsidP="000F3681">
      <w:pPr>
        <w:rPr>
          <w:color w:val="BFBFBF" w:themeColor="background1" w:themeShade="BF"/>
        </w:rPr>
      </w:pPr>
      <w:r w:rsidRPr="00577F84">
        <w:rPr>
          <w:b/>
          <w:color w:val="BFBFBF" w:themeColor="background1" w:themeShade="BF"/>
          <w:lang w:eastAsia="zh-CN"/>
        </w:rPr>
        <w:t xml:space="preserve">Option 3: </w:t>
      </w:r>
      <w:r w:rsidRPr="00577F84">
        <w:rPr>
          <w:color w:val="BFBFBF" w:themeColor="background1" w:themeShade="BF"/>
          <w:lang w:eastAsia="zh-CN"/>
        </w:rPr>
        <w:t xml:space="preserve">The </w:t>
      </w:r>
      <w:r w:rsidRPr="00577F84">
        <w:rPr>
          <w:color w:val="BFBFBF" w:themeColor="background1" w:themeShade="BF"/>
        </w:rPr>
        <w:t>plmn-index</w:t>
      </w:r>
      <w:r w:rsidRPr="00577F84">
        <w:rPr>
          <w:color w:val="BFBFBF" w:themeColor="background1" w:themeShade="BF"/>
          <w:lang w:eastAsia="zh-CN"/>
        </w:rPr>
        <w:t xml:space="preserve"> can be used for multicast and the NW </w:t>
      </w:r>
      <w:r w:rsidR="006325D3" w:rsidRPr="00577F84">
        <w:rPr>
          <w:color w:val="BFBFBF" w:themeColor="background1" w:themeShade="BF"/>
          <w:lang w:eastAsia="zh-CN"/>
        </w:rPr>
        <w:t>shall reconfigure</w:t>
      </w:r>
      <w:r w:rsidRPr="00577F84">
        <w:rPr>
          <w:color w:val="BFBFBF" w:themeColor="background1" w:themeShade="BF"/>
          <w:lang w:eastAsia="zh-CN"/>
        </w:rPr>
        <w:t xml:space="preserve"> the MRB with </w:t>
      </w:r>
      <w:r w:rsidR="006325D3" w:rsidRPr="00577F84">
        <w:rPr>
          <w:color w:val="BFBFBF" w:themeColor="background1" w:themeShade="BF"/>
          <w:lang w:eastAsia="zh-CN"/>
        </w:rPr>
        <w:t>full</w:t>
      </w:r>
      <w:r w:rsidRPr="00577F84">
        <w:rPr>
          <w:color w:val="BFBFBF" w:themeColor="background1" w:themeShade="BF"/>
          <w:lang w:eastAsia="zh-CN"/>
        </w:rPr>
        <w:t xml:space="preserve"> </w:t>
      </w:r>
      <w:r w:rsidR="006325D3" w:rsidRPr="00577F84">
        <w:rPr>
          <w:color w:val="BFBFBF" w:themeColor="background1" w:themeShade="BF"/>
          <w:lang w:eastAsia="zh-CN"/>
        </w:rPr>
        <w:t xml:space="preserve">PLMN </w:t>
      </w:r>
      <w:proofErr w:type="spellStart"/>
      <w:r w:rsidR="006325D3" w:rsidRPr="00577F84">
        <w:rPr>
          <w:color w:val="BFBFBF" w:themeColor="background1" w:themeShade="BF"/>
          <w:lang w:eastAsia="zh-CN"/>
        </w:rPr>
        <w:t>ID</w:t>
      </w:r>
      <w:r w:rsidRPr="00577F84">
        <w:rPr>
          <w:color w:val="BFBFBF" w:themeColor="background1" w:themeShade="BF"/>
          <w:lang w:eastAsia="zh-CN"/>
        </w:rPr>
        <w:t>during</w:t>
      </w:r>
      <w:proofErr w:type="spellEnd"/>
      <w:r w:rsidRPr="00577F84">
        <w:rPr>
          <w:color w:val="BFBFBF" w:themeColor="background1" w:themeShade="BF"/>
          <w:lang w:eastAsia="zh-CN"/>
        </w:rPr>
        <w:t xml:space="preserve"> the handover.</w:t>
      </w:r>
      <w:r w:rsidRPr="00577F84">
        <w:rPr>
          <w:color w:val="BFBFBF" w:themeColor="background1" w:themeShade="BF"/>
        </w:rPr>
        <w:t xml:space="preserve"> </w:t>
      </w:r>
      <w:r w:rsidR="006325D3" w:rsidRPr="00577F84">
        <w:rPr>
          <w:color w:val="BFBFBF" w:themeColor="background1" w:themeShade="BF"/>
          <w:lang w:eastAsia="zh-CN"/>
        </w:rPr>
        <w:t>The NW should translate the index to PLMN ID.</w:t>
      </w:r>
    </w:p>
    <w:p w:rsidR="000F3681" w:rsidRPr="00577F84" w:rsidRDefault="000F3681" w:rsidP="000F3681">
      <w:pPr>
        <w:jc w:val="center"/>
        <w:rPr>
          <w:b/>
          <w:color w:val="BFBFBF" w:themeColor="background1" w:themeShade="BF"/>
          <w:lang w:eastAsia="zh-CN"/>
        </w:rPr>
      </w:pPr>
      <w:r w:rsidRPr="00577F84">
        <w:rPr>
          <w:noProof/>
          <w:color w:val="BFBFBF" w:themeColor="background1" w:themeShade="BF"/>
          <w:lang w:val="en-US" w:eastAsia="zh-CN"/>
        </w:rPr>
        <w:drawing>
          <wp:inline distT="0" distB="0" distL="0" distR="0" wp14:anchorId="028C3A07" wp14:editId="27A8A827">
            <wp:extent cx="4109834" cy="2264410"/>
            <wp:effectExtent l="0" t="0" r="5080" b="2540"/>
            <wp:docPr id="5" name="图片 5" descr="C:\Users\x00354265\AppData\Roaming\eSpace_Desktop\UserData\x00354265\imagefiles\288351B3-7964-4957-9342-9E574AA82C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x00354265\AppData\Roaming\eSpace_Desktop\UserData\x00354265\imagefiles\288351B3-7964-4957-9342-9E574AA82CA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5867" cy="2267734"/>
                    </a:xfrm>
                    <a:prstGeom prst="rect">
                      <a:avLst/>
                    </a:prstGeom>
                    <a:noFill/>
                    <a:ln>
                      <a:noFill/>
                    </a:ln>
                  </pic:spPr>
                </pic:pic>
              </a:graphicData>
            </a:graphic>
          </wp:inline>
        </w:drawing>
      </w:r>
    </w:p>
    <w:p w:rsidR="008D6AF3" w:rsidRPr="00577F84" w:rsidRDefault="000F3681" w:rsidP="008D6AF3">
      <w:pPr>
        <w:rPr>
          <w:color w:val="BFBFBF" w:themeColor="background1" w:themeShade="BF"/>
        </w:rPr>
      </w:pPr>
      <w:r w:rsidRPr="00577F84">
        <w:rPr>
          <w:b/>
          <w:color w:val="BFBFBF" w:themeColor="background1" w:themeShade="BF"/>
          <w:lang w:eastAsia="zh-CN"/>
        </w:rPr>
        <w:t>Option 4</w:t>
      </w:r>
      <w:r w:rsidR="008D6AF3" w:rsidRPr="00577F84">
        <w:rPr>
          <w:b/>
          <w:color w:val="BFBFBF" w:themeColor="background1" w:themeShade="BF"/>
          <w:lang w:eastAsia="zh-CN"/>
        </w:rPr>
        <w:t xml:space="preserve">: </w:t>
      </w:r>
      <w:r w:rsidR="008D6AF3" w:rsidRPr="00577F84">
        <w:rPr>
          <w:color w:val="BFBFBF" w:themeColor="background1" w:themeShade="BF"/>
          <w:lang w:eastAsia="zh-CN"/>
        </w:rPr>
        <w:t>The plmn-in</w:t>
      </w:r>
      <w:r w:rsidR="008D6AF3" w:rsidRPr="00577F84">
        <w:rPr>
          <w:color w:val="BFBFBF" w:themeColor="background1" w:themeShade="BF"/>
        </w:rPr>
        <w:t>dex</w:t>
      </w:r>
      <w:r w:rsidR="008D6AF3" w:rsidRPr="00577F84">
        <w:rPr>
          <w:color w:val="BFBFBF" w:themeColor="background1" w:themeShade="BF"/>
          <w:lang w:eastAsia="zh-CN"/>
        </w:rPr>
        <w:t xml:space="preserve"> is not used for multicast configuration</w:t>
      </w:r>
      <w:r w:rsidR="008D6AF3" w:rsidRPr="00577F84">
        <w:rPr>
          <w:color w:val="BFBFBF" w:themeColor="background1" w:themeShade="BF"/>
        </w:rPr>
        <w:t>.</w:t>
      </w:r>
    </w:p>
    <w:p w:rsidR="008D6AF3" w:rsidRPr="00577F84" w:rsidRDefault="000F3681" w:rsidP="000F3681">
      <w:pPr>
        <w:jc w:val="center"/>
        <w:rPr>
          <w:color w:val="BFBFBF" w:themeColor="background1" w:themeShade="BF"/>
        </w:rPr>
      </w:pPr>
      <w:r w:rsidRPr="00577F84">
        <w:rPr>
          <w:noProof/>
          <w:color w:val="BFBFBF" w:themeColor="background1" w:themeShade="BF"/>
          <w:lang w:val="en-US" w:eastAsia="zh-CN"/>
        </w:rPr>
        <w:lastRenderedPageBreak/>
        <w:drawing>
          <wp:inline distT="0" distB="0" distL="0" distR="0" wp14:anchorId="2CD51576" wp14:editId="54ACDBE2">
            <wp:extent cx="3620247" cy="2442210"/>
            <wp:effectExtent l="0" t="0" r="0" b="0"/>
            <wp:docPr id="3" name="图片 3" descr="C:\Users\x00354265\AppData\Roaming\eSpace_Desktop\UserData\x00354265\imagefiles\0D26594B-37A5-4078-8A03-E5C389AAB3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00354265\AppData\Roaming\eSpace_Desktop\UserData\x00354265\imagefiles\0D26594B-37A5-4078-8A03-E5C389AAB33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7801" cy="2447306"/>
                    </a:xfrm>
                    <a:prstGeom prst="rect">
                      <a:avLst/>
                    </a:prstGeom>
                    <a:noFill/>
                    <a:ln>
                      <a:noFill/>
                    </a:ln>
                  </pic:spPr>
                </pic:pic>
              </a:graphicData>
            </a:graphic>
          </wp:inline>
        </w:drawing>
      </w:r>
    </w:p>
    <w:p w:rsidR="000138E5" w:rsidRPr="00577F84" w:rsidRDefault="000138E5" w:rsidP="004E7E19">
      <w:pPr>
        <w:rPr>
          <w:b/>
          <w:color w:val="BFBFBF" w:themeColor="background1" w:themeShade="BF"/>
          <w:highlight w:val="yellow"/>
        </w:rPr>
      </w:pPr>
    </w:p>
    <w:tbl>
      <w:tblPr>
        <w:tblStyle w:val="ac"/>
        <w:tblW w:w="0" w:type="auto"/>
        <w:tblInd w:w="0" w:type="dxa"/>
        <w:tblLook w:val="04A0" w:firstRow="1" w:lastRow="0" w:firstColumn="1" w:lastColumn="0" w:noHBand="0" w:noVBand="1"/>
      </w:tblPr>
      <w:tblGrid>
        <w:gridCol w:w="9629"/>
      </w:tblGrid>
      <w:tr w:rsidR="00577F84" w:rsidRPr="00577F84" w:rsidTr="000138E5">
        <w:tc>
          <w:tcPr>
            <w:tcW w:w="9629" w:type="dxa"/>
          </w:tcPr>
          <w:p w:rsidR="000138E5" w:rsidRPr="00577F84" w:rsidRDefault="000138E5" w:rsidP="000138E5">
            <w:pPr>
              <w:rPr>
                <w:b/>
                <w:color w:val="BFBFBF" w:themeColor="background1" w:themeShade="BF"/>
                <w:highlight w:val="yellow"/>
              </w:rPr>
            </w:pPr>
            <w:r w:rsidRPr="00577F84">
              <w:rPr>
                <w:b/>
                <w:color w:val="BFBFBF" w:themeColor="background1" w:themeShade="BF"/>
                <w:highlight w:val="yellow"/>
              </w:rPr>
              <w:t xml:space="preserve">Offline agreement: </w:t>
            </w:r>
            <w:r w:rsidRPr="00577F84">
              <w:rPr>
                <w:rFonts w:hint="eastAsia"/>
                <w:b/>
                <w:color w:val="BFBFBF" w:themeColor="background1" w:themeShade="BF"/>
                <w:highlight w:val="yellow"/>
              </w:rPr>
              <w:t>O</w:t>
            </w:r>
            <w:r w:rsidRPr="00577F84">
              <w:rPr>
                <w:b/>
                <w:color w:val="BFBFBF" w:themeColor="background1" w:themeShade="BF"/>
                <w:highlight w:val="yellow"/>
              </w:rPr>
              <w:t xml:space="preserve">ption 1 is supported for non-NPN case (NPN will be discussed later). </w:t>
            </w:r>
          </w:p>
          <w:p w:rsidR="000138E5" w:rsidRPr="00577F84" w:rsidRDefault="000138E5" w:rsidP="000138E5">
            <w:pPr>
              <w:rPr>
                <w:b/>
                <w:color w:val="BFBFBF" w:themeColor="background1" w:themeShade="BF"/>
                <w:highlight w:val="yellow"/>
              </w:rPr>
            </w:pPr>
            <w:r w:rsidRPr="00577F84">
              <w:rPr>
                <w:b/>
                <w:color w:val="BFBFBF" w:themeColor="background1" w:themeShade="BF"/>
                <w:highlight w:val="yellow"/>
              </w:rPr>
              <w:t xml:space="preserve">The </w:t>
            </w:r>
            <w:proofErr w:type="spellStart"/>
            <w:r w:rsidRPr="00577F84">
              <w:rPr>
                <w:b/>
                <w:color w:val="BFBFBF" w:themeColor="background1" w:themeShade="BF"/>
                <w:highlight w:val="yellow"/>
              </w:rPr>
              <w:t>plmn</w:t>
            </w:r>
            <w:proofErr w:type="spellEnd"/>
            <w:r w:rsidRPr="00577F84">
              <w:rPr>
                <w:b/>
                <w:color w:val="BFBFBF" w:themeColor="background1" w:themeShade="BF"/>
                <w:highlight w:val="yellow"/>
              </w:rPr>
              <w:t xml:space="preserve">-index can be used for multicast MRB configuration (this doesn’t preclude using explicit PLMN ID), and the UE translates and maintains the explicit PLMN ID when receiving the multicast MRB configuration with </w:t>
            </w:r>
            <w:proofErr w:type="spellStart"/>
            <w:r w:rsidRPr="00577F84">
              <w:rPr>
                <w:b/>
                <w:color w:val="BFBFBF" w:themeColor="background1" w:themeShade="BF"/>
                <w:highlight w:val="yellow"/>
              </w:rPr>
              <w:t>plmn</w:t>
            </w:r>
            <w:proofErr w:type="spellEnd"/>
            <w:r w:rsidRPr="00577F84">
              <w:rPr>
                <w:b/>
                <w:color w:val="BFBFBF" w:themeColor="background1" w:themeShade="BF"/>
                <w:highlight w:val="yellow"/>
              </w:rPr>
              <w:t xml:space="preserve">-index based on the PLMN list in SIB1. </w:t>
            </w:r>
          </w:p>
          <w:p w:rsidR="000138E5" w:rsidRPr="00577F84" w:rsidRDefault="000138E5" w:rsidP="000138E5">
            <w:pPr>
              <w:rPr>
                <w:b/>
                <w:color w:val="BFBFBF" w:themeColor="background1" w:themeShade="BF"/>
                <w:highlight w:val="yellow"/>
              </w:rPr>
            </w:pPr>
            <w:r w:rsidRPr="00577F84">
              <w:rPr>
                <w:b/>
                <w:color w:val="BFBFBF" w:themeColor="background1" w:themeShade="BF"/>
                <w:highlight w:val="yellow"/>
              </w:rPr>
              <w:t xml:space="preserve">Upon and after handover, if the target doesn’t indicate TMGI in the multicast MRB configuration, the UE continue using the maintained PLMN ID. </w:t>
            </w:r>
          </w:p>
          <w:p w:rsidR="000138E5" w:rsidRPr="00577F84" w:rsidRDefault="000138E5" w:rsidP="000138E5">
            <w:pPr>
              <w:rPr>
                <w:b/>
                <w:color w:val="BFBFBF" w:themeColor="background1" w:themeShade="BF"/>
                <w:highlight w:val="yellow"/>
              </w:rPr>
            </w:pPr>
            <w:r w:rsidRPr="00577F84">
              <w:rPr>
                <w:b/>
                <w:color w:val="BFBFBF" w:themeColor="background1" w:themeShade="BF"/>
                <w:highlight w:val="yellow"/>
              </w:rPr>
              <w:t xml:space="preserve">Upon and after handover, if the target indicates the TMGI with </w:t>
            </w:r>
            <w:proofErr w:type="spellStart"/>
            <w:r w:rsidRPr="00577F84">
              <w:rPr>
                <w:b/>
                <w:color w:val="BFBFBF" w:themeColor="background1" w:themeShade="BF"/>
                <w:highlight w:val="yellow"/>
              </w:rPr>
              <w:t>plmn</w:t>
            </w:r>
            <w:proofErr w:type="spellEnd"/>
            <w:r w:rsidRPr="00577F84">
              <w:rPr>
                <w:b/>
                <w:color w:val="BFBFBF" w:themeColor="background1" w:themeShade="BF"/>
                <w:highlight w:val="yellow"/>
              </w:rPr>
              <w:t xml:space="preserve">-index in the multicast MRB configuration, the UE will translate the </w:t>
            </w:r>
            <w:proofErr w:type="spellStart"/>
            <w:r w:rsidRPr="00577F84">
              <w:rPr>
                <w:b/>
                <w:color w:val="BFBFBF" w:themeColor="background1" w:themeShade="BF"/>
                <w:highlight w:val="yellow"/>
              </w:rPr>
              <w:t>plmn</w:t>
            </w:r>
            <w:proofErr w:type="spellEnd"/>
            <w:r w:rsidRPr="00577F84">
              <w:rPr>
                <w:b/>
                <w:color w:val="BFBFBF" w:themeColor="background1" w:themeShade="BF"/>
                <w:highlight w:val="yellow"/>
              </w:rPr>
              <w:t xml:space="preserve">-index to the explicit PLMN ID based on the PLMN list in the target cell SIB1, and maintains the explicit PLMN ID. </w:t>
            </w:r>
          </w:p>
          <w:p w:rsidR="000138E5" w:rsidRPr="00577F84" w:rsidRDefault="000138E5" w:rsidP="000138E5">
            <w:pPr>
              <w:rPr>
                <w:b/>
                <w:color w:val="BFBFBF" w:themeColor="background1" w:themeShade="BF"/>
              </w:rPr>
            </w:pPr>
            <w:r w:rsidRPr="00577F84">
              <w:rPr>
                <w:b/>
                <w:color w:val="BFBFBF" w:themeColor="background1" w:themeShade="BF"/>
                <w:highlight w:val="yellow"/>
              </w:rPr>
              <w:t xml:space="preserve">The source will translate the </w:t>
            </w:r>
            <w:proofErr w:type="spellStart"/>
            <w:r w:rsidRPr="00577F84">
              <w:rPr>
                <w:b/>
                <w:color w:val="BFBFBF" w:themeColor="background1" w:themeShade="BF"/>
                <w:highlight w:val="yellow"/>
              </w:rPr>
              <w:t>plmn</w:t>
            </w:r>
            <w:proofErr w:type="spellEnd"/>
            <w:r w:rsidRPr="00577F84">
              <w:rPr>
                <w:b/>
                <w:color w:val="BFBFBF" w:themeColor="background1" w:themeShade="BF"/>
                <w:highlight w:val="yellow"/>
              </w:rPr>
              <w:t>-index to the explicit PLMN ID and will transfer multicast MRB configuration with the explicit PLMN ID to the target in the inter-node message.</w:t>
            </w:r>
            <w:r w:rsidRPr="00577F84">
              <w:rPr>
                <w:b/>
                <w:color w:val="BFBFBF" w:themeColor="background1" w:themeShade="BF"/>
              </w:rPr>
              <w:t xml:space="preserve"> </w:t>
            </w:r>
          </w:p>
          <w:p w:rsidR="000138E5" w:rsidRPr="00577F84" w:rsidRDefault="000138E5" w:rsidP="004E7E19">
            <w:pPr>
              <w:rPr>
                <w:b/>
                <w:color w:val="BFBFBF" w:themeColor="background1" w:themeShade="BF"/>
                <w:highlight w:val="yellow"/>
              </w:rPr>
            </w:pPr>
          </w:p>
        </w:tc>
      </w:tr>
    </w:tbl>
    <w:p w:rsidR="008D6AF3" w:rsidRPr="00577F84" w:rsidRDefault="008D6AF3" w:rsidP="008D6AF3">
      <w:pPr>
        <w:rPr>
          <w:b/>
          <w:color w:val="BFBFBF" w:themeColor="background1" w:themeShade="BF"/>
        </w:rPr>
      </w:pPr>
      <w:r w:rsidRPr="00577F84">
        <w:rPr>
          <w:b/>
          <w:color w:val="BFBFBF" w:themeColor="background1" w:themeShade="BF"/>
        </w:rPr>
        <w:t>.</w:t>
      </w:r>
    </w:p>
    <w:p w:rsidR="000138E5" w:rsidRDefault="000138E5" w:rsidP="000138E5">
      <w:pPr>
        <w:pStyle w:val="1"/>
        <w:numPr>
          <w:ilvl w:val="0"/>
          <w:numId w:val="12"/>
        </w:numPr>
        <w:overflowPunct w:val="0"/>
        <w:autoSpaceDE w:val="0"/>
        <w:autoSpaceDN w:val="0"/>
        <w:adjustRightInd w:val="0"/>
      </w:pPr>
      <w:r>
        <w:t>MBS support in NPN</w:t>
      </w:r>
    </w:p>
    <w:p w:rsidR="000138E5" w:rsidRPr="00BF77A1" w:rsidRDefault="000138E5" w:rsidP="000138E5">
      <w:pPr>
        <w:outlineLvl w:val="1"/>
        <w:rPr>
          <w:sz w:val="28"/>
        </w:rPr>
      </w:pPr>
      <w:r w:rsidRPr="00BF77A1">
        <w:rPr>
          <w:sz w:val="28"/>
        </w:rPr>
        <w:t>2.1 MBS support in PNI-NPN</w:t>
      </w:r>
    </w:p>
    <w:p w:rsidR="000138E5" w:rsidRDefault="000138E5" w:rsidP="000138E5">
      <w:pPr>
        <w:rPr>
          <w:rFonts w:eastAsia="等线"/>
        </w:rPr>
      </w:pPr>
      <w:r>
        <w:t>According to SA2 spec (TS</w:t>
      </w:r>
      <w:r w:rsidR="00836992">
        <w:t xml:space="preserve"> </w:t>
      </w:r>
      <w:r>
        <w:t xml:space="preserve">23.247), the MBS session is uniquely identified by the TMGI and NID (in case of SNPN): </w:t>
      </w:r>
    </w:p>
    <w:tbl>
      <w:tblPr>
        <w:tblStyle w:val="ac"/>
        <w:tblW w:w="0" w:type="dxa"/>
        <w:tblInd w:w="0" w:type="dxa"/>
        <w:shd w:val="pct5" w:color="auto" w:fill="auto"/>
        <w:tblLayout w:type="fixed"/>
        <w:tblLook w:val="04A0" w:firstRow="1" w:lastRow="0" w:firstColumn="1" w:lastColumn="0" w:noHBand="0" w:noVBand="1"/>
      </w:tblPr>
      <w:tblGrid>
        <w:gridCol w:w="9628"/>
      </w:tblGrid>
      <w:tr w:rsidR="000138E5" w:rsidTr="00DE6010">
        <w:trPr>
          <w:trHeight w:val="777"/>
        </w:trPr>
        <w:tc>
          <w:tcPr>
            <w:tcW w:w="9628" w:type="dxa"/>
            <w:tcBorders>
              <w:top w:val="single" w:sz="4" w:space="0" w:color="auto"/>
              <w:left w:val="single" w:sz="4" w:space="0" w:color="auto"/>
              <w:bottom w:val="single" w:sz="4" w:space="0" w:color="auto"/>
              <w:right w:val="single" w:sz="4" w:space="0" w:color="auto"/>
            </w:tcBorders>
            <w:shd w:val="pct5" w:color="auto" w:fill="auto"/>
            <w:hideMark/>
          </w:tcPr>
          <w:p w:rsidR="000138E5" w:rsidRDefault="000138E5" w:rsidP="00DE6010">
            <w:pPr>
              <w:pStyle w:val="3"/>
              <w:outlineLvl w:val="2"/>
            </w:pPr>
            <w:bookmarkStart w:id="0" w:name="_Toc122416752"/>
            <w:bookmarkStart w:id="1" w:name="_Toc70079043"/>
            <w:bookmarkStart w:id="2" w:name="_Toc66391751"/>
            <w:bookmarkStart w:id="3" w:name="_Toc70929988"/>
            <w:r>
              <w:t>6.5.2</w:t>
            </w:r>
            <w:r>
              <w:tab/>
              <w:t>Temporary Mobile Group Identity</w:t>
            </w:r>
            <w:bookmarkEnd w:id="0"/>
            <w:bookmarkEnd w:id="1"/>
            <w:bookmarkEnd w:id="2"/>
            <w:bookmarkEnd w:id="3"/>
          </w:p>
          <w:p w:rsidR="000138E5" w:rsidRDefault="000138E5" w:rsidP="00DE6010">
            <w:pPr>
              <w:rPr>
                <w:rFonts w:eastAsia="等线"/>
              </w:rPr>
            </w:pPr>
            <w:r>
              <w:rPr>
                <w:rFonts w:eastAsia="等线"/>
              </w:rPr>
              <w:t>TMGI (Temporary Mobile Group Identity) is defined in TS 23.003 [12] and is used to be able to identify a broadcast MBS Session or a multicast MBS session.</w:t>
            </w:r>
          </w:p>
          <w:p w:rsidR="000138E5" w:rsidRDefault="000138E5" w:rsidP="00DE6010">
            <w:pPr>
              <w:rPr>
                <w:rFonts w:eastAsia="等线"/>
              </w:rPr>
            </w:pPr>
            <w:r>
              <w:rPr>
                <w:rFonts w:eastAsia="等线"/>
                <w:highlight w:val="yellow"/>
              </w:rPr>
              <w:t>In SNPN (Stand-alone Non-Public Network), TMGI is used together with NID (Network Identifier) defined in TS 23.003 [12] to identify an MBS Session.</w:t>
            </w:r>
          </w:p>
        </w:tc>
      </w:tr>
    </w:tbl>
    <w:p w:rsidR="000138E5" w:rsidRDefault="000138E5" w:rsidP="000138E5">
      <w:pPr>
        <w:spacing w:before="180"/>
        <w:rPr>
          <w:sz w:val="22"/>
        </w:rPr>
      </w:pPr>
      <w:r>
        <w:rPr>
          <w:rFonts w:eastAsia="等线"/>
        </w:rPr>
        <w:t xml:space="preserve">We can see that there is no mentioning of using CAG ID to identify the MBS session ID. Therefore, from the MBS supporting perspective, PNI-NPN should be similar with the public network, and in such case, the CAG allowed UEs can naturally receive the MBS multicast in the CAG cell. </w:t>
      </w:r>
    </w:p>
    <w:p w:rsidR="000138E5" w:rsidRDefault="000138E5" w:rsidP="000138E5">
      <w:pPr>
        <w:rPr>
          <w:b/>
        </w:rPr>
      </w:pPr>
      <w:r>
        <w:rPr>
          <w:b/>
        </w:rPr>
        <w:t>Proposal 1: MBS can be supported in PNI-NPN (i.e., CAG cells) without extra spec effort.</w:t>
      </w:r>
    </w:p>
    <w:p w:rsidR="000138E5" w:rsidRDefault="000138E5" w:rsidP="000138E5">
      <w:pPr>
        <w:rPr>
          <w:b/>
        </w:rPr>
      </w:pPr>
    </w:p>
    <w:p w:rsidR="000138E5" w:rsidRDefault="000138E5" w:rsidP="000138E5">
      <w:pPr>
        <w:rPr>
          <w:b/>
        </w:rPr>
      </w:pPr>
    </w:p>
    <w:p w:rsidR="000138E5" w:rsidRDefault="000138E5" w:rsidP="000138E5">
      <w:pPr>
        <w:outlineLvl w:val="1"/>
        <w:rPr>
          <w:sz w:val="28"/>
        </w:rPr>
      </w:pPr>
      <w:r w:rsidRPr="00BF77A1">
        <w:rPr>
          <w:sz w:val="28"/>
        </w:rPr>
        <w:t>2.</w:t>
      </w:r>
      <w:r>
        <w:rPr>
          <w:sz w:val="28"/>
        </w:rPr>
        <w:t>2</w:t>
      </w:r>
      <w:r w:rsidRPr="00BF77A1">
        <w:rPr>
          <w:sz w:val="28"/>
        </w:rPr>
        <w:t xml:space="preserve"> MBS support in </w:t>
      </w:r>
      <w:r>
        <w:rPr>
          <w:sz w:val="28"/>
        </w:rPr>
        <w:t>SNPN</w:t>
      </w:r>
    </w:p>
    <w:p w:rsidR="000138E5" w:rsidRDefault="000138E5" w:rsidP="000138E5">
      <w:pPr>
        <w:pStyle w:val="3"/>
      </w:pPr>
      <w:r>
        <w:t>2.2.1 MBS Broadcast</w:t>
      </w:r>
    </w:p>
    <w:p w:rsidR="000138E5" w:rsidRDefault="000138E5" w:rsidP="000138E5">
      <w:pPr>
        <w:outlineLvl w:val="1"/>
        <w:rPr>
          <w:sz w:val="28"/>
        </w:rPr>
      </w:pPr>
      <w:r>
        <w:rPr>
          <w:sz w:val="28"/>
        </w:rPr>
        <w:t xml:space="preserve">Q0: should </w:t>
      </w:r>
      <w:r w:rsidR="004509A0">
        <w:rPr>
          <w:sz w:val="28"/>
        </w:rPr>
        <w:t xml:space="preserve">MBS broadcast reception on </w:t>
      </w:r>
      <w:r>
        <w:rPr>
          <w:sz w:val="28"/>
        </w:rPr>
        <w:t>non-serving SNPN be supported?</w:t>
      </w:r>
    </w:p>
    <w:p w:rsidR="000138E5" w:rsidRPr="000400BC" w:rsidRDefault="000138E5" w:rsidP="000138E5">
      <w:pPr>
        <w:rPr>
          <w:b/>
        </w:rPr>
      </w:pPr>
      <w:r w:rsidRPr="000400BC">
        <w:rPr>
          <w:rFonts w:hint="eastAsia"/>
          <w:b/>
          <w:lang w:eastAsia="zh-CN"/>
        </w:rPr>
        <w:t>O</w:t>
      </w:r>
      <w:r w:rsidRPr="000400BC">
        <w:rPr>
          <w:b/>
          <w:lang w:eastAsia="zh-CN"/>
        </w:rPr>
        <w:t>ption 1</w:t>
      </w:r>
      <w:r w:rsidR="000400BC" w:rsidRPr="000400BC">
        <w:rPr>
          <w:b/>
          <w:lang w:eastAsia="zh-CN"/>
        </w:rPr>
        <w:t xml:space="preserve">: </w:t>
      </w:r>
      <w:r w:rsidR="000400BC">
        <w:rPr>
          <w:b/>
          <w:lang w:eastAsia="zh-CN"/>
        </w:rPr>
        <w:t>N</w:t>
      </w:r>
      <w:r w:rsidRPr="000400BC">
        <w:rPr>
          <w:b/>
          <w:lang w:eastAsia="zh-CN"/>
        </w:rPr>
        <w:t xml:space="preserve">o support of </w:t>
      </w:r>
      <w:r w:rsidR="000400BC" w:rsidRPr="000400BC">
        <w:rPr>
          <w:b/>
          <w:lang w:eastAsia="zh-CN"/>
        </w:rPr>
        <w:t xml:space="preserve">MBS broadcast reception on any </w:t>
      </w:r>
      <w:r w:rsidRPr="000400BC">
        <w:rPr>
          <w:b/>
          <w:lang w:eastAsia="zh-CN"/>
        </w:rPr>
        <w:t>non-serving SNPN</w:t>
      </w:r>
      <w:r w:rsidR="00C97F36">
        <w:rPr>
          <w:b/>
          <w:lang w:eastAsia="zh-CN"/>
        </w:rPr>
        <w:t xml:space="preserve"> in Rel-17</w:t>
      </w:r>
      <w:r w:rsidR="000400BC" w:rsidRPr="000400BC">
        <w:rPr>
          <w:b/>
        </w:rPr>
        <w:t>.</w:t>
      </w:r>
    </w:p>
    <w:p w:rsidR="000400BC" w:rsidRPr="000400BC" w:rsidRDefault="000400BC" w:rsidP="000138E5">
      <w:pPr>
        <w:rPr>
          <w:b/>
        </w:rPr>
      </w:pPr>
      <w:r w:rsidRPr="000400BC">
        <w:rPr>
          <w:b/>
        </w:rPr>
        <w:t xml:space="preserve">Option 2: </w:t>
      </w:r>
      <w:r>
        <w:rPr>
          <w:b/>
          <w:lang w:eastAsia="zh-CN"/>
        </w:rPr>
        <w:t>S</w:t>
      </w:r>
      <w:r w:rsidRPr="000400BC">
        <w:rPr>
          <w:b/>
          <w:lang w:eastAsia="zh-CN"/>
        </w:rPr>
        <w:t>upport of MBS broadcast reception on non-serving SNPN</w:t>
      </w:r>
      <w:r>
        <w:rPr>
          <w:b/>
          <w:lang w:eastAsia="zh-CN"/>
        </w:rPr>
        <w:t>s in</w:t>
      </w:r>
      <w:r w:rsidR="00ED2A90">
        <w:rPr>
          <w:b/>
          <w:lang w:eastAsia="zh-CN"/>
        </w:rPr>
        <w:t xml:space="preserve"> the NPN list broadcast in SIB1</w:t>
      </w:r>
      <w:r w:rsidR="00C97F36">
        <w:rPr>
          <w:b/>
          <w:lang w:eastAsia="zh-CN"/>
        </w:rPr>
        <w:t xml:space="preserve"> in Rel-17</w:t>
      </w:r>
      <w:r w:rsidR="00ED2A90">
        <w:rPr>
          <w:b/>
          <w:lang w:eastAsia="zh-CN"/>
        </w:rPr>
        <w:t>.</w:t>
      </w:r>
    </w:p>
    <w:p w:rsidR="000138E5" w:rsidRPr="00133702" w:rsidRDefault="00133702" w:rsidP="000138E5">
      <w:pPr>
        <w:rPr>
          <w:rFonts w:hint="eastAsia"/>
          <w:color w:val="5B9BD5" w:themeColor="accent1"/>
          <w:lang w:eastAsia="zh-CN"/>
        </w:rPr>
      </w:pPr>
      <w:r w:rsidRPr="00133702">
        <w:rPr>
          <w:rFonts w:hint="eastAsia"/>
          <w:color w:val="5B9BD5" w:themeColor="accent1"/>
          <w:lang w:eastAsia="zh-CN"/>
        </w:rPr>
        <w:t>CATT:</w:t>
      </w:r>
    </w:p>
    <w:p w:rsidR="00133702" w:rsidRPr="00133702" w:rsidRDefault="00133702" w:rsidP="000138E5">
      <w:pPr>
        <w:rPr>
          <w:rFonts w:hint="eastAsia"/>
          <w:color w:val="5B9BD5" w:themeColor="accent1"/>
          <w:lang w:eastAsia="zh-CN"/>
        </w:rPr>
      </w:pPr>
      <w:r w:rsidRPr="00133702">
        <w:rPr>
          <w:rFonts w:hint="eastAsia"/>
          <w:color w:val="5B9BD5" w:themeColor="accent1"/>
          <w:lang w:eastAsia="zh-CN"/>
        </w:rPr>
        <w:t xml:space="preserve">Option 2,we understand current spec already support </w:t>
      </w:r>
      <w:r w:rsidRPr="00133702">
        <w:rPr>
          <w:color w:val="5B9BD5" w:themeColor="accent1"/>
          <w:lang w:eastAsia="zh-CN"/>
        </w:rPr>
        <w:t>MBS broadcast reception on non-serving SNPNs in the NPN list broadcast in SIB1 in Rel-17.</w:t>
      </w:r>
      <w:r w:rsidRPr="00133702">
        <w:rPr>
          <w:rFonts w:hint="eastAsia"/>
          <w:color w:val="5B9BD5" w:themeColor="accent1"/>
          <w:lang w:eastAsia="zh-CN"/>
        </w:rPr>
        <w:t xml:space="preserve"> If broadcast service is provided on </w:t>
      </w:r>
      <w:r w:rsidRPr="00133702">
        <w:rPr>
          <w:color w:val="5B9BD5" w:themeColor="accent1"/>
          <w:lang w:eastAsia="zh-CN"/>
        </w:rPr>
        <w:t>non-serving SNPNs in the NPN list broadcast in SIB1</w:t>
      </w:r>
      <w:r w:rsidRPr="00133702">
        <w:rPr>
          <w:rFonts w:hint="eastAsia"/>
          <w:color w:val="5B9BD5" w:themeColor="accent1"/>
          <w:lang w:eastAsia="zh-CN"/>
        </w:rPr>
        <w:t>,It seems nothing prevent UE to receive it.</w:t>
      </w:r>
    </w:p>
    <w:p w:rsidR="00133702" w:rsidRPr="000400BC" w:rsidRDefault="00133702" w:rsidP="000138E5">
      <w:pPr>
        <w:rPr>
          <w:lang w:eastAsia="zh-CN"/>
        </w:rPr>
      </w:pPr>
    </w:p>
    <w:p w:rsidR="000138E5" w:rsidRPr="00652FB2" w:rsidRDefault="000138E5" w:rsidP="000138E5">
      <w:pPr>
        <w:outlineLvl w:val="1"/>
        <w:rPr>
          <w:sz w:val="28"/>
        </w:rPr>
      </w:pPr>
      <w:r>
        <w:rPr>
          <w:sz w:val="28"/>
        </w:rPr>
        <w:t xml:space="preserve">Q1: when </w:t>
      </w:r>
      <w:proofErr w:type="spellStart"/>
      <w:r>
        <w:rPr>
          <w:sz w:val="28"/>
        </w:rPr>
        <w:t>plmn</w:t>
      </w:r>
      <w:proofErr w:type="spellEnd"/>
      <w:r>
        <w:rPr>
          <w:sz w:val="28"/>
        </w:rPr>
        <w:t xml:space="preserve">-index is indicated in MII, should the </w:t>
      </w:r>
      <w:proofErr w:type="spellStart"/>
      <w:r>
        <w:rPr>
          <w:sz w:val="28"/>
        </w:rPr>
        <w:t>plmn</w:t>
      </w:r>
      <w:proofErr w:type="spellEnd"/>
      <w:r>
        <w:rPr>
          <w:sz w:val="28"/>
        </w:rPr>
        <w:t xml:space="preserve">-index be mapped to </w:t>
      </w:r>
      <w:proofErr w:type="gramStart"/>
      <w:r>
        <w:rPr>
          <w:sz w:val="28"/>
        </w:rPr>
        <w:t>PLMN ID only, or to (PLMN ID+NID)?</w:t>
      </w:r>
      <w:proofErr w:type="gramEnd"/>
    </w:p>
    <w:p w:rsidR="000138E5" w:rsidRPr="0047570D" w:rsidRDefault="000138E5" w:rsidP="000138E5">
      <w:r w:rsidRPr="0047570D">
        <w:rPr>
          <w:rFonts w:hint="eastAsia"/>
          <w:b/>
          <w:lang w:eastAsia="zh-CN"/>
        </w:rPr>
        <w:t>O</w:t>
      </w:r>
      <w:r w:rsidRPr="0047570D">
        <w:rPr>
          <w:b/>
          <w:lang w:eastAsia="zh-CN"/>
        </w:rPr>
        <w:t>ption 1 (no support of non-serving SNPN MBS broadcast reception)</w:t>
      </w:r>
      <w:r w:rsidRPr="0047570D">
        <w:rPr>
          <w:lang w:eastAsia="zh-CN"/>
        </w:rPr>
        <w:t xml:space="preserve">: </w:t>
      </w:r>
      <w:proofErr w:type="spellStart"/>
      <w:r w:rsidRPr="0047570D">
        <w:rPr>
          <w:lang w:eastAsia="zh-CN"/>
        </w:rPr>
        <w:t>plmn</w:t>
      </w:r>
      <w:proofErr w:type="spellEnd"/>
      <w:r w:rsidRPr="0047570D">
        <w:rPr>
          <w:lang w:eastAsia="zh-CN"/>
        </w:rPr>
        <w:t>-index in MII</w:t>
      </w:r>
      <w:r w:rsidRPr="0047570D">
        <w:rPr>
          <w:rFonts w:hint="eastAsia"/>
          <w:lang w:eastAsia="zh-CN"/>
        </w:rPr>
        <w:t xml:space="preserve"> </w:t>
      </w:r>
      <w:r w:rsidRPr="0047570D">
        <w:rPr>
          <w:lang w:eastAsia="zh-CN"/>
        </w:rPr>
        <w:t>is translated into PLMN ID</w:t>
      </w:r>
      <w:r w:rsidRPr="0047570D">
        <w:rPr>
          <w:rFonts w:hint="eastAsia"/>
          <w:lang w:eastAsia="zh-CN"/>
        </w:rPr>
        <w:t xml:space="preserve"> </w:t>
      </w:r>
      <w:r w:rsidRPr="0047570D">
        <w:rPr>
          <w:lang w:eastAsia="zh-CN"/>
        </w:rPr>
        <w:t xml:space="preserve">only, and in inter-node message </w:t>
      </w:r>
      <w:r w:rsidRPr="0047570D">
        <w:rPr>
          <w:i/>
        </w:rPr>
        <w:t>serving NID</w:t>
      </w:r>
      <w:r w:rsidRPr="0047570D">
        <w:t xml:space="preserve"> in the </w:t>
      </w:r>
      <w:r w:rsidRPr="0047570D">
        <w:rPr>
          <w:i/>
        </w:rPr>
        <w:t>NPN mobility information</w:t>
      </w:r>
      <w:r w:rsidRPr="0047570D">
        <w:t xml:space="preserve"> is used to indicate the NID.</w:t>
      </w:r>
    </w:p>
    <w:p w:rsidR="000138E5" w:rsidRPr="0047570D" w:rsidRDefault="000138E5" w:rsidP="000138E5">
      <w:pPr>
        <w:rPr>
          <w:lang w:eastAsia="zh-CN"/>
        </w:rPr>
      </w:pPr>
      <w:r w:rsidRPr="0047570D">
        <w:rPr>
          <w:b/>
        </w:rPr>
        <w:t xml:space="preserve">Option 2 </w:t>
      </w:r>
      <w:r w:rsidRPr="0047570D">
        <w:rPr>
          <w:b/>
          <w:lang w:eastAsia="zh-CN"/>
        </w:rPr>
        <w:t>(support of non-serving SNPN MBS broadcast reception)</w:t>
      </w:r>
      <w:r w:rsidRPr="0047570D">
        <w:t xml:space="preserve">: </w:t>
      </w:r>
      <w:proofErr w:type="spellStart"/>
      <w:r w:rsidRPr="0047570D">
        <w:rPr>
          <w:lang w:eastAsia="zh-CN"/>
        </w:rPr>
        <w:t>plmn</w:t>
      </w:r>
      <w:proofErr w:type="spellEnd"/>
      <w:r w:rsidRPr="0047570D">
        <w:rPr>
          <w:lang w:eastAsia="zh-CN"/>
        </w:rPr>
        <w:t>-index in MII</w:t>
      </w:r>
      <w:r w:rsidRPr="0047570D">
        <w:rPr>
          <w:rFonts w:hint="eastAsia"/>
          <w:lang w:eastAsia="zh-CN"/>
        </w:rPr>
        <w:t xml:space="preserve"> </w:t>
      </w:r>
      <w:r w:rsidRPr="0047570D">
        <w:rPr>
          <w:lang w:eastAsia="zh-CN"/>
        </w:rPr>
        <w:t xml:space="preserve">is </w:t>
      </w:r>
      <w:r w:rsidR="008518C2" w:rsidRPr="0047570D">
        <w:rPr>
          <w:lang w:eastAsia="zh-CN"/>
        </w:rPr>
        <w:t>mapped</w:t>
      </w:r>
      <w:r w:rsidRPr="0047570D">
        <w:rPr>
          <w:lang w:eastAsia="zh-CN"/>
        </w:rPr>
        <w:t xml:space="preserve"> into (PLMN ID+NID)</w:t>
      </w:r>
      <w:r w:rsidR="008518C2" w:rsidRPr="0047570D">
        <w:rPr>
          <w:lang w:eastAsia="zh-CN"/>
        </w:rPr>
        <w:t>, and in inter-node message</w:t>
      </w:r>
      <w:r w:rsidRPr="0047570D">
        <w:rPr>
          <w:lang w:eastAsia="zh-CN"/>
        </w:rPr>
        <w:t xml:space="preserve"> additional NID is introduced.</w:t>
      </w:r>
    </w:p>
    <w:p w:rsidR="00133702" w:rsidRPr="00133702" w:rsidRDefault="00133702" w:rsidP="00133702">
      <w:pPr>
        <w:rPr>
          <w:rFonts w:hint="eastAsia"/>
          <w:color w:val="5B9BD5" w:themeColor="accent1"/>
          <w:lang w:eastAsia="zh-CN"/>
        </w:rPr>
      </w:pPr>
      <w:r w:rsidRPr="00133702">
        <w:rPr>
          <w:rFonts w:hint="eastAsia"/>
          <w:color w:val="5B9BD5" w:themeColor="accent1"/>
          <w:lang w:eastAsia="zh-CN"/>
        </w:rPr>
        <w:t>CATT:</w:t>
      </w:r>
    </w:p>
    <w:p w:rsidR="000138E5" w:rsidRPr="0047570D" w:rsidRDefault="00133702" w:rsidP="00133702">
      <w:pPr>
        <w:rPr>
          <w:lang w:eastAsia="zh-CN"/>
        </w:rPr>
      </w:pPr>
      <w:r w:rsidRPr="00133702">
        <w:rPr>
          <w:rFonts w:hint="eastAsia"/>
          <w:color w:val="5B9BD5" w:themeColor="accent1"/>
          <w:lang w:eastAsia="zh-CN"/>
        </w:rPr>
        <w:t>Option 2,</w:t>
      </w:r>
      <w:r w:rsidR="00E34272">
        <w:rPr>
          <w:rFonts w:hint="eastAsia"/>
          <w:color w:val="5B9BD5" w:themeColor="accent1"/>
          <w:lang w:eastAsia="zh-CN"/>
        </w:rPr>
        <w:t xml:space="preserve"> </w:t>
      </w:r>
      <w:r>
        <w:rPr>
          <w:rFonts w:hint="eastAsia"/>
          <w:color w:val="5B9BD5" w:themeColor="accent1"/>
          <w:lang w:eastAsia="zh-CN"/>
        </w:rPr>
        <w:t xml:space="preserve">option 2 is necessary according to </w:t>
      </w:r>
      <w:r w:rsidR="00B54C7A">
        <w:rPr>
          <w:rFonts w:hint="eastAsia"/>
          <w:color w:val="5B9BD5" w:themeColor="accent1"/>
          <w:lang w:eastAsia="zh-CN"/>
        </w:rPr>
        <w:t>our</w:t>
      </w:r>
      <w:r>
        <w:rPr>
          <w:rFonts w:hint="eastAsia"/>
          <w:color w:val="5B9BD5" w:themeColor="accent1"/>
          <w:lang w:eastAsia="zh-CN"/>
        </w:rPr>
        <w:t xml:space="preserve"> answer to Q0</w:t>
      </w:r>
      <w:r w:rsidR="00B54C7A">
        <w:rPr>
          <w:rFonts w:hint="eastAsia"/>
          <w:color w:val="5B9BD5" w:themeColor="accent1"/>
          <w:lang w:eastAsia="zh-CN"/>
        </w:rPr>
        <w:t>.</w:t>
      </w:r>
    </w:p>
    <w:p w:rsidR="0084054D" w:rsidRDefault="0084054D" w:rsidP="0084054D">
      <w:pPr>
        <w:outlineLvl w:val="1"/>
        <w:rPr>
          <w:rFonts w:hint="eastAsia"/>
          <w:sz w:val="28"/>
          <w:lang w:eastAsia="zh-CN"/>
        </w:rPr>
      </w:pPr>
      <w:r w:rsidRPr="0047570D">
        <w:rPr>
          <w:sz w:val="28"/>
        </w:rPr>
        <w:t>Q2a: Can the explicit PLMN ID be used in MII</w:t>
      </w:r>
      <w:r w:rsidR="0047570D" w:rsidRPr="0047570D">
        <w:rPr>
          <w:sz w:val="28"/>
        </w:rPr>
        <w:t xml:space="preserve"> in case of SNPN</w:t>
      </w:r>
      <w:r w:rsidRPr="0047570D">
        <w:rPr>
          <w:sz w:val="28"/>
        </w:rPr>
        <w:t>?</w:t>
      </w:r>
    </w:p>
    <w:p w:rsidR="002425EF" w:rsidRPr="002425EF" w:rsidRDefault="002425EF" w:rsidP="002425EF">
      <w:pPr>
        <w:rPr>
          <w:rFonts w:hint="eastAsia"/>
          <w:color w:val="5B9BD5" w:themeColor="accent1"/>
          <w:lang w:eastAsia="zh-CN"/>
        </w:rPr>
      </w:pPr>
      <w:r w:rsidRPr="00133702">
        <w:rPr>
          <w:rFonts w:hint="eastAsia"/>
          <w:color w:val="5B9BD5" w:themeColor="accent1"/>
          <w:lang w:eastAsia="zh-CN"/>
        </w:rPr>
        <w:t>CATT:</w:t>
      </w:r>
      <w:r>
        <w:rPr>
          <w:rFonts w:hint="eastAsia"/>
          <w:color w:val="5B9BD5" w:themeColor="accent1"/>
          <w:lang w:eastAsia="zh-CN"/>
        </w:rPr>
        <w:t xml:space="preserve"> </w:t>
      </w:r>
      <w:r>
        <w:rPr>
          <w:rFonts w:hint="eastAsia"/>
          <w:color w:val="5B9BD5" w:themeColor="accent1"/>
          <w:lang w:eastAsia="zh-CN"/>
        </w:rPr>
        <w:t>Yes</w:t>
      </w:r>
    </w:p>
    <w:p w:rsidR="000138E5" w:rsidRPr="0047570D" w:rsidRDefault="000138E5" w:rsidP="000138E5">
      <w:pPr>
        <w:outlineLvl w:val="1"/>
        <w:rPr>
          <w:sz w:val="28"/>
        </w:rPr>
      </w:pPr>
      <w:r w:rsidRPr="0047570D">
        <w:rPr>
          <w:sz w:val="28"/>
        </w:rPr>
        <w:t>Q2</w:t>
      </w:r>
      <w:r w:rsidR="0084054D" w:rsidRPr="0047570D">
        <w:rPr>
          <w:sz w:val="28"/>
        </w:rPr>
        <w:t>b</w:t>
      </w:r>
      <w:r w:rsidRPr="0047570D">
        <w:rPr>
          <w:sz w:val="28"/>
        </w:rPr>
        <w:t xml:space="preserve">: </w:t>
      </w:r>
      <w:r w:rsidR="0084054D" w:rsidRPr="0047570D">
        <w:rPr>
          <w:sz w:val="28"/>
        </w:rPr>
        <w:t>If</w:t>
      </w:r>
      <w:r w:rsidRPr="0047570D">
        <w:rPr>
          <w:sz w:val="28"/>
        </w:rPr>
        <w:t xml:space="preserve"> the explicit PLMN ID is indicated in MII, anything more needed?</w:t>
      </w:r>
    </w:p>
    <w:p w:rsidR="000138E5" w:rsidRPr="0047570D" w:rsidRDefault="000138E5" w:rsidP="000138E5">
      <w:r w:rsidRPr="0047570D">
        <w:rPr>
          <w:rFonts w:hint="eastAsia"/>
          <w:b/>
          <w:lang w:eastAsia="zh-CN"/>
        </w:rPr>
        <w:t>O</w:t>
      </w:r>
      <w:r w:rsidRPr="0047570D">
        <w:rPr>
          <w:b/>
          <w:lang w:eastAsia="zh-CN"/>
        </w:rPr>
        <w:t>ption 1 (no support of non-serving SNPN MBS broadcast reception)</w:t>
      </w:r>
      <w:r w:rsidRPr="0047570D">
        <w:rPr>
          <w:lang w:eastAsia="zh-CN"/>
        </w:rPr>
        <w:t xml:space="preserve">: No more signalling, in inter-node message </w:t>
      </w:r>
      <w:r w:rsidRPr="0047570D">
        <w:rPr>
          <w:i/>
        </w:rPr>
        <w:t>serving NID</w:t>
      </w:r>
      <w:r w:rsidRPr="0047570D">
        <w:t xml:space="preserve"> in the </w:t>
      </w:r>
      <w:r w:rsidRPr="0047570D">
        <w:rPr>
          <w:i/>
        </w:rPr>
        <w:t>NPN mobility information</w:t>
      </w:r>
      <w:r w:rsidRPr="0047570D">
        <w:t xml:space="preserve"> is used to indicate the NID.</w:t>
      </w:r>
    </w:p>
    <w:p w:rsidR="000138E5" w:rsidRDefault="000138E5" w:rsidP="000138E5">
      <w:pPr>
        <w:rPr>
          <w:rFonts w:hint="eastAsia"/>
          <w:lang w:eastAsia="zh-CN"/>
        </w:rPr>
      </w:pPr>
      <w:r w:rsidRPr="0047570D">
        <w:rPr>
          <w:b/>
        </w:rPr>
        <w:t xml:space="preserve">Option 2 </w:t>
      </w:r>
      <w:r w:rsidRPr="0047570D">
        <w:rPr>
          <w:b/>
          <w:lang w:eastAsia="zh-CN"/>
        </w:rPr>
        <w:t>(support of non-serving SNPN MBS broadcast reception)</w:t>
      </w:r>
      <w:r w:rsidRPr="0047570D">
        <w:t xml:space="preserve">: </w:t>
      </w:r>
      <w:r w:rsidR="00C97F36">
        <w:rPr>
          <w:lang w:eastAsia="zh-CN"/>
        </w:rPr>
        <w:t>the</w:t>
      </w:r>
      <w:r w:rsidR="001B01BB">
        <w:rPr>
          <w:lang w:eastAsia="zh-CN"/>
        </w:rPr>
        <w:t xml:space="preserve"> explicit NID is needed in MII which is transmitted on </w:t>
      </w:r>
      <w:proofErr w:type="spellStart"/>
      <w:r w:rsidR="001B01BB">
        <w:rPr>
          <w:lang w:eastAsia="zh-CN"/>
        </w:rPr>
        <w:t>Uu</w:t>
      </w:r>
      <w:proofErr w:type="spellEnd"/>
      <w:r w:rsidR="001B01BB">
        <w:rPr>
          <w:lang w:eastAsia="zh-CN"/>
        </w:rPr>
        <w:t xml:space="preserve"> and inter-node message</w:t>
      </w:r>
      <w:r w:rsidRPr="0047570D">
        <w:rPr>
          <w:lang w:eastAsia="zh-CN"/>
        </w:rPr>
        <w:t>.</w:t>
      </w:r>
    </w:p>
    <w:p w:rsidR="00133702" w:rsidRPr="00133702" w:rsidRDefault="00133702" w:rsidP="000138E5">
      <w:pPr>
        <w:rPr>
          <w:color w:val="5B9BD5" w:themeColor="accent1"/>
          <w:lang w:eastAsia="zh-CN"/>
        </w:rPr>
      </w:pPr>
      <w:r w:rsidRPr="00133702">
        <w:rPr>
          <w:rFonts w:hint="eastAsia"/>
          <w:color w:val="5B9BD5" w:themeColor="accent1"/>
          <w:lang w:eastAsia="zh-CN"/>
        </w:rPr>
        <w:t>CATT:</w:t>
      </w:r>
      <w:r>
        <w:rPr>
          <w:rFonts w:hint="eastAsia"/>
          <w:color w:val="5B9BD5" w:themeColor="accent1"/>
          <w:lang w:eastAsia="zh-CN"/>
        </w:rPr>
        <w:t xml:space="preserve"> </w:t>
      </w:r>
      <w:r w:rsidRPr="00133702">
        <w:rPr>
          <w:rFonts w:hint="eastAsia"/>
          <w:color w:val="5B9BD5" w:themeColor="accent1"/>
          <w:lang w:eastAsia="zh-CN"/>
        </w:rPr>
        <w:t>option 2</w:t>
      </w:r>
    </w:p>
    <w:p w:rsidR="000138E5" w:rsidRDefault="000138E5" w:rsidP="000138E5"/>
    <w:p w:rsidR="000138E5" w:rsidRDefault="000138E5" w:rsidP="000138E5">
      <w:pPr>
        <w:pStyle w:val="3"/>
      </w:pPr>
      <w:r>
        <w:t>2.2.1 MBS Multicast</w:t>
      </w:r>
    </w:p>
    <w:p w:rsidR="000138E5" w:rsidRPr="00652FB2" w:rsidRDefault="000138E5" w:rsidP="000138E5">
      <w:pPr>
        <w:outlineLvl w:val="1"/>
        <w:rPr>
          <w:sz w:val="28"/>
        </w:rPr>
      </w:pPr>
      <w:r>
        <w:rPr>
          <w:sz w:val="28"/>
        </w:rPr>
        <w:t xml:space="preserve">Q1: when </w:t>
      </w:r>
      <w:proofErr w:type="spellStart"/>
      <w:r>
        <w:rPr>
          <w:sz w:val="28"/>
        </w:rPr>
        <w:t>plmn</w:t>
      </w:r>
      <w:proofErr w:type="spellEnd"/>
      <w:r>
        <w:rPr>
          <w:sz w:val="28"/>
        </w:rPr>
        <w:t xml:space="preserve">-index is used in </w:t>
      </w:r>
      <w:r w:rsidRPr="00CA59B1">
        <w:rPr>
          <w:sz w:val="28"/>
        </w:rPr>
        <w:t>MRB-ToAddMod-r17</w:t>
      </w:r>
      <w:r>
        <w:rPr>
          <w:sz w:val="28"/>
        </w:rPr>
        <w:t xml:space="preserve">, should the </w:t>
      </w:r>
      <w:proofErr w:type="spellStart"/>
      <w:r>
        <w:rPr>
          <w:sz w:val="28"/>
        </w:rPr>
        <w:t>plmn</w:t>
      </w:r>
      <w:proofErr w:type="spellEnd"/>
      <w:r>
        <w:rPr>
          <w:sz w:val="28"/>
        </w:rPr>
        <w:t>-index be mapped to PLMN ID only, or to (PLMN ID+NID)</w:t>
      </w:r>
      <w:r w:rsidR="0038740A">
        <w:rPr>
          <w:sz w:val="28"/>
        </w:rPr>
        <w:t xml:space="preserve"> at the UE</w:t>
      </w:r>
      <w:r>
        <w:rPr>
          <w:sz w:val="28"/>
        </w:rPr>
        <w:t>?</w:t>
      </w:r>
    </w:p>
    <w:p w:rsidR="000138E5" w:rsidRDefault="000138E5" w:rsidP="000138E5">
      <w:r w:rsidRPr="002C66B4">
        <w:rPr>
          <w:rFonts w:hint="eastAsia"/>
          <w:b/>
          <w:lang w:eastAsia="zh-CN"/>
        </w:rPr>
        <w:t>O</w:t>
      </w:r>
      <w:r w:rsidRPr="002C66B4">
        <w:rPr>
          <w:b/>
          <w:lang w:eastAsia="zh-CN"/>
        </w:rPr>
        <w:t>ption 1</w:t>
      </w:r>
      <w:r>
        <w:rPr>
          <w:lang w:eastAsia="zh-CN"/>
        </w:rPr>
        <w:t xml:space="preserve">: </w:t>
      </w:r>
      <w:proofErr w:type="spellStart"/>
      <w:r>
        <w:rPr>
          <w:lang w:eastAsia="zh-CN"/>
        </w:rPr>
        <w:t>plmn</w:t>
      </w:r>
      <w:proofErr w:type="spellEnd"/>
      <w:r>
        <w:rPr>
          <w:lang w:eastAsia="zh-CN"/>
        </w:rPr>
        <w:t>-index</w:t>
      </w:r>
      <w:r>
        <w:rPr>
          <w:rFonts w:hint="eastAsia"/>
          <w:lang w:eastAsia="zh-CN"/>
        </w:rPr>
        <w:t xml:space="preserve"> </w:t>
      </w:r>
      <w:r>
        <w:rPr>
          <w:lang w:eastAsia="zh-CN"/>
        </w:rPr>
        <w:t>is translated into PLMN ID</w:t>
      </w:r>
      <w:r>
        <w:rPr>
          <w:rFonts w:hint="eastAsia"/>
          <w:lang w:eastAsia="zh-CN"/>
        </w:rPr>
        <w:t xml:space="preserve"> </w:t>
      </w:r>
      <w:r>
        <w:rPr>
          <w:lang w:eastAsia="zh-CN"/>
        </w:rPr>
        <w:t>only</w:t>
      </w:r>
      <w:r w:rsidR="00E37367">
        <w:rPr>
          <w:lang w:eastAsia="zh-CN"/>
        </w:rPr>
        <w:t xml:space="preserve"> at the UE, which is used together with the serving NID of the UE</w:t>
      </w:r>
      <w:r>
        <w:t>.</w:t>
      </w:r>
    </w:p>
    <w:p w:rsidR="000138E5" w:rsidRDefault="000138E5" w:rsidP="000138E5">
      <w:pPr>
        <w:rPr>
          <w:lang w:eastAsia="zh-CN"/>
        </w:rPr>
      </w:pPr>
      <w:r w:rsidRPr="0047141F">
        <w:rPr>
          <w:b/>
        </w:rPr>
        <w:t>Option 2</w:t>
      </w:r>
      <w:r w:rsidRPr="0047141F">
        <w:t xml:space="preserve">: </w:t>
      </w:r>
      <w:proofErr w:type="spellStart"/>
      <w:r w:rsidRPr="0047141F">
        <w:rPr>
          <w:lang w:eastAsia="zh-CN"/>
        </w:rPr>
        <w:t>plmn</w:t>
      </w:r>
      <w:proofErr w:type="spellEnd"/>
      <w:r w:rsidRPr="0047141F">
        <w:rPr>
          <w:lang w:eastAsia="zh-CN"/>
        </w:rPr>
        <w:t>-index</w:t>
      </w:r>
      <w:r w:rsidRPr="0047141F">
        <w:rPr>
          <w:rFonts w:hint="eastAsia"/>
          <w:lang w:eastAsia="zh-CN"/>
        </w:rPr>
        <w:t xml:space="preserve"> </w:t>
      </w:r>
      <w:r w:rsidRPr="0047141F">
        <w:rPr>
          <w:lang w:eastAsia="zh-CN"/>
        </w:rPr>
        <w:t>is translated into (PLMN ID+NID).</w:t>
      </w:r>
      <w:r w:rsidR="00E37367" w:rsidRPr="0047141F">
        <w:rPr>
          <w:lang w:eastAsia="zh-CN"/>
        </w:rPr>
        <w:t xml:space="preserve"> The NID should be the serving NID</w:t>
      </w:r>
      <w:r w:rsidR="00E37367" w:rsidRPr="0047141F">
        <w:rPr>
          <w:rFonts w:hint="eastAsia"/>
          <w:lang w:eastAsia="zh-CN"/>
        </w:rPr>
        <w:t xml:space="preserve"> </w:t>
      </w:r>
      <w:r w:rsidR="00E37367" w:rsidRPr="0047141F">
        <w:rPr>
          <w:lang w:eastAsia="zh-CN"/>
        </w:rPr>
        <w:t>of the UE.</w:t>
      </w:r>
    </w:p>
    <w:p w:rsidR="00AE5A7F" w:rsidRPr="00E16AD8" w:rsidRDefault="00E16AD8" w:rsidP="000138E5">
      <w:pPr>
        <w:rPr>
          <w:color w:val="5B9BD5" w:themeColor="accent1"/>
          <w:lang w:eastAsia="zh-CN"/>
        </w:rPr>
      </w:pPr>
      <w:r w:rsidRPr="00133702">
        <w:rPr>
          <w:rFonts w:hint="eastAsia"/>
          <w:color w:val="5B9BD5" w:themeColor="accent1"/>
          <w:lang w:eastAsia="zh-CN"/>
        </w:rPr>
        <w:t>CATT:</w:t>
      </w:r>
      <w:r>
        <w:rPr>
          <w:rFonts w:hint="eastAsia"/>
          <w:color w:val="5B9BD5" w:themeColor="accent1"/>
          <w:lang w:eastAsia="zh-CN"/>
        </w:rPr>
        <w:t xml:space="preserve"> </w:t>
      </w:r>
      <w:r w:rsidRPr="00E16AD8">
        <w:rPr>
          <w:rFonts w:hint="eastAsia"/>
          <w:color w:val="5B9BD5" w:themeColor="accent1"/>
          <w:lang w:eastAsia="zh-CN"/>
        </w:rPr>
        <w:t>Option 2</w:t>
      </w:r>
      <w:r>
        <w:rPr>
          <w:rFonts w:hint="eastAsia"/>
          <w:color w:val="5B9BD5" w:themeColor="accent1"/>
          <w:lang w:eastAsia="zh-CN"/>
        </w:rPr>
        <w:t>.UE knows whether it is camping on SNPN,</w:t>
      </w:r>
      <w:r w:rsidR="00133791">
        <w:rPr>
          <w:rFonts w:hint="eastAsia"/>
          <w:color w:val="5B9BD5" w:themeColor="accent1"/>
          <w:lang w:eastAsia="zh-CN"/>
        </w:rPr>
        <w:t xml:space="preserve"> </w:t>
      </w:r>
      <w:r>
        <w:rPr>
          <w:rFonts w:hint="eastAsia"/>
          <w:color w:val="5B9BD5" w:themeColor="accent1"/>
          <w:lang w:eastAsia="zh-CN"/>
        </w:rPr>
        <w:t xml:space="preserve">thus it can </w:t>
      </w:r>
      <w:r w:rsidR="00133791">
        <w:rPr>
          <w:rFonts w:hint="eastAsia"/>
          <w:color w:val="5B9BD5" w:themeColor="accent1"/>
          <w:lang w:eastAsia="zh-CN"/>
        </w:rPr>
        <w:t xml:space="preserve">directly </w:t>
      </w:r>
      <w:proofErr w:type="spellStart"/>
      <w:r w:rsidR="00133791">
        <w:rPr>
          <w:rFonts w:hint="eastAsia"/>
          <w:color w:val="5B9BD5" w:themeColor="accent1"/>
          <w:lang w:eastAsia="zh-CN"/>
        </w:rPr>
        <w:t>repace</w:t>
      </w:r>
      <w:proofErr w:type="spellEnd"/>
      <w:r>
        <w:rPr>
          <w:rFonts w:hint="eastAsia"/>
          <w:color w:val="5B9BD5" w:themeColor="accent1"/>
          <w:lang w:eastAsia="zh-CN"/>
        </w:rPr>
        <w:t xml:space="preserve"> the </w:t>
      </w:r>
      <w:proofErr w:type="spellStart"/>
      <w:r>
        <w:rPr>
          <w:rFonts w:hint="eastAsia"/>
          <w:color w:val="5B9BD5" w:themeColor="accent1"/>
          <w:lang w:eastAsia="zh-CN"/>
        </w:rPr>
        <w:t>plmn</w:t>
      </w:r>
      <w:proofErr w:type="spellEnd"/>
      <w:r>
        <w:rPr>
          <w:rFonts w:hint="eastAsia"/>
          <w:color w:val="5B9BD5" w:themeColor="accent1"/>
          <w:lang w:eastAsia="zh-CN"/>
        </w:rPr>
        <w:t>-index</w:t>
      </w:r>
      <w:r w:rsidR="00133791">
        <w:rPr>
          <w:rFonts w:hint="eastAsia"/>
          <w:color w:val="5B9BD5" w:themeColor="accent1"/>
          <w:lang w:eastAsia="zh-CN"/>
        </w:rPr>
        <w:t xml:space="preserve"> in TMGI</w:t>
      </w:r>
      <w:r>
        <w:rPr>
          <w:rFonts w:hint="eastAsia"/>
          <w:color w:val="5B9BD5" w:themeColor="accent1"/>
          <w:lang w:eastAsia="zh-CN"/>
        </w:rPr>
        <w:t xml:space="preserve"> </w:t>
      </w:r>
      <w:r w:rsidR="00133791">
        <w:rPr>
          <w:rFonts w:hint="eastAsia"/>
          <w:color w:val="5B9BD5" w:themeColor="accent1"/>
          <w:lang w:eastAsia="zh-CN"/>
        </w:rPr>
        <w:t>with the serving</w:t>
      </w:r>
      <w:r>
        <w:rPr>
          <w:rFonts w:hint="eastAsia"/>
          <w:color w:val="5B9BD5" w:themeColor="accent1"/>
          <w:lang w:eastAsia="zh-CN"/>
        </w:rPr>
        <w:t xml:space="preserve"> SNPN </w:t>
      </w:r>
      <w:proofErr w:type="gramStart"/>
      <w:r>
        <w:rPr>
          <w:rFonts w:hint="eastAsia"/>
          <w:color w:val="5B9BD5" w:themeColor="accent1"/>
          <w:lang w:eastAsia="zh-CN"/>
        </w:rPr>
        <w:t>ID</w:t>
      </w:r>
      <w:r w:rsidR="00206A0A">
        <w:rPr>
          <w:rFonts w:hint="eastAsia"/>
          <w:color w:val="5B9BD5" w:themeColor="accent1"/>
          <w:lang w:eastAsia="zh-CN"/>
        </w:rPr>
        <w:t>(</w:t>
      </w:r>
      <w:proofErr w:type="gramEnd"/>
      <w:r w:rsidR="00206A0A">
        <w:rPr>
          <w:rFonts w:hint="eastAsia"/>
          <w:color w:val="5B9BD5" w:themeColor="accent1"/>
          <w:lang w:eastAsia="zh-CN"/>
        </w:rPr>
        <w:t>i.e., PLMN ID+NID).</w:t>
      </w:r>
      <w:r w:rsidR="00133791">
        <w:rPr>
          <w:rFonts w:hint="eastAsia"/>
          <w:color w:val="5B9BD5" w:themeColor="accent1"/>
          <w:lang w:eastAsia="zh-CN"/>
        </w:rPr>
        <w:t>.</w:t>
      </w:r>
    </w:p>
    <w:p w:rsidR="0038740A" w:rsidRDefault="0038740A" w:rsidP="0038740A">
      <w:pPr>
        <w:outlineLvl w:val="1"/>
        <w:rPr>
          <w:rFonts w:hint="eastAsia"/>
          <w:sz w:val="28"/>
          <w:lang w:eastAsia="zh-CN"/>
        </w:rPr>
      </w:pPr>
      <w:r w:rsidRPr="0047570D">
        <w:rPr>
          <w:sz w:val="28"/>
        </w:rPr>
        <w:lastRenderedPageBreak/>
        <w:t xml:space="preserve">Q2a: Can the explicit PLMN ID be used in </w:t>
      </w:r>
      <w:r w:rsidRPr="00CA59B1">
        <w:rPr>
          <w:sz w:val="28"/>
        </w:rPr>
        <w:t>MRB-ToAddMod-r17</w:t>
      </w:r>
      <w:r>
        <w:rPr>
          <w:sz w:val="28"/>
        </w:rPr>
        <w:t xml:space="preserve"> </w:t>
      </w:r>
      <w:r w:rsidRPr="0047570D">
        <w:rPr>
          <w:sz w:val="28"/>
        </w:rPr>
        <w:t>in case of SNPN?</w:t>
      </w:r>
    </w:p>
    <w:p w:rsidR="00206A0A" w:rsidRPr="0047570D" w:rsidRDefault="00206A0A" w:rsidP="0038740A">
      <w:pPr>
        <w:outlineLvl w:val="1"/>
        <w:rPr>
          <w:rFonts w:hint="eastAsia"/>
          <w:sz w:val="28"/>
          <w:lang w:eastAsia="zh-CN"/>
        </w:rPr>
      </w:pPr>
      <w:proofErr w:type="spellStart"/>
      <w:r w:rsidRPr="00133702">
        <w:rPr>
          <w:rFonts w:hint="eastAsia"/>
          <w:color w:val="5B9BD5" w:themeColor="accent1"/>
          <w:lang w:eastAsia="zh-CN"/>
        </w:rPr>
        <w:t>CATT</w:t>
      </w:r>
      <w:proofErr w:type="gramStart"/>
      <w:r w:rsidRPr="00133702">
        <w:rPr>
          <w:rFonts w:hint="eastAsia"/>
          <w:color w:val="5B9BD5" w:themeColor="accent1"/>
          <w:lang w:eastAsia="zh-CN"/>
        </w:rPr>
        <w:t>:</w:t>
      </w:r>
      <w:r>
        <w:rPr>
          <w:rFonts w:hint="eastAsia"/>
          <w:color w:val="5B9BD5" w:themeColor="accent1"/>
          <w:lang w:eastAsia="zh-CN"/>
        </w:rPr>
        <w:t>Yes</w:t>
      </w:r>
      <w:proofErr w:type="spellEnd"/>
      <w:proofErr w:type="gramEnd"/>
    </w:p>
    <w:p w:rsidR="000138E5" w:rsidRPr="00652FB2" w:rsidRDefault="000138E5" w:rsidP="000138E5">
      <w:pPr>
        <w:outlineLvl w:val="1"/>
        <w:rPr>
          <w:sz w:val="28"/>
        </w:rPr>
      </w:pPr>
      <w:r>
        <w:rPr>
          <w:sz w:val="28"/>
        </w:rPr>
        <w:t>Q2</w:t>
      </w:r>
      <w:r w:rsidR="0038740A">
        <w:rPr>
          <w:sz w:val="28"/>
        </w:rPr>
        <w:t>b</w:t>
      </w:r>
      <w:r>
        <w:rPr>
          <w:sz w:val="28"/>
        </w:rPr>
        <w:t xml:space="preserve">: when </w:t>
      </w:r>
      <w:r w:rsidR="0038740A">
        <w:rPr>
          <w:sz w:val="28"/>
        </w:rPr>
        <w:t xml:space="preserve">the </w:t>
      </w:r>
      <w:r>
        <w:rPr>
          <w:sz w:val="28"/>
        </w:rPr>
        <w:t xml:space="preserve">explicit PLMN ID is used in </w:t>
      </w:r>
      <w:r w:rsidRPr="00CA59B1">
        <w:rPr>
          <w:sz w:val="28"/>
        </w:rPr>
        <w:t>MRB-ToAddMod-r17</w:t>
      </w:r>
      <w:r>
        <w:rPr>
          <w:sz w:val="28"/>
        </w:rPr>
        <w:t xml:space="preserve">, anything more </w:t>
      </w:r>
      <w:r w:rsidR="0038740A">
        <w:rPr>
          <w:sz w:val="28"/>
        </w:rPr>
        <w:t xml:space="preserve">is </w:t>
      </w:r>
      <w:r>
        <w:rPr>
          <w:sz w:val="28"/>
        </w:rPr>
        <w:t>needed to indicate NID?</w:t>
      </w:r>
    </w:p>
    <w:p w:rsidR="000138E5" w:rsidRDefault="000138E5" w:rsidP="000138E5">
      <w:r w:rsidRPr="002C66B4">
        <w:rPr>
          <w:rFonts w:hint="eastAsia"/>
          <w:b/>
          <w:lang w:eastAsia="zh-CN"/>
        </w:rPr>
        <w:t>O</w:t>
      </w:r>
      <w:r w:rsidRPr="002C66B4">
        <w:rPr>
          <w:b/>
          <w:lang w:eastAsia="zh-CN"/>
        </w:rPr>
        <w:t>ption 1</w:t>
      </w:r>
      <w:r>
        <w:rPr>
          <w:lang w:eastAsia="zh-CN"/>
        </w:rPr>
        <w:t xml:space="preserve">: </w:t>
      </w:r>
      <w:r w:rsidR="0047141F">
        <w:rPr>
          <w:lang w:eastAsia="zh-CN"/>
        </w:rPr>
        <w:t>No more thing needed, and the explicit PLMN ID will be used together with serving NID at the UE</w:t>
      </w:r>
      <w:r>
        <w:t>.</w:t>
      </w:r>
    </w:p>
    <w:p w:rsidR="000138E5" w:rsidRDefault="000138E5" w:rsidP="000138E5">
      <w:pPr>
        <w:rPr>
          <w:lang w:eastAsia="zh-CN"/>
        </w:rPr>
      </w:pPr>
      <w:r w:rsidRPr="00577F84">
        <w:rPr>
          <w:b/>
        </w:rPr>
        <w:t>Option 2</w:t>
      </w:r>
      <w:r w:rsidRPr="00577F84">
        <w:t xml:space="preserve">: </w:t>
      </w:r>
      <w:r w:rsidR="0047141F" w:rsidRPr="00577F84">
        <w:rPr>
          <w:lang w:eastAsia="zh-CN"/>
        </w:rPr>
        <w:t>The NID (should be the serving NID of the UE) is introduced in MRB-ToAddMod-r17</w:t>
      </w:r>
      <w:r w:rsidRPr="00577F84">
        <w:rPr>
          <w:lang w:eastAsia="zh-CN"/>
        </w:rPr>
        <w:t>.</w:t>
      </w:r>
    </w:p>
    <w:p w:rsidR="000138E5" w:rsidRPr="00133791" w:rsidRDefault="00133791" w:rsidP="000138E5">
      <w:pPr>
        <w:rPr>
          <w:rFonts w:hint="eastAsia"/>
          <w:color w:val="5B9BD5" w:themeColor="accent1"/>
          <w:lang w:eastAsia="zh-CN"/>
        </w:rPr>
      </w:pPr>
      <w:r w:rsidRPr="00133791">
        <w:rPr>
          <w:rFonts w:hint="eastAsia"/>
          <w:color w:val="5B9BD5" w:themeColor="accent1"/>
          <w:lang w:eastAsia="zh-CN"/>
        </w:rPr>
        <w:t>CATT</w:t>
      </w:r>
      <w:r>
        <w:rPr>
          <w:rFonts w:hint="eastAsia"/>
          <w:color w:val="5B9BD5" w:themeColor="accent1"/>
          <w:lang w:eastAsia="zh-CN"/>
        </w:rPr>
        <w:t>:</w:t>
      </w:r>
      <w:r w:rsidR="00D40AB0">
        <w:rPr>
          <w:rFonts w:hint="eastAsia"/>
          <w:color w:val="5B9BD5" w:themeColor="accent1"/>
          <w:lang w:eastAsia="zh-CN"/>
        </w:rPr>
        <w:t xml:space="preserve"> O</w:t>
      </w:r>
      <w:r>
        <w:rPr>
          <w:rFonts w:hint="eastAsia"/>
          <w:color w:val="5B9BD5" w:themeColor="accent1"/>
          <w:lang w:eastAsia="zh-CN"/>
        </w:rPr>
        <w:t>ption 1,</w:t>
      </w:r>
      <w:r w:rsidRPr="00133791">
        <w:rPr>
          <w:rFonts w:hint="eastAsia"/>
          <w:color w:val="5B9BD5" w:themeColor="accent1"/>
          <w:lang w:eastAsia="zh-CN"/>
        </w:rPr>
        <w:t xml:space="preserve"> </w:t>
      </w:r>
      <w:r>
        <w:rPr>
          <w:rFonts w:hint="eastAsia"/>
          <w:color w:val="5B9BD5" w:themeColor="accent1"/>
          <w:lang w:eastAsia="zh-CN"/>
        </w:rPr>
        <w:t xml:space="preserve">UE knows whether it is camping on SNPN, thus it can directly </w:t>
      </w:r>
      <w:proofErr w:type="spellStart"/>
      <w:r>
        <w:rPr>
          <w:rFonts w:hint="eastAsia"/>
          <w:color w:val="5B9BD5" w:themeColor="accent1"/>
          <w:lang w:eastAsia="zh-CN"/>
        </w:rPr>
        <w:t>repace</w:t>
      </w:r>
      <w:proofErr w:type="spellEnd"/>
      <w:r>
        <w:rPr>
          <w:rFonts w:hint="eastAsia"/>
          <w:color w:val="5B9BD5" w:themeColor="accent1"/>
          <w:lang w:eastAsia="zh-CN"/>
        </w:rPr>
        <w:t xml:space="preserve"> the </w:t>
      </w:r>
      <w:r w:rsidRPr="00133791">
        <w:rPr>
          <w:color w:val="5B9BD5" w:themeColor="accent1"/>
          <w:lang w:eastAsia="zh-CN"/>
        </w:rPr>
        <w:t>explicit PLMN ID</w:t>
      </w:r>
      <w:r>
        <w:rPr>
          <w:rFonts w:hint="eastAsia"/>
          <w:color w:val="5B9BD5" w:themeColor="accent1"/>
          <w:lang w:eastAsia="zh-CN"/>
        </w:rPr>
        <w:t xml:space="preserve"> in TMGI with the serving SNPN </w:t>
      </w:r>
      <w:proofErr w:type="gramStart"/>
      <w:r>
        <w:rPr>
          <w:rFonts w:hint="eastAsia"/>
          <w:color w:val="5B9BD5" w:themeColor="accent1"/>
          <w:lang w:eastAsia="zh-CN"/>
        </w:rPr>
        <w:t>ID</w:t>
      </w:r>
      <w:r w:rsidR="00206A0A">
        <w:rPr>
          <w:rFonts w:hint="eastAsia"/>
          <w:color w:val="5B9BD5" w:themeColor="accent1"/>
          <w:lang w:eastAsia="zh-CN"/>
        </w:rPr>
        <w:t>(</w:t>
      </w:r>
      <w:proofErr w:type="gramEnd"/>
      <w:r w:rsidR="00206A0A">
        <w:rPr>
          <w:rFonts w:hint="eastAsia"/>
          <w:color w:val="5B9BD5" w:themeColor="accent1"/>
          <w:lang w:eastAsia="zh-CN"/>
        </w:rPr>
        <w:t>i.e., PLMN ID+NID)</w:t>
      </w:r>
      <w:r>
        <w:rPr>
          <w:rFonts w:hint="eastAsia"/>
          <w:color w:val="5B9BD5" w:themeColor="accent1"/>
          <w:lang w:eastAsia="zh-CN"/>
        </w:rPr>
        <w:t>.</w:t>
      </w:r>
      <w:bookmarkStart w:id="4" w:name="_GoBack"/>
      <w:bookmarkEnd w:id="4"/>
    </w:p>
    <w:p w:rsidR="00815BAB" w:rsidRPr="000138E5" w:rsidRDefault="00815BAB" w:rsidP="009339CB"/>
    <w:sectPr w:rsidR="00815BAB" w:rsidRPr="000138E5" w:rsidSect="00BF77A1">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C06" w:rsidRDefault="003B2C06">
      <w:r>
        <w:separator/>
      </w:r>
    </w:p>
  </w:endnote>
  <w:endnote w:type="continuationSeparator" w:id="0">
    <w:p w:rsidR="003B2C06" w:rsidRDefault="003B2C06">
      <w:r>
        <w:continuationSeparator/>
      </w:r>
    </w:p>
  </w:endnote>
  <w:endnote w:type="continuationNotice" w:id="1">
    <w:p w:rsidR="003B2C06" w:rsidRDefault="003B2C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C06" w:rsidRDefault="003B2C06">
      <w:r>
        <w:separator/>
      </w:r>
    </w:p>
  </w:footnote>
  <w:footnote w:type="continuationSeparator" w:id="0">
    <w:p w:rsidR="003B2C06" w:rsidRDefault="003B2C06">
      <w:r>
        <w:continuationSeparator/>
      </w:r>
    </w:p>
  </w:footnote>
  <w:footnote w:type="continuationNotice" w:id="1">
    <w:p w:rsidR="003B2C06" w:rsidRDefault="003B2C0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3572528"/>
    <w:multiLevelType w:val="hybridMultilevel"/>
    <w:tmpl w:val="AC6E7394"/>
    <w:lvl w:ilvl="0" w:tplc="47108820">
      <w:start w:val="1"/>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3">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5E41150"/>
    <w:multiLevelType w:val="hybridMultilevel"/>
    <w:tmpl w:val="F0D2435C"/>
    <w:lvl w:ilvl="0" w:tplc="040B000F">
      <w:start w:val="1"/>
      <w:numFmt w:val="decimal"/>
      <w:lvlText w:val="%1."/>
      <w:lvlJc w:val="left"/>
      <w:pPr>
        <w:ind w:left="720" w:hanging="360"/>
      </w:pPr>
      <w:rPr>
        <w:rFonts w:hint="default"/>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70146DC0"/>
    <w:multiLevelType w:val="hybridMultilevel"/>
    <w:tmpl w:val="9BC21240"/>
    <w:lvl w:ilvl="0" w:tplc="409A9E3A">
      <w:start w:val="1"/>
      <w:numFmt w:val="bullet"/>
      <w:pStyle w:val="Agreement"/>
      <w:lvlText w:val=""/>
      <w:lvlJc w:val="left"/>
      <w:pPr>
        <w:tabs>
          <w:tab w:val="num" w:pos="1352"/>
        </w:tabs>
        <w:ind w:left="1352"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2"/>
  </w:num>
  <w:num w:numId="9">
    <w:abstractNumId w:val="8"/>
  </w:num>
  <w:num w:numId="10">
    <w:abstractNumId w:val="5"/>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64C4"/>
    <w:rsid w:val="00006C10"/>
    <w:rsid w:val="000138E5"/>
    <w:rsid w:val="000145D0"/>
    <w:rsid w:val="00016557"/>
    <w:rsid w:val="000172B4"/>
    <w:rsid w:val="00023C40"/>
    <w:rsid w:val="00023F38"/>
    <w:rsid w:val="00033397"/>
    <w:rsid w:val="00040095"/>
    <w:rsid w:val="000400BC"/>
    <w:rsid w:val="0004270A"/>
    <w:rsid w:val="00065268"/>
    <w:rsid w:val="00073C9C"/>
    <w:rsid w:val="00076412"/>
    <w:rsid w:val="00080512"/>
    <w:rsid w:val="00090468"/>
    <w:rsid w:val="00094568"/>
    <w:rsid w:val="000B7BCF"/>
    <w:rsid w:val="000C522B"/>
    <w:rsid w:val="000D58AB"/>
    <w:rsid w:val="000F3681"/>
    <w:rsid w:val="000F68AC"/>
    <w:rsid w:val="00112F1A"/>
    <w:rsid w:val="00114B0C"/>
    <w:rsid w:val="00115DF3"/>
    <w:rsid w:val="00133702"/>
    <w:rsid w:val="00133791"/>
    <w:rsid w:val="00145075"/>
    <w:rsid w:val="00151C57"/>
    <w:rsid w:val="00165803"/>
    <w:rsid w:val="00173C23"/>
    <w:rsid w:val="001741A0"/>
    <w:rsid w:val="00175FA0"/>
    <w:rsid w:val="00194CD0"/>
    <w:rsid w:val="001B01BB"/>
    <w:rsid w:val="001B2323"/>
    <w:rsid w:val="001B49C9"/>
    <w:rsid w:val="001C23F4"/>
    <w:rsid w:val="001C4F79"/>
    <w:rsid w:val="001C5560"/>
    <w:rsid w:val="001F168B"/>
    <w:rsid w:val="001F7831"/>
    <w:rsid w:val="00204045"/>
    <w:rsid w:val="00206A0A"/>
    <w:rsid w:val="0020712B"/>
    <w:rsid w:val="00215EF9"/>
    <w:rsid w:val="0022606D"/>
    <w:rsid w:val="00231728"/>
    <w:rsid w:val="002425EF"/>
    <w:rsid w:val="00244A05"/>
    <w:rsid w:val="00250404"/>
    <w:rsid w:val="00256B74"/>
    <w:rsid w:val="002610D8"/>
    <w:rsid w:val="00264264"/>
    <w:rsid w:val="00267CA0"/>
    <w:rsid w:val="002747EC"/>
    <w:rsid w:val="002855BF"/>
    <w:rsid w:val="002A7DC4"/>
    <w:rsid w:val="002B2988"/>
    <w:rsid w:val="002B30F3"/>
    <w:rsid w:val="002C66B4"/>
    <w:rsid w:val="002F0D22"/>
    <w:rsid w:val="00311B17"/>
    <w:rsid w:val="003172DC"/>
    <w:rsid w:val="00325AE3"/>
    <w:rsid w:val="00326069"/>
    <w:rsid w:val="00331742"/>
    <w:rsid w:val="00347168"/>
    <w:rsid w:val="00352ABB"/>
    <w:rsid w:val="0035462D"/>
    <w:rsid w:val="0036459E"/>
    <w:rsid w:val="00364B41"/>
    <w:rsid w:val="00371672"/>
    <w:rsid w:val="00383096"/>
    <w:rsid w:val="00386BFA"/>
    <w:rsid w:val="0038740A"/>
    <w:rsid w:val="0039346C"/>
    <w:rsid w:val="003A41EF"/>
    <w:rsid w:val="003A4358"/>
    <w:rsid w:val="003B2C06"/>
    <w:rsid w:val="003B40AD"/>
    <w:rsid w:val="003B51E2"/>
    <w:rsid w:val="003C4E37"/>
    <w:rsid w:val="003C6D42"/>
    <w:rsid w:val="003E16BE"/>
    <w:rsid w:val="003F4DD3"/>
    <w:rsid w:val="003F4E28"/>
    <w:rsid w:val="003F6A71"/>
    <w:rsid w:val="004006E8"/>
    <w:rsid w:val="00401855"/>
    <w:rsid w:val="004170FE"/>
    <w:rsid w:val="00446C3A"/>
    <w:rsid w:val="004509A0"/>
    <w:rsid w:val="00465587"/>
    <w:rsid w:val="0047141F"/>
    <w:rsid w:val="0047570D"/>
    <w:rsid w:val="00475A21"/>
    <w:rsid w:val="00477455"/>
    <w:rsid w:val="004808FF"/>
    <w:rsid w:val="00482532"/>
    <w:rsid w:val="00496CE5"/>
    <w:rsid w:val="004A1F7B"/>
    <w:rsid w:val="004C44D2"/>
    <w:rsid w:val="004C4A25"/>
    <w:rsid w:val="004D3578"/>
    <w:rsid w:val="004D380D"/>
    <w:rsid w:val="004E213A"/>
    <w:rsid w:val="004E7E19"/>
    <w:rsid w:val="004F4540"/>
    <w:rsid w:val="004F6550"/>
    <w:rsid w:val="004F73A7"/>
    <w:rsid w:val="00503171"/>
    <w:rsid w:val="00506C28"/>
    <w:rsid w:val="005108D6"/>
    <w:rsid w:val="00521FBC"/>
    <w:rsid w:val="00534DA0"/>
    <w:rsid w:val="005376FC"/>
    <w:rsid w:val="00543E6C"/>
    <w:rsid w:val="00565087"/>
    <w:rsid w:val="0056573F"/>
    <w:rsid w:val="00571279"/>
    <w:rsid w:val="00577F84"/>
    <w:rsid w:val="005A13AB"/>
    <w:rsid w:val="005A49C6"/>
    <w:rsid w:val="005C28BF"/>
    <w:rsid w:val="005C766E"/>
    <w:rsid w:val="005C7CD5"/>
    <w:rsid w:val="005F279F"/>
    <w:rsid w:val="00602121"/>
    <w:rsid w:val="00611566"/>
    <w:rsid w:val="00626665"/>
    <w:rsid w:val="006325D3"/>
    <w:rsid w:val="00646D99"/>
    <w:rsid w:val="00652FB2"/>
    <w:rsid w:val="00656910"/>
    <w:rsid w:val="006574C0"/>
    <w:rsid w:val="00673BDF"/>
    <w:rsid w:val="00680530"/>
    <w:rsid w:val="00690163"/>
    <w:rsid w:val="00696821"/>
    <w:rsid w:val="006C418C"/>
    <w:rsid w:val="006C66D8"/>
    <w:rsid w:val="006D1E24"/>
    <w:rsid w:val="006D35DE"/>
    <w:rsid w:val="006D4674"/>
    <w:rsid w:val="006D6298"/>
    <w:rsid w:val="006E1057"/>
    <w:rsid w:val="006E1417"/>
    <w:rsid w:val="006F6A2C"/>
    <w:rsid w:val="006F7586"/>
    <w:rsid w:val="00705600"/>
    <w:rsid w:val="007069DC"/>
    <w:rsid w:val="00710201"/>
    <w:rsid w:val="007111E6"/>
    <w:rsid w:val="0071589B"/>
    <w:rsid w:val="0072073A"/>
    <w:rsid w:val="007342B5"/>
    <w:rsid w:val="00734A5B"/>
    <w:rsid w:val="00744E76"/>
    <w:rsid w:val="00746F34"/>
    <w:rsid w:val="00751A1C"/>
    <w:rsid w:val="00757D40"/>
    <w:rsid w:val="007662B5"/>
    <w:rsid w:val="00781F0F"/>
    <w:rsid w:val="0078727C"/>
    <w:rsid w:val="0079049D"/>
    <w:rsid w:val="00793DC5"/>
    <w:rsid w:val="00796823"/>
    <w:rsid w:val="007A2E55"/>
    <w:rsid w:val="007A7442"/>
    <w:rsid w:val="007B18D8"/>
    <w:rsid w:val="007C095F"/>
    <w:rsid w:val="007C0E1D"/>
    <w:rsid w:val="007C2BD0"/>
    <w:rsid w:val="007C2DD0"/>
    <w:rsid w:val="007E632F"/>
    <w:rsid w:val="007F2E08"/>
    <w:rsid w:val="008024FA"/>
    <w:rsid w:val="008028A4"/>
    <w:rsid w:val="008100E0"/>
    <w:rsid w:val="00813245"/>
    <w:rsid w:val="00815BAB"/>
    <w:rsid w:val="0082695B"/>
    <w:rsid w:val="00836992"/>
    <w:rsid w:val="00837CA6"/>
    <w:rsid w:val="0084054D"/>
    <w:rsid w:val="00840DE0"/>
    <w:rsid w:val="00847CD0"/>
    <w:rsid w:val="008518C2"/>
    <w:rsid w:val="008607A8"/>
    <w:rsid w:val="0086354A"/>
    <w:rsid w:val="00863554"/>
    <w:rsid w:val="00863E0A"/>
    <w:rsid w:val="008752F5"/>
    <w:rsid w:val="008768CA"/>
    <w:rsid w:val="00877EF9"/>
    <w:rsid w:val="00880559"/>
    <w:rsid w:val="008B5306"/>
    <w:rsid w:val="008B54E8"/>
    <w:rsid w:val="008C2E2A"/>
    <w:rsid w:val="008C3057"/>
    <w:rsid w:val="008D2E4D"/>
    <w:rsid w:val="008D6AF3"/>
    <w:rsid w:val="008F396F"/>
    <w:rsid w:val="008F3DCD"/>
    <w:rsid w:val="008F768B"/>
    <w:rsid w:val="0090271F"/>
    <w:rsid w:val="00902DB9"/>
    <w:rsid w:val="0090466A"/>
    <w:rsid w:val="00911CD2"/>
    <w:rsid w:val="00923655"/>
    <w:rsid w:val="009339CB"/>
    <w:rsid w:val="00936071"/>
    <w:rsid w:val="009376CD"/>
    <w:rsid w:val="00940212"/>
    <w:rsid w:val="00942EC2"/>
    <w:rsid w:val="00955411"/>
    <w:rsid w:val="00961B32"/>
    <w:rsid w:val="00962509"/>
    <w:rsid w:val="00970DB3"/>
    <w:rsid w:val="00974BB0"/>
    <w:rsid w:val="00975BCD"/>
    <w:rsid w:val="009928A9"/>
    <w:rsid w:val="009968FC"/>
    <w:rsid w:val="009A0AF3"/>
    <w:rsid w:val="009B07CD"/>
    <w:rsid w:val="009B6EB4"/>
    <w:rsid w:val="009C19E9"/>
    <w:rsid w:val="009D74A6"/>
    <w:rsid w:val="009D7CAE"/>
    <w:rsid w:val="009E0E87"/>
    <w:rsid w:val="009F28DB"/>
    <w:rsid w:val="00A10F02"/>
    <w:rsid w:val="00A17176"/>
    <w:rsid w:val="00A204CA"/>
    <w:rsid w:val="00A209D6"/>
    <w:rsid w:val="00A22738"/>
    <w:rsid w:val="00A266C2"/>
    <w:rsid w:val="00A36F5F"/>
    <w:rsid w:val="00A430EC"/>
    <w:rsid w:val="00A53724"/>
    <w:rsid w:val="00A54B2B"/>
    <w:rsid w:val="00A67267"/>
    <w:rsid w:val="00A703B6"/>
    <w:rsid w:val="00A81CEA"/>
    <w:rsid w:val="00A82346"/>
    <w:rsid w:val="00A90ACC"/>
    <w:rsid w:val="00A92C63"/>
    <w:rsid w:val="00A9671C"/>
    <w:rsid w:val="00AA1553"/>
    <w:rsid w:val="00AE5A7F"/>
    <w:rsid w:val="00B05380"/>
    <w:rsid w:val="00B05962"/>
    <w:rsid w:val="00B15449"/>
    <w:rsid w:val="00B16C2F"/>
    <w:rsid w:val="00B27303"/>
    <w:rsid w:val="00B47FD1"/>
    <w:rsid w:val="00B516BB"/>
    <w:rsid w:val="00B54C7A"/>
    <w:rsid w:val="00B64E20"/>
    <w:rsid w:val="00B7538C"/>
    <w:rsid w:val="00B84DB2"/>
    <w:rsid w:val="00B96F5E"/>
    <w:rsid w:val="00BA7168"/>
    <w:rsid w:val="00BB3C2E"/>
    <w:rsid w:val="00BC3555"/>
    <w:rsid w:val="00BF4EB2"/>
    <w:rsid w:val="00BF77A1"/>
    <w:rsid w:val="00C12B51"/>
    <w:rsid w:val="00C237F0"/>
    <w:rsid w:val="00C24650"/>
    <w:rsid w:val="00C25465"/>
    <w:rsid w:val="00C33079"/>
    <w:rsid w:val="00C35221"/>
    <w:rsid w:val="00C55A12"/>
    <w:rsid w:val="00C6553E"/>
    <w:rsid w:val="00C83A13"/>
    <w:rsid w:val="00C86D12"/>
    <w:rsid w:val="00C86F10"/>
    <w:rsid w:val="00C9068C"/>
    <w:rsid w:val="00C92967"/>
    <w:rsid w:val="00C97F36"/>
    <w:rsid w:val="00CA3D0C"/>
    <w:rsid w:val="00CA59B1"/>
    <w:rsid w:val="00CA654B"/>
    <w:rsid w:val="00CB72B8"/>
    <w:rsid w:val="00CC7F5E"/>
    <w:rsid w:val="00CD0BA8"/>
    <w:rsid w:val="00CD4C7B"/>
    <w:rsid w:val="00CD58FE"/>
    <w:rsid w:val="00CD7081"/>
    <w:rsid w:val="00D31C04"/>
    <w:rsid w:val="00D33BE3"/>
    <w:rsid w:val="00D3792D"/>
    <w:rsid w:val="00D40AB0"/>
    <w:rsid w:val="00D55E47"/>
    <w:rsid w:val="00D62E19"/>
    <w:rsid w:val="00D67CD1"/>
    <w:rsid w:val="00D73867"/>
    <w:rsid w:val="00D738D6"/>
    <w:rsid w:val="00D80795"/>
    <w:rsid w:val="00D854BE"/>
    <w:rsid w:val="00D87E00"/>
    <w:rsid w:val="00D9134D"/>
    <w:rsid w:val="00D913E5"/>
    <w:rsid w:val="00D96D11"/>
    <w:rsid w:val="00DA53FD"/>
    <w:rsid w:val="00DA7A03"/>
    <w:rsid w:val="00DB0DB8"/>
    <w:rsid w:val="00DB1818"/>
    <w:rsid w:val="00DC309B"/>
    <w:rsid w:val="00DC4DA2"/>
    <w:rsid w:val="00DC5261"/>
    <w:rsid w:val="00DD3BE4"/>
    <w:rsid w:val="00DE00F5"/>
    <w:rsid w:val="00DE25D2"/>
    <w:rsid w:val="00DF7C20"/>
    <w:rsid w:val="00E044CD"/>
    <w:rsid w:val="00E16AD8"/>
    <w:rsid w:val="00E22F63"/>
    <w:rsid w:val="00E25634"/>
    <w:rsid w:val="00E34272"/>
    <w:rsid w:val="00E37367"/>
    <w:rsid w:val="00E41508"/>
    <w:rsid w:val="00E46C08"/>
    <w:rsid w:val="00E471CF"/>
    <w:rsid w:val="00E503A5"/>
    <w:rsid w:val="00E62835"/>
    <w:rsid w:val="00E77645"/>
    <w:rsid w:val="00E83697"/>
    <w:rsid w:val="00E859B6"/>
    <w:rsid w:val="00E85B86"/>
    <w:rsid w:val="00E97D5B"/>
    <w:rsid w:val="00EA66C9"/>
    <w:rsid w:val="00EB5D32"/>
    <w:rsid w:val="00EC4A25"/>
    <w:rsid w:val="00ED2A90"/>
    <w:rsid w:val="00EE2A9A"/>
    <w:rsid w:val="00EF612C"/>
    <w:rsid w:val="00F00BB5"/>
    <w:rsid w:val="00F025A2"/>
    <w:rsid w:val="00F036E9"/>
    <w:rsid w:val="00F07388"/>
    <w:rsid w:val="00F2026E"/>
    <w:rsid w:val="00F2210A"/>
    <w:rsid w:val="00F31372"/>
    <w:rsid w:val="00F37743"/>
    <w:rsid w:val="00F421C8"/>
    <w:rsid w:val="00F54A3D"/>
    <w:rsid w:val="00F54CB0"/>
    <w:rsid w:val="00F579CD"/>
    <w:rsid w:val="00F653B8"/>
    <w:rsid w:val="00F71B89"/>
    <w:rsid w:val="00F72392"/>
    <w:rsid w:val="00F7353C"/>
    <w:rsid w:val="00F76F8F"/>
    <w:rsid w:val="00F87257"/>
    <w:rsid w:val="00F941DF"/>
    <w:rsid w:val="00FA1266"/>
    <w:rsid w:val="00FA34A5"/>
    <w:rsid w:val="00FB36FA"/>
    <w:rsid w:val="00FB5FC1"/>
    <w:rsid w:val="00FC1192"/>
    <w:rsid w:val="00FD002B"/>
    <w:rsid w:val="00FE106D"/>
    <w:rsid w:val="00FE251B"/>
    <w:rsid w:val="00FF5F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740A"/>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8">
    <w:name w:val="annotation reference"/>
    <w:basedOn w:val="a0"/>
    <w:rsid w:val="003A4358"/>
    <w:rPr>
      <w:sz w:val="16"/>
      <w:szCs w:val="16"/>
    </w:rPr>
  </w:style>
  <w:style w:type="paragraph" w:styleId="a9">
    <w:name w:val="annotation text"/>
    <w:basedOn w:val="a"/>
    <w:link w:val="Char2"/>
    <w:rsid w:val="003A4358"/>
  </w:style>
  <w:style w:type="character" w:customStyle="1" w:styleId="Char2">
    <w:name w:val="批注文字 Char"/>
    <w:basedOn w:val="a0"/>
    <w:link w:val="a9"/>
    <w:rsid w:val="003A4358"/>
    <w:rPr>
      <w:lang w:eastAsia="en-US"/>
    </w:rPr>
  </w:style>
  <w:style w:type="paragraph" w:styleId="aa">
    <w:name w:val="annotation subject"/>
    <w:basedOn w:val="a9"/>
    <w:next w:val="a9"/>
    <w:link w:val="Char3"/>
    <w:rsid w:val="003A4358"/>
    <w:rPr>
      <w:b/>
      <w:bCs/>
    </w:rPr>
  </w:style>
  <w:style w:type="character" w:customStyle="1" w:styleId="Char3">
    <w:name w:val="批注主题 Char"/>
    <w:basedOn w:val="Char2"/>
    <w:link w:val="aa"/>
    <w:rsid w:val="003A4358"/>
    <w:rPr>
      <w:b/>
      <w:bCs/>
      <w:lang w:eastAsia="en-US"/>
    </w:rPr>
  </w:style>
  <w:style w:type="character" w:customStyle="1" w:styleId="Mention1">
    <w:name w:val="Mention1"/>
    <w:basedOn w:val="a0"/>
    <w:uiPriority w:val="99"/>
    <w:unhideWhenUsed/>
    <w:rsid w:val="003A4358"/>
    <w:rPr>
      <w:color w:val="2B579A"/>
      <w:shd w:val="clear" w:color="auto" w:fill="E1DFDD"/>
    </w:rPr>
  </w:style>
  <w:style w:type="character" w:customStyle="1" w:styleId="TALCar">
    <w:name w:val="TAL Car"/>
    <w:link w:val="TAL"/>
    <w:qFormat/>
    <w:rsid w:val="007A7442"/>
    <w:rPr>
      <w:rFonts w:ascii="Arial" w:hAnsi="Arial"/>
      <w:sz w:val="18"/>
      <w:lang w:eastAsia="en-US"/>
    </w:rPr>
  </w:style>
  <w:style w:type="character" w:customStyle="1" w:styleId="TAHCar">
    <w:name w:val="TAH Car"/>
    <w:link w:val="TAH"/>
    <w:qFormat/>
    <w:locked/>
    <w:rsid w:val="007A7442"/>
    <w:rPr>
      <w:rFonts w:ascii="Arial" w:hAnsi="Arial"/>
      <w:b/>
      <w:sz w:val="18"/>
      <w:lang w:eastAsia="en-US"/>
    </w:rPr>
  </w:style>
  <w:style w:type="paragraph" w:styleId="ab">
    <w:name w:val="Revision"/>
    <w:hidden/>
    <w:uiPriority w:val="99"/>
    <w:semiHidden/>
    <w:rsid w:val="00680530"/>
    <w:rPr>
      <w:lang w:eastAsia="en-US"/>
    </w:rPr>
  </w:style>
  <w:style w:type="character" w:customStyle="1" w:styleId="CRCoverPageZchn">
    <w:name w:val="CR Cover Page Zchn"/>
    <w:link w:val="CRCoverPage"/>
    <w:qFormat/>
    <w:rsid w:val="00863E0A"/>
    <w:rPr>
      <w:rFonts w:ascii="Arial" w:eastAsia="MS Mincho" w:hAnsi="Arial"/>
      <w:lang w:eastAsia="en-US"/>
    </w:rPr>
  </w:style>
  <w:style w:type="paragraph" w:customStyle="1" w:styleId="Doc-text2">
    <w:name w:val="Doc-text2"/>
    <w:basedOn w:val="a"/>
    <w:link w:val="Doc-text2Char"/>
    <w:qFormat/>
    <w:rsid w:val="00863E0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63E0A"/>
    <w:rPr>
      <w:rFonts w:ascii="Arial" w:eastAsia="MS Mincho" w:hAnsi="Arial"/>
      <w:szCs w:val="24"/>
    </w:rPr>
  </w:style>
  <w:style w:type="paragraph" w:customStyle="1" w:styleId="Agreement">
    <w:name w:val="Agreement"/>
    <w:basedOn w:val="a"/>
    <w:next w:val="Doc-text2"/>
    <w:qFormat/>
    <w:rsid w:val="00863E0A"/>
    <w:pPr>
      <w:numPr>
        <w:numId w:val="9"/>
      </w:numPr>
      <w:tabs>
        <w:tab w:val="clear" w:pos="1352"/>
        <w:tab w:val="num" w:pos="1619"/>
      </w:tabs>
      <w:spacing w:before="60" w:after="0"/>
      <w:ind w:left="1619"/>
    </w:pPr>
    <w:rPr>
      <w:rFonts w:ascii="Arial" w:eastAsia="MS Mincho" w:hAnsi="Arial"/>
      <w:b/>
      <w:szCs w:val="24"/>
      <w:lang w:eastAsia="en-GB"/>
    </w:rPr>
  </w:style>
  <w:style w:type="paragraph" w:customStyle="1" w:styleId="Doc-comment">
    <w:name w:val="Doc-comment"/>
    <w:basedOn w:val="a"/>
    <w:next w:val="Doc-text2"/>
    <w:qFormat/>
    <w:rsid w:val="00863E0A"/>
    <w:pPr>
      <w:tabs>
        <w:tab w:val="left" w:pos="1622"/>
      </w:tabs>
      <w:spacing w:after="0"/>
      <w:ind w:left="1622" w:hanging="363"/>
    </w:pPr>
    <w:rPr>
      <w:rFonts w:ascii="Arial" w:eastAsia="MS Mincho" w:hAnsi="Arial"/>
      <w:i/>
      <w:szCs w:val="24"/>
      <w:lang w:eastAsia="en-GB"/>
    </w:rPr>
  </w:style>
  <w:style w:type="table" w:styleId="ac">
    <w:name w:val="Table Grid"/>
    <w:basedOn w:val="a1"/>
    <w:qFormat/>
    <w:rsid w:val="00BF77A1"/>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locked/>
    <w:rsid w:val="00652FB2"/>
    <w:rPr>
      <w:lang w:eastAsia="en-US"/>
    </w:rPr>
  </w:style>
  <w:style w:type="character" w:customStyle="1" w:styleId="1Char">
    <w:name w:val="标题 1 Char"/>
    <w:basedOn w:val="a0"/>
    <w:link w:val="1"/>
    <w:rsid w:val="00652FB2"/>
    <w:rPr>
      <w:rFonts w:ascii="Arial" w:hAnsi="Arial"/>
      <w:sz w:val="36"/>
      <w:lang w:eastAsia="en-US"/>
    </w:rPr>
  </w:style>
  <w:style w:type="paragraph" w:styleId="ad">
    <w:name w:val="List Paragraph"/>
    <w:basedOn w:val="a"/>
    <w:uiPriority w:val="34"/>
    <w:qFormat/>
    <w:rsid w:val="008D6AF3"/>
    <w:pPr>
      <w:ind w:firstLineChars="200" w:firstLine="420"/>
    </w:pPr>
  </w:style>
  <w:style w:type="character" w:customStyle="1" w:styleId="3Char">
    <w:name w:val="标题 3 Char"/>
    <w:basedOn w:val="a0"/>
    <w:link w:val="3"/>
    <w:rsid w:val="00CA59B1"/>
    <w:rPr>
      <w:rFonts w:ascii="Arial" w:hAnsi="Arial"/>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740A"/>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8">
    <w:name w:val="annotation reference"/>
    <w:basedOn w:val="a0"/>
    <w:rsid w:val="003A4358"/>
    <w:rPr>
      <w:sz w:val="16"/>
      <w:szCs w:val="16"/>
    </w:rPr>
  </w:style>
  <w:style w:type="paragraph" w:styleId="a9">
    <w:name w:val="annotation text"/>
    <w:basedOn w:val="a"/>
    <w:link w:val="Char2"/>
    <w:rsid w:val="003A4358"/>
  </w:style>
  <w:style w:type="character" w:customStyle="1" w:styleId="Char2">
    <w:name w:val="批注文字 Char"/>
    <w:basedOn w:val="a0"/>
    <w:link w:val="a9"/>
    <w:rsid w:val="003A4358"/>
    <w:rPr>
      <w:lang w:eastAsia="en-US"/>
    </w:rPr>
  </w:style>
  <w:style w:type="paragraph" w:styleId="aa">
    <w:name w:val="annotation subject"/>
    <w:basedOn w:val="a9"/>
    <w:next w:val="a9"/>
    <w:link w:val="Char3"/>
    <w:rsid w:val="003A4358"/>
    <w:rPr>
      <w:b/>
      <w:bCs/>
    </w:rPr>
  </w:style>
  <w:style w:type="character" w:customStyle="1" w:styleId="Char3">
    <w:name w:val="批注主题 Char"/>
    <w:basedOn w:val="Char2"/>
    <w:link w:val="aa"/>
    <w:rsid w:val="003A4358"/>
    <w:rPr>
      <w:b/>
      <w:bCs/>
      <w:lang w:eastAsia="en-US"/>
    </w:rPr>
  </w:style>
  <w:style w:type="character" w:customStyle="1" w:styleId="Mention1">
    <w:name w:val="Mention1"/>
    <w:basedOn w:val="a0"/>
    <w:uiPriority w:val="99"/>
    <w:unhideWhenUsed/>
    <w:rsid w:val="003A4358"/>
    <w:rPr>
      <w:color w:val="2B579A"/>
      <w:shd w:val="clear" w:color="auto" w:fill="E1DFDD"/>
    </w:rPr>
  </w:style>
  <w:style w:type="character" w:customStyle="1" w:styleId="TALCar">
    <w:name w:val="TAL Car"/>
    <w:link w:val="TAL"/>
    <w:qFormat/>
    <w:rsid w:val="007A7442"/>
    <w:rPr>
      <w:rFonts w:ascii="Arial" w:hAnsi="Arial"/>
      <w:sz w:val="18"/>
      <w:lang w:eastAsia="en-US"/>
    </w:rPr>
  </w:style>
  <w:style w:type="character" w:customStyle="1" w:styleId="TAHCar">
    <w:name w:val="TAH Car"/>
    <w:link w:val="TAH"/>
    <w:qFormat/>
    <w:locked/>
    <w:rsid w:val="007A7442"/>
    <w:rPr>
      <w:rFonts w:ascii="Arial" w:hAnsi="Arial"/>
      <w:b/>
      <w:sz w:val="18"/>
      <w:lang w:eastAsia="en-US"/>
    </w:rPr>
  </w:style>
  <w:style w:type="paragraph" w:styleId="ab">
    <w:name w:val="Revision"/>
    <w:hidden/>
    <w:uiPriority w:val="99"/>
    <w:semiHidden/>
    <w:rsid w:val="00680530"/>
    <w:rPr>
      <w:lang w:eastAsia="en-US"/>
    </w:rPr>
  </w:style>
  <w:style w:type="character" w:customStyle="1" w:styleId="CRCoverPageZchn">
    <w:name w:val="CR Cover Page Zchn"/>
    <w:link w:val="CRCoverPage"/>
    <w:qFormat/>
    <w:rsid w:val="00863E0A"/>
    <w:rPr>
      <w:rFonts w:ascii="Arial" w:eastAsia="MS Mincho" w:hAnsi="Arial"/>
      <w:lang w:eastAsia="en-US"/>
    </w:rPr>
  </w:style>
  <w:style w:type="paragraph" w:customStyle="1" w:styleId="Doc-text2">
    <w:name w:val="Doc-text2"/>
    <w:basedOn w:val="a"/>
    <w:link w:val="Doc-text2Char"/>
    <w:qFormat/>
    <w:rsid w:val="00863E0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63E0A"/>
    <w:rPr>
      <w:rFonts w:ascii="Arial" w:eastAsia="MS Mincho" w:hAnsi="Arial"/>
      <w:szCs w:val="24"/>
    </w:rPr>
  </w:style>
  <w:style w:type="paragraph" w:customStyle="1" w:styleId="Agreement">
    <w:name w:val="Agreement"/>
    <w:basedOn w:val="a"/>
    <w:next w:val="Doc-text2"/>
    <w:qFormat/>
    <w:rsid w:val="00863E0A"/>
    <w:pPr>
      <w:numPr>
        <w:numId w:val="9"/>
      </w:numPr>
      <w:tabs>
        <w:tab w:val="clear" w:pos="1352"/>
        <w:tab w:val="num" w:pos="1619"/>
      </w:tabs>
      <w:spacing w:before="60" w:after="0"/>
      <w:ind w:left="1619"/>
    </w:pPr>
    <w:rPr>
      <w:rFonts w:ascii="Arial" w:eastAsia="MS Mincho" w:hAnsi="Arial"/>
      <w:b/>
      <w:szCs w:val="24"/>
      <w:lang w:eastAsia="en-GB"/>
    </w:rPr>
  </w:style>
  <w:style w:type="paragraph" w:customStyle="1" w:styleId="Doc-comment">
    <w:name w:val="Doc-comment"/>
    <w:basedOn w:val="a"/>
    <w:next w:val="Doc-text2"/>
    <w:qFormat/>
    <w:rsid w:val="00863E0A"/>
    <w:pPr>
      <w:tabs>
        <w:tab w:val="left" w:pos="1622"/>
      </w:tabs>
      <w:spacing w:after="0"/>
      <w:ind w:left="1622" w:hanging="363"/>
    </w:pPr>
    <w:rPr>
      <w:rFonts w:ascii="Arial" w:eastAsia="MS Mincho" w:hAnsi="Arial"/>
      <w:i/>
      <w:szCs w:val="24"/>
      <w:lang w:eastAsia="en-GB"/>
    </w:rPr>
  </w:style>
  <w:style w:type="table" w:styleId="ac">
    <w:name w:val="Table Grid"/>
    <w:basedOn w:val="a1"/>
    <w:qFormat/>
    <w:rsid w:val="00BF77A1"/>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locked/>
    <w:rsid w:val="00652FB2"/>
    <w:rPr>
      <w:lang w:eastAsia="en-US"/>
    </w:rPr>
  </w:style>
  <w:style w:type="character" w:customStyle="1" w:styleId="1Char">
    <w:name w:val="标题 1 Char"/>
    <w:basedOn w:val="a0"/>
    <w:link w:val="1"/>
    <w:rsid w:val="00652FB2"/>
    <w:rPr>
      <w:rFonts w:ascii="Arial" w:hAnsi="Arial"/>
      <w:sz w:val="36"/>
      <w:lang w:eastAsia="en-US"/>
    </w:rPr>
  </w:style>
  <w:style w:type="paragraph" w:styleId="ad">
    <w:name w:val="List Paragraph"/>
    <w:basedOn w:val="a"/>
    <w:uiPriority w:val="34"/>
    <w:qFormat/>
    <w:rsid w:val="008D6AF3"/>
    <w:pPr>
      <w:ind w:firstLineChars="200" w:firstLine="420"/>
    </w:pPr>
  </w:style>
  <w:style w:type="character" w:customStyle="1" w:styleId="3Char">
    <w:name w:val="标题 3 Char"/>
    <w:basedOn w:val="a0"/>
    <w:link w:val="3"/>
    <w:rsid w:val="00CA59B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3037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76085108">
      <w:bodyDiv w:val="1"/>
      <w:marLeft w:val="0"/>
      <w:marRight w:val="0"/>
      <w:marTop w:val="0"/>
      <w:marBottom w:val="0"/>
      <w:divBdr>
        <w:top w:val="none" w:sz="0" w:space="0" w:color="auto"/>
        <w:left w:val="none" w:sz="0" w:space="0" w:color="auto"/>
        <w:bottom w:val="none" w:sz="0" w:space="0" w:color="auto"/>
        <w:right w:val="none" w:sz="0" w:space="0" w:color="auto"/>
      </w:divBdr>
    </w:div>
    <w:div w:id="1602375953">
      <w:bodyDiv w:val="1"/>
      <w:marLeft w:val="0"/>
      <w:marRight w:val="0"/>
      <w:marTop w:val="0"/>
      <w:marBottom w:val="0"/>
      <w:divBdr>
        <w:top w:val="none" w:sz="0" w:space="0" w:color="auto"/>
        <w:left w:val="none" w:sz="0" w:space="0" w:color="auto"/>
        <w:bottom w:val="none" w:sz="0" w:space="0" w:color="auto"/>
        <w:right w:val="none" w:sz="0" w:space="0" w:color="auto"/>
      </w:divBdr>
    </w:div>
    <w:div w:id="1693722697">
      <w:bodyDiv w:val="1"/>
      <w:marLeft w:val="0"/>
      <w:marRight w:val="0"/>
      <w:marTop w:val="0"/>
      <w:marBottom w:val="0"/>
      <w:divBdr>
        <w:top w:val="none" w:sz="0" w:space="0" w:color="auto"/>
        <w:left w:val="none" w:sz="0" w:space="0" w:color="auto"/>
        <w:bottom w:val="none" w:sz="0" w:space="0" w:color="auto"/>
        <w:right w:val="none" w:sz="0" w:space="0" w:color="auto"/>
      </w:divBdr>
    </w:div>
    <w:div w:id="1758942372">
      <w:bodyDiv w:val="1"/>
      <w:marLeft w:val="0"/>
      <w:marRight w:val="0"/>
      <w:marTop w:val="0"/>
      <w:marBottom w:val="0"/>
      <w:divBdr>
        <w:top w:val="none" w:sz="0" w:space="0" w:color="auto"/>
        <w:left w:val="none" w:sz="0" w:space="0" w:color="auto"/>
        <w:bottom w:val="none" w:sz="0" w:space="0" w:color="auto"/>
        <w:right w:val="none" w:sz="0" w:space="0" w:color="auto"/>
      </w:divBdr>
    </w:div>
    <w:div w:id="1768305340">
      <w:bodyDiv w:val="1"/>
      <w:marLeft w:val="0"/>
      <w:marRight w:val="0"/>
      <w:marTop w:val="0"/>
      <w:marBottom w:val="0"/>
      <w:divBdr>
        <w:top w:val="none" w:sz="0" w:space="0" w:color="auto"/>
        <w:left w:val="none" w:sz="0" w:space="0" w:color="auto"/>
        <w:bottom w:val="none" w:sz="0" w:space="0" w:color="auto"/>
        <w:right w:val="none" w:sz="0" w:space="0" w:color="auto"/>
      </w:divBdr>
    </w:div>
    <w:div w:id="177485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5AIRPNAIUNRU-859666464-12916</_dlc_DocId>
    <_dlc_DocIdUrl xmlns="71c5aaf6-e6ce-465b-b873-5148d2a4c105">
      <Url>https://nokia.sharepoint.com/sites/c5g/e2earch/_layouts/15/DocIdRedir.aspx?ID=5AIRPNAIUNRU-859666464-12916</Url>
      <Description>5AIRPNAIUNRU-859666464-12916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5AED20C-EACC-4B26-A1A5-77385D2D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6465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CATT-Rui</cp:lastModifiedBy>
  <cp:revision>24</cp:revision>
  <dcterms:created xsi:type="dcterms:W3CDTF">2023-02-27T16:24:00Z</dcterms:created>
  <dcterms:modified xsi:type="dcterms:W3CDTF">2023-02-28T08:39:00Z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28cc8cc8-96cc-4b8c-bf9c-e54b9803f2ac</vt:lpwstr>
  </property>
  <property fmtid="{D5CDD505-2E9C-101B-9397-08002B2CF9AE}" pid="4" name="_2015_ms_pID_725343">
    <vt:lpwstr>(3)QxFZJnL2qmVuj82i8c3wIqAVSakE8W1SaqAZDnqYGwVuhFU6fQC4UqpC4iJImigLX1d0nUsb
9J2JClLopCiCSCWm/7kkbNMaPeLT6af7Zb5m8aAmEF3756dnntfQc0p9JMJ1Jhua0YD/Gs5Y
DXK76AM+AeHNWo2nTMCjQfRHB2gSdC+MbPUY5E6q/MktMKdUXmb7CJDcwrYr+epZv/ej9kpP
XWmQ47u4jsg+EYgcRP</vt:lpwstr>
  </property>
  <property fmtid="{D5CDD505-2E9C-101B-9397-08002B2CF9AE}" pid="5" name="_2015_ms_pID_7253431">
    <vt:lpwstr>VDZwYmHSgLzEC77JEEMmmKxCQbNeDpG7l6e3tDbSrpWNfHzkqwImD3
T9lSkLM2/xOfKVW4+plxUaPDyVd5Y9lYSX4mgckYdYRSVB6oS6Ms53wDAGMbNOq6xK8QVzp8
RhoNVJV77DNHN3NTf8gLfgCohfScNXdC7aFcvKy+5bP13TOGkLtn8xrWJB4wETfPiXwxPHrn
pXdW8/tslEf+OR7hOFjVSDsS6D7l3gN+rVCc</vt:lpwstr>
  </property>
  <property fmtid="{D5CDD505-2E9C-101B-9397-08002B2CF9AE}" pid="6" name="_2015_ms_pID_7253432">
    <vt:lpwstr>7bZ0G8MIj+K4Vm9BOdR8WHw=</vt:lpwstr>
  </property>
</Properties>
</file>