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Header"/>
        <w:widowControl w:val="0"/>
        <w:tabs>
          <w:tab w:val="right" w:pos="8280"/>
          <w:tab w:val="right" w:pos="9781"/>
        </w:tabs>
        <w:spacing w:after="0"/>
        <w:ind w:right="-58"/>
        <w:rPr>
          <w:rFonts w:ascii="Arial" w:eastAsia="MS Mincho" w:hAnsi="Arial" w:cs="Arial"/>
          <w:b/>
          <w:bCs/>
          <w:sz w:val="24"/>
          <w:lang w:eastAsia="ja-JP"/>
        </w:rPr>
      </w:pPr>
    </w:p>
    <w:p w14:paraId="3DEF65A3" w14:textId="77777777" w:rsidR="000E6612" w:rsidRDefault="0023656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 xml:space="preserve">[RA Part] UP </w:t>
      </w:r>
      <w:r>
        <w:rPr>
          <w:rFonts w:ascii="Arial" w:hAnsi="Arial" w:cs="Arial"/>
          <w:b/>
          <w:bCs/>
          <w:sz w:val="24"/>
          <w:lang w:val="en-US"/>
        </w:rPr>
        <w:t>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Heading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[AT117-e][506][RA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 xml:space="preserve">Deadline: W1 Thursday Feb 24 1200 UTC </w:t>
      </w:r>
    </w:p>
    <w:p w14:paraId="49251B1D" w14:textId="77777777" w:rsidR="000E6612" w:rsidRDefault="0023656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r>
              <w:rPr>
                <w:szCs w:val="20"/>
                <w:lang w:eastAsia="ja-JP"/>
              </w:rPr>
              <w:t>Seau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r>
              <w:rPr>
                <w:szCs w:val="20"/>
                <w:lang w:eastAsia="zh-CN"/>
              </w:rPr>
              <w:t>Linhai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hongdaDu</w:t>
            </w:r>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Yassin Awad</w:t>
            </w:r>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r>
              <w:rPr>
                <w:rFonts w:hint="eastAsia"/>
                <w:szCs w:val="20"/>
                <w:lang w:val="en-US" w:eastAsia="zh-CN"/>
              </w:rPr>
              <w:t>Xiaofei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77777777" w:rsidR="000E6612" w:rsidRDefault="000E6612">
            <w:pPr>
              <w:spacing w:after="0"/>
              <w:rPr>
                <w:szCs w:val="20"/>
                <w:lang w:eastAsia="ja-JP"/>
              </w:rPr>
            </w:pPr>
          </w:p>
        </w:tc>
        <w:tc>
          <w:tcPr>
            <w:tcW w:w="2687" w:type="dxa"/>
          </w:tcPr>
          <w:p w14:paraId="479244F3" w14:textId="77777777" w:rsidR="000E6612" w:rsidRDefault="000E6612">
            <w:pPr>
              <w:spacing w:after="0"/>
              <w:rPr>
                <w:szCs w:val="20"/>
                <w:lang w:eastAsia="ja-JP"/>
              </w:rPr>
            </w:pPr>
          </w:p>
        </w:tc>
        <w:tc>
          <w:tcPr>
            <w:tcW w:w="4903" w:type="dxa"/>
          </w:tcPr>
          <w:p w14:paraId="516BE755" w14:textId="77777777" w:rsidR="000E6612" w:rsidRDefault="000E6612">
            <w:pPr>
              <w:spacing w:after="0"/>
              <w:rPr>
                <w:szCs w:val="20"/>
                <w:lang w:eastAsia="ja-JP"/>
              </w:rPr>
            </w:pPr>
          </w:p>
        </w:tc>
      </w:tr>
      <w:tr w:rsidR="000E6612" w14:paraId="717025BC" w14:textId="77777777">
        <w:tc>
          <w:tcPr>
            <w:tcW w:w="1760" w:type="dxa"/>
          </w:tcPr>
          <w:p w14:paraId="308DDAEC" w14:textId="77777777" w:rsidR="000E6612" w:rsidRDefault="000E6612">
            <w:pPr>
              <w:spacing w:after="0"/>
              <w:rPr>
                <w:szCs w:val="20"/>
                <w:lang w:eastAsia="zh-CN"/>
              </w:rPr>
            </w:pPr>
          </w:p>
        </w:tc>
        <w:tc>
          <w:tcPr>
            <w:tcW w:w="2687" w:type="dxa"/>
          </w:tcPr>
          <w:p w14:paraId="4D1456C4" w14:textId="77777777" w:rsidR="000E6612" w:rsidRDefault="000E6612">
            <w:pPr>
              <w:spacing w:after="0"/>
              <w:rPr>
                <w:szCs w:val="20"/>
                <w:lang w:eastAsia="zh-CN"/>
              </w:rPr>
            </w:pPr>
          </w:p>
        </w:tc>
        <w:tc>
          <w:tcPr>
            <w:tcW w:w="4903" w:type="dxa"/>
          </w:tcPr>
          <w:p w14:paraId="20517E8A" w14:textId="77777777" w:rsidR="000E6612" w:rsidRDefault="000E6612">
            <w:pPr>
              <w:spacing w:after="0"/>
              <w:rPr>
                <w:szCs w:val="20"/>
                <w:lang w:eastAsia="zh-CN"/>
              </w:rPr>
            </w:pPr>
          </w:p>
        </w:tc>
      </w:tr>
      <w:tr w:rsidR="000E6612" w14:paraId="06E8AA99" w14:textId="77777777">
        <w:tc>
          <w:tcPr>
            <w:tcW w:w="1760" w:type="dxa"/>
          </w:tcPr>
          <w:p w14:paraId="76648093" w14:textId="77777777" w:rsidR="000E6612" w:rsidRDefault="000E6612">
            <w:pPr>
              <w:spacing w:after="0"/>
              <w:rPr>
                <w:szCs w:val="20"/>
                <w:lang w:eastAsia="ja-JP"/>
              </w:rPr>
            </w:pPr>
          </w:p>
        </w:tc>
        <w:tc>
          <w:tcPr>
            <w:tcW w:w="2687" w:type="dxa"/>
          </w:tcPr>
          <w:p w14:paraId="08A57B2C" w14:textId="77777777" w:rsidR="000E6612" w:rsidRDefault="000E6612">
            <w:pPr>
              <w:spacing w:after="0"/>
              <w:rPr>
                <w:szCs w:val="20"/>
                <w:lang w:eastAsia="ja-JP"/>
              </w:rPr>
            </w:pPr>
          </w:p>
        </w:tc>
        <w:tc>
          <w:tcPr>
            <w:tcW w:w="4903" w:type="dxa"/>
          </w:tcPr>
          <w:p w14:paraId="4F72EC86" w14:textId="77777777" w:rsidR="000E6612" w:rsidRDefault="000E6612">
            <w:pPr>
              <w:spacing w:after="0"/>
              <w:rPr>
                <w:szCs w:val="20"/>
                <w:lang w:eastAsia="ja-JP"/>
              </w:rPr>
            </w:pPr>
          </w:p>
        </w:tc>
      </w:tr>
      <w:tr w:rsidR="000E6612" w14:paraId="72A3DFA5" w14:textId="77777777">
        <w:tc>
          <w:tcPr>
            <w:tcW w:w="1760" w:type="dxa"/>
          </w:tcPr>
          <w:p w14:paraId="26E561DC" w14:textId="77777777" w:rsidR="000E6612" w:rsidRDefault="000E6612">
            <w:pPr>
              <w:spacing w:after="0"/>
              <w:rPr>
                <w:szCs w:val="20"/>
                <w:lang w:eastAsia="ja-JP"/>
              </w:rPr>
            </w:pPr>
          </w:p>
        </w:tc>
        <w:tc>
          <w:tcPr>
            <w:tcW w:w="2687" w:type="dxa"/>
          </w:tcPr>
          <w:p w14:paraId="48E80A31" w14:textId="77777777" w:rsidR="000E6612" w:rsidRDefault="000E6612">
            <w:pPr>
              <w:spacing w:after="0"/>
              <w:rPr>
                <w:szCs w:val="20"/>
                <w:lang w:eastAsia="ja-JP"/>
              </w:rPr>
            </w:pPr>
          </w:p>
        </w:tc>
        <w:tc>
          <w:tcPr>
            <w:tcW w:w="4903" w:type="dxa"/>
          </w:tcPr>
          <w:p w14:paraId="08DBC867" w14:textId="77777777" w:rsidR="000E6612" w:rsidRDefault="000E6612">
            <w:pPr>
              <w:spacing w:after="0"/>
              <w:rPr>
                <w:szCs w:val="20"/>
                <w:lang w:eastAsia="ja-JP"/>
              </w:rPr>
            </w:pPr>
          </w:p>
        </w:tc>
      </w:tr>
      <w:tr w:rsidR="000E6612" w14:paraId="001E89E9" w14:textId="77777777">
        <w:tc>
          <w:tcPr>
            <w:tcW w:w="1760" w:type="dxa"/>
          </w:tcPr>
          <w:p w14:paraId="13C7C10B" w14:textId="77777777" w:rsidR="000E6612" w:rsidRDefault="000E6612">
            <w:pPr>
              <w:spacing w:after="0"/>
              <w:rPr>
                <w:rFonts w:eastAsia="Malgun Gothic"/>
                <w:szCs w:val="20"/>
                <w:lang w:eastAsia="ko-KR"/>
              </w:rPr>
            </w:pPr>
          </w:p>
        </w:tc>
        <w:tc>
          <w:tcPr>
            <w:tcW w:w="2687" w:type="dxa"/>
          </w:tcPr>
          <w:p w14:paraId="71457F76" w14:textId="77777777" w:rsidR="000E6612" w:rsidRDefault="000E6612">
            <w:pPr>
              <w:spacing w:after="0"/>
              <w:rPr>
                <w:rFonts w:eastAsia="Malgun Gothic"/>
                <w:szCs w:val="20"/>
                <w:lang w:eastAsia="ko-KR"/>
              </w:rPr>
            </w:pPr>
          </w:p>
        </w:tc>
        <w:tc>
          <w:tcPr>
            <w:tcW w:w="4903" w:type="dxa"/>
          </w:tcPr>
          <w:p w14:paraId="1237C21D" w14:textId="77777777" w:rsidR="000E6612" w:rsidRDefault="000E6612">
            <w:pPr>
              <w:spacing w:after="0"/>
              <w:rPr>
                <w:rFonts w:eastAsia="Malgun Gothic"/>
                <w:szCs w:val="20"/>
                <w:lang w:eastAsia="ko-KR"/>
              </w:rPr>
            </w:pPr>
          </w:p>
        </w:tc>
      </w:tr>
      <w:tr w:rsidR="000E6612" w14:paraId="65DE9281" w14:textId="77777777">
        <w:tc>
          <w:tcPr>
            <w:tcW w:w="1760" w:type="dxa"/>
          </w:tcPr>
          <w:p w14:paraId="2E9D6C0A" w14:textId="77777777" w:rsidR="000E6612" w:rsidRDefault="000E6612">
            <w:pPr>
              <w:spacing w:after="0"/>
              <w:rPr>
                <w:szCs w:val="20"/>
                <w:lang w:eastAsia="ja-JP"/>
              </w:rPr>
            </w:pPr>
          </w:p>
        </w:tc>
        <w:tc>
          <w:tcPr>
            <w:tcW w:w="2687" w:type="dxa"/>
          </w:tcPr>
          <w:p w14:paraId="68467E8B" w14:textId="77777777" w:rsidR="000E6612" w:rsidRDefault="000E6612">
            <w:pPr>
              <w:spacing w:after="0"/>
              <w:rPr>
                <w:szCs w:val="20"/>
                <w:lang w:eastAsia="zh-CN"/>
              </w:rPr>
            </w:pPr>
          </w:p>
        </w:tc>
        <w:tc>
          <w:tcPr>
            <w:tcW w:w="4903" w:type="dxa"/>
          </w:tcPr>
          <w:p w14:paraId="73718A96" w14:textId="77777777" w:rsidR="000E6612" w:rsidRDefault="000E6612">
            <w:pPr>
              <w:spacing w:after="0"/>
              <w:rPr>
                <w:szCs w:val="20"/>
                <w:lang w:eastAsia="zh-CN"/>
              </w:rPr>
            </w:pPr>
          </w:p>
        </w:tc>
      </w:tr>
    </w:tbl>
    <w:p w14:paraId="26A73C00" w14:textId="77777777" w:rsidR="000E6612" w:rsidRDefault="0023656F">
      <w:pPr>
        <w:pStyle w:val="Heading1"/>
      </w:pPr>
      <w:r>
        <w:t>Identification of additional issues</w:t>
      </w:r>
    </w:p>
    <w:p w14:paraId="78B59D5E" w14:textId="77777777" w:rsidR="000E6612" w:rsidRDefault="0023656F">
      <w:r>
        <w:t xml:space="preserve">The </w:t>
      </w:r>
      <w:r>
        <w:t>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48"/>
        <w:gridCol w:w="6322"/>
        <w:gridCol w:w="2239"/>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 xml:space="preserve">If a separate search space for each RACH resource partition is allowed, there </w:t>
            </w:r>
            <w:r>
              <w:rPr>
                <w:lang w:val="en-US" w:eastAsia="en-GB"/>
              </w:rPr>
              <w:t>will be as many search spaces as the number of partitions, and</w:t>
            </w:r>
            <w:r>
              <w:rPr>
                <w:lang w:val="en-US"/>
              </w:rPr>
              <w:t xml:space="preserve"> therefore the search spaces will overlap, and this overlap may cause RNTI collisions as well as making difficult for the gNB to achieve scheduling flexibility. Hence, RAN1 must be consulted.</w:t>
            </w:r>
          </w:p>
          <w:p w14:paraId="0A5419D8" w14:textId="77777777" w:rsidR="000E6612" w:rsidRDefault="0023656F">
            <w:pPr>
              <w:ind w:left="284"/>
              <w:rPr>
                <w:lang w:val="en-US" w:eastAsia="en-GB"/>
              </w:rPr>
            </w:pPr>
            <w:r>
              <w:rPr>
                <w:b/>
                <w:bCs/>
                <w:lang w:val="en-US"/>
              </w:rPr>
              <w:t>Ob</w:t>
            </w:r>
            <w:r>
              <w:rPr>
                <w:b/>
                <w:bCs/>
                <w:lang w:val="en-US"/>
              </w:rPr>
              <w:t xml:space="preserve">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w:t>
            </w:r>
            <w:r>
              <w:rPr>
                <w:b/>
                <w:bCs/>
                <w:lang w:val="en-US"/>
              </w:rPr>
              <w:t>ts for the symbol index (</w:t>
            </w:r>
            <w:r>
              <w:rPr>
                <w:b/>
                <w:bCs/>
                <w:i/>
                <w:iCs/>
                <w:lang w:val="en-US" w:eastAsia="ko-KR"/>
              </w:rPr>
              <w:t>s_id</w:t>
            </w:r>
            <w:r>
              <w:rPr>
                <w:b/>
                <w:bCs/>
                <w:lang w:val="en-US" w:eastAsia="ko-KR"/>
              </w:rPr>
              <w:t xml:space="preserve">) and </w:t>
            </w:r>
            <w:r>
              <w:rPr>
                <w:b/>
                <w:bCs/>
                <w:lang w:val="en-US"/>
              </w:rPr>
              <w:t>the slot index (</w:t>
            </w:r>
            <w:r>
              <w:rPr>
                <w:b/>
                <w:bCs/>
                <w:i/>
                <w:iCs/>
                <w:lang w:val="en-US" w:eastAsia="ko-KR"/>
              </w:rPr>
              <w:t>t_id</w:t>
            </w:r>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r>
              <w:rPr>
                <w:b/>
                <w:bCs/>
                <w:i/>
                <w:iCs/>
                <w:lang w:val="en-US" w:eastAsia="ko-KR"/>
              </w:rPr>
              <w:t>s_id</w:t>
            </w:r>
            <w:r>
              <w:rPr>
                <w:b/>
                <w:bCs/>
                <w:lang w:val="en-US" w:eastAsia="ko-KR"/>
              </w:rPr>
              <w:t xml:space="preserve"> and </w:t>
            </w:r>
            <w:r>
              <w:rPr>
                <w:b/>
                <w:bCs/>
                <w:i/>
                <w:iCs/>
                <w:lang w:val="en-US" w:eastAsia="ko-KR"/>
              </w:rPr>
              <w:t>t_id</w:t>
            </w:r>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t xml:space="preserve">P1 is </w:t>
            </w:r>
            <w:r>
              <w:rPr>
                <w:lang w:val="en-US"/>
              </w:rPr>
              <w:t>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lastRenderedPageBreak/>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w:t>
            </w:r>
            <w:r>
              <w:rPr>
                <w:rFonts w:eastAsia="Times New Roman"/>
                <w:lang w:val="en-US"/>
              </w:rPr>
              <w:t>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w:t>
            </w:r>
            <w:r>
              <w:rPr>
                <w:highlight w:val="yellow"/>
                <w:lang w:val="en-US"/>
              </w:rPr>
              <w:t>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w:t>
            </w:r>
            <w:r>
              <w:rPr>
                <w:lang w:val="en-US"/>
              </w:rPr>
              <w:t>      Network can optionally configure an RA-RNTI offset associated with a PRACH configuration. If configured, the offset is added in the formula for RA-RNTI/MsgB-RNTI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 xml:space="preserve">P1 is being discussed in </w:t>
            </w:r>
            <w:r>
              <w:rPr>
                <w:lang w:val="en-US"/>
              </w:rPr>
              <w:t>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w:t>
            </w:r>
            <w:r>
              <w:rPr>
                <w:lang w:val="en-US"/>
              </w:rPr>
              <w:t>][514]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w:t>
            </w:r>
            <w:r>
              <w:rPr>
                <w:b/>
                <w:bCs/>
                <w:highlight w:val="yellow"/>
                <w:lang w:val="en-US"/>
              </w:rPr>
              <w:t>combination) specific RACH to 4-step common RACH is not supported.</w:t>
            </w:r>
          </w:p>
          <w:p w14:paraId="40A56DDA" w14:textId="77777777" w:rsidR="000E6612" w:rsidRDefault="0023656F">
            <w:pPr>
              <w:pStyle w:val="ListParagraph"/>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ListParagraph"/>
              <w:spacing w:after="0"/>
              <w:ind w:left="0"/>
              <w:rPr>
                <w:b/>
                <w:lang w:val="en-US"/>
              </w:rPr>
            </w:pPr>
            <w:r>
              <w:rPr>
                <w:b/>
                <w:lang w:val="en-US"/>
              </w:rPr>
              <w:t xml:space="preserve">Proposal 4: To avoid that SDT procedure is initiated while the </w:t>
            </w:r>
            <w:r>
              <w:rPr>
                <w:b/>
                <w:lang w:val="en-US"/>
              </w:rPr>
              <w:t>feature/feature combination does not include SDT, RAN2 should consider updating the SDT CRs according to one of the following options:</w:t>
            </w:r>
          </w:p>
          <w:p w14:paraId="6FD1320C" w14:textId="77777777" w:rsidR="000E6612" w:rsidRDefault="0023656F">
            <w:pPr>
              <w:pStyle w:val="ListParagraph"/>
              <w:numPr>
                <w:ilvl w:val="0"/>
                <w:numId w:val="10"/>
              </w:numPr>
              <w:spacing w:after="0" w:line="300" w:lineRule="auto"/>
              <w:rPr>
                <w:b/>
                <w:lang w:val="en-US"/>
              </w:rPr>
            </w:pPr>
            <w:r>
              <w:rPr>
                <w:b/>
                <w:lang w:val="en-US"/>
              </w:rPr>
              <w:t>Option 1: SDT is only initiated when the selected feature/feature combination includes SDT;</w:t>
            </w:r>
          </w:p>
          <w:p w14:paraId="4779E2EE" w14:textId="77777777" w:rsidR="000E6612" w:rsidRDefault="0023656F">
            <w:pPr>
              <w:pStyle w:val="ListParagraph"/>
              <w:numPr>
                <w:ilvl w:val="0"/>
                <w:numId w:val="10"/>
              </w:numPr>
              <w:spacing w:after="0" w:line="300" w:lineRule="auto"/>
              <w:rPr>
                <w:b/>
                <w:sz w:val="22"/>
                <w:lang w:val="en-US"/>
              </w:rPr>
            </w:pPr>
            <w:r>
              <w:rPr>
                <w:b/>
                <w:lang w:val="en-US"/>
              </w:rPr>
              <w:t xml:space="preserve">Option 2: MAC layer </w:t>
            </w:r>
            <w:r>
              <w:rPr>
                <w:b/>
                <w:lang w:val="en-US"/>
              </w:rPr>
              <w:t>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 xml:space="preserve">Observation </w:t>
            </w:r>
            <w:r>
              <w:rPr>
                <w:b/>
                <w:bCs/>
                <w:lang w:val="en-US"/>
              </w:rPr>
              <w:t>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w:t>
            </w:r>
            <w:r>
              <w:rPr>
                <w:b/>
                <w:bCs/>
                <w:lang w:val="en-US"/>
              </w:rPr>
              <w:t>ce request/RA procedure but matches to subset of the features.</w:t>
            </w:r>
          </w:p>
          <w:p w14:paraId="4D82D0C4" w14:textId="77777777" w:rsidR="000E6612" w:rsidRDefault="0023656F">
            <w:pPr>
              <w:rPr>
                <w:b/>
                <w:bCs/>
                <w:lang w:val="en-US"/>
              </w:rPr>
            </w:pPr>
            <w:r>
              <w:rPr>
                <w:b/>
                <w:bCs/>
                <w:lang w:val="en-US"/>
              </w:rPr>
              <w:t>Proposal 1: NW signals priority order of the features with RACH partition configured in SIB.</w:t>
            </w:r>
          </w:p>
          <w:p w14:paraId="2E8FC60C" w14:textId="77777777" w:rsidR="000E6612" w:rsidRDefault="0023656F">
            <w:pPr>
              <w:rPr>
                <w:lang w:val="en-US"/>
              </w:rPr>
            </w:pPr>
            <w:r>
              <w:rPr>
                <w:b/>
                <w:bCs/>
                <w:lang w:val="en-US"/>
              </w:rPr>
              <w:t>Proposal 2: UE selects the RACH partition based on the highest priority feature of the feature set u</w:t>
            </w:r>
            <w:r>
              <w:rPr>
                <w:b/>
                <w:bCs/>
                <w:lang w:val="en-US"/>
              </w:rPr>
              <w:t>sed for current RA procedure and available and available in a certain RACH partition.</w:t>
            </w:r>
          </w:p>
          <w:p w14:paraId="5CAD81D7" w14:textId="77777777" w:rsidR="000E6612" w:rsidRDefault="0023656F">
            <w:pPr>
              <w:rPr>
                <w:b/>
                <w:bCs/>
                <w:lang w:val="en-US"/>
              </w:rPr>
            </w:pPr>
            <w:r>
              <w:rPr>
                <w:b/>
                <w:bCs/>
                <w:lang w:val="en-US"/>
              </w:rPr>
              <w:lastRenderedPageBreak/>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 xml:space="preserve">Proposal 3: SDT can be configured to use common RACH resources in which </w:t>
            </w:r>
            <w:r>
              <w:rPr>
                <w:b/>
                <w:highlight w:val="green"/>
                <w:lang w:val="en-US"/>
              </w:rPr>
              <w:t>case Msg3 is used to indicate the SDT procedure to the network.</w:t>
            </w:r>
          </w:p>
          <w:p w14:paraId="483138B4" w14:textId="77777777" w:rsidR="000E6612" w:rsidRDefault="0023656F">
            <w:pPr>
              <w:rPr>
                <w:b/>
                <w:highlight w:val="cyan"/>
                <w:lang w:val="en-US"/>
              </w:rPr>
            </w:pPr>
            <w:r>
              <w:rPr>
                <w:b/>
                <w:highlight w:val="cyan"/>
                <w:lang w:val="en-US"/>
              </w:rPr>
              <w:t>Proposal 4: When one RO provides preambles for multiple RACH partitions, it shall be possible to selectively apply backoff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w:t>
            </w:r>
            <w:r>
              <w:rPr>
                <w:lang w:val="en-US"/>
              </w:rPr>
              <w:t>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P4: Backoff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t>R2-2202976 [2]</w:t>
            </w:r>
          </w:p>
          <w:p w14:paraId="474498C6" w14:textId="77777777" w:rsidR="000E6612" w:rsidRDefault="0023656F">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w:t>
            </w:r>
            <w:r>
              <w:rPr>
                <w:b/>
                <w:bCs/>
                <w:highlight w:val="yellow"/>
                <w:lang w:val="en-US"/>
              </w:rPr>
              <w:t>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Based on the above analy</w:t>
      </w:r>
      <w:r>
        <w:t xml:space="preserve">sis, the following issues will be discussed here (as remaining are covered by </w:t>
      </w:r>
      <w:r>
        <w:rPr>
          <w:lang w:val="en-US"/>
        </w:rPr>
        <w:t>[Post116bis-e][514] and [515]</w:t>
      </w:r>
      <w:r>
        <w:t>):</w:t>
      </w:r>
    </w:p>
    <w:p w14:paraId="0326DED5" w14:textId="77777777" w:rsidR="000E6612" w:rsidRDefault="0023656F">
      <w:pPr>
        <w:pStyle w:val="ListParagraph"/>
        <w:numPr>
          <w:ilvl w:val="0"/>
          <w:numId w:val="9"/>
        </w:numPr>
      </w:pPr>
      <w:r>
        <w:rPr>
          <w:highlight w:val="yellow"/>
        </w:rPr>
        <w:t>Issue#1</w:t>
      </w:r>
      <w:r>
        <w:t>: Fallback mechanism from 2-step RACH to Msg1 of 4-step RACH</w:t>
      </w:r>
    </w:p>
    <w:p w14:paraId="053F4515" w14:textId="77777777" w:rsidR="000E6612" w:rsidRDefault="0023656F">
      <w:pPr>
        <w:pStyle w:val="ListParagraph"/>
        <w:numPr>
          <w:ilvl w:val="0"/>
          <w:numId w:val="9"/>
        </w:numPr>
      </w:pPr>
      <w:r>
        <w:rPr>
          <w:highlight w:val="cyan"/>
        </w:rPr>
        <w:t>Issue#2</w:t>
      </w:r>
      <w:r>
        <w:t xml:space="preserve">: </w:t>
      </w:r>
      <w:bookmarkStart w:id="0" w:name="_Hlk95830012"/>
      <w:r>
        <w:t>Selective Backoff in RO shared by multiple RACH partition</w:t>
      </w:r>
    </w:p>
    <w:bookmarkEnd w:id="0"/>
    <w:p w14:paraId="6749F6D8" w14:textId="77777777" w:rsidR="000E6612" w:rsidRDefault="0023656F">
      <w:pPr>
        <w:pStyle w:val="ListParagraph"/>
        <w:numPr>
          <w:ilvl w:val="0"/>
          <w:numId w:val="9"/>
        </w:numPr>
      </w:pPr>
      <w:r>
        <w:rPr>
          <w:highlight w:val="green"/>
        </w:rPr>
        <w:t>Issue#3</w:t>
      </w:r>
      <w:r>
        <w:t>: Ms</w:t>
      </w:r>
      <w:r>
        <w:t xml:space="preserve">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Heading1"/>
      </w:pPr>
      <w:r>
        <w:t>Issue#1: Fallback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(e.g. based on reception of a RAR or after N 2-step attempts</w:t>
            </w:r>
            <w:r>
              <w:rPr>
                <w:lang w:val="en-US"/>
              </w:rPr>
              <w:t>)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 xml:space="preserve">Proposal 2: </w:t>
            </w:r>
            <w:r>
              <w:rPr>
                <w:b/>
                <w:bCs/>
                <w:lang w:val="en-US"/>
              </w:rPr>
              <w:t>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t>R2-2202976 [2]</w:t>
            </w:r>
          </w:p>
          <w:p w14:paraId="7E1652B8" w14:textId="77777777" w:rsidR="000E6612" w:rsidRDefault="0023656F">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w:t>
            </w:r>
            <w:r>
              <w:rPr>
                <w:b/>
                <w:bCs/>
                <w:lang w:val="en-US"/>
              </w:rPr>
              <w:t>ng either CE or Redcap or SDT</w:t>
            </w:r>
          </w:p>
          <w:p w14:paraId="24D6FC51" w14:textId="77777777" w:rsidR="000E6612" w:rsidRDefault="0023656F">
            <w:pPr>
              <w:rPr>
                <w:lang w:val="en-US"/>
              </w:rPr>
            </w:pPr>
            <w:r>
              <w:rPr>
                <w:b/>
                <w:bCs/>
                <w:lang w:val="en-US"/>
              </w:rPr>
              <w:t>Proposal1a: fall back from 2-step partition specific RACH to 4-step common RACH is allowed for Slicing</w:t>
            </w:r>
          </w:p>
          <w:p w14:paraId="669A8118" w14:textId="77777777" w:rsidR="000E6612" w:rsidRDefault="0023656F">
            <w:pPr>
              <w:rPr>
                <w:lang w:val="en-US"/>
              </w:rPr>
            </w:pPr>
            <w:r>
              <w:rPr>
                <w:b/>
                <w:bCs/>
                <w:lang w:val="en-US"/>
              </w:rPr>
              <w:lastRenderedPageBreak/>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lastRenderedPageBreak/>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th</w:t>
      </w:r>
      <w:r>
        <w:rPr>
          <w:rFonts w:eastAsiaTheme="minorEastAsia"/>
        </w:rPr>
        <w:t xml:space="preserve">at in general all RACH retransmissions shall be performed over the same RACH resources and the same carrier as the one selected for initial RACH resource until RACH failure happens. </w:t>
      </w:r>
    </w:p>
    <w:tbl>
      <w:tblPr>
        <w:tblStyle w:val="TableGrid"/>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w:t>
            </w:r>
            <w:r>
              <w:rPr>
                <w:rFonts w:ascii="Arial" w:eastAsia="Times New Roman" w:hAnsi="Arial" w:cs="Arial"/>
                <w:color w:val="000000"/>
              </w:rPr>
              <w:t xml:space="preserve">the following general principles: </w:t>
            </w:r>
          </w:p>
          <w:p w14:paraId="1EA0C3F3"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c: As a general rule, all RACH retransmissions (if any are needed, until RACH failure happens) shall be performed over the same RACH resources (and same carrier – NUL/SUL) as the one selected for initial RACH resource.  H</w:t>
            </w:r>
            <w:r>
              <w:rPr>
                <w:rFonts w:ascii="Arial" w:eastAsia="Times New Roman" w:hAnsi="Arial" w:cs="Arial"/>
                <w:color w:val="000000"/>
              </w:rPr>
              <w:t>owever, we can discuss fallback on a case by case basis if there is a strong motivation and discuss them together in this AI.</w:t>
            </w:r>
          </w:p>
        </w:tc>
      </w:tr>
    </w:tbl>
    <w:p w14:paraId="7FCCFE4A" w14:textId="77777777" w:rsidR="000E6612" w:rsidRDefault="000E6612"/>
    <w:p w14:paraId="76446074" w14:textId="77777777" w:rsidR="000E6612" w:rsidRDefault="0023656F">
      <w:r>
        <w:t>However, there are still FFS on whether to support fallback from 2-step slice specific RACH to 4-step common RACH, if 4-step sli</w:t>
      </w:r>
      <w:r>
        <w:t>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 xml:space="preserve">FFS for next meeting – whether RAN2 confirms the </w:t>
      </w:r>
      <w:r>
        <w:rPr>
          <w:rStyle w:val="normaltextrun"/>
          <w:rFonts w:ascii="Arial" w:hAnsi="Arial" w:cs="Arial"/>
          <w:sz w:val="20"/>
          <w:szCs w:val="20"/>
        </w:rPr>
        <w:t>following agreements/assumption made in the Slicing WI regarding fallback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 xml:space="preserve">The agreement 9 needs to be aligned to common framework where the UE falls back (switching) to the same RA type it has initially selected and we </w:t>
      </w:r>
      <w:r>
        <w:rPr>
          <w:rStyle w:val="normaltextrun"/>
          <w:rFonts w:ascii="Arial" w:hAnsi="Arial" w:cs="Arial"/>
          <w:sz w:val="20"/>
          <w:szCs w:val="20"/>
        </w:rPr>
        <w:t>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  For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9  The following fallback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w:t>
      </w:r>
      <w:r>
        <w:rPr>
          <w:rStyle w:val="normaltextrun"/>
          <w:b/>
          <w:bCs/>
          <w:sz w:val="20"/>
          <w:szCs w:val="20"/>
        </w:rPr>
        <w:t xml:space="preserv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 xml:space="preserve">Fallback case </w:t>
      </w:r>
      <w:r>
        <w:rPr>
          <w:rStyle w:val="normaltextrun"/>
          <w:sz w:val="20"/>
          <w:szCs w:val="20"/>
        </w:rPr>
        <w:t>3: Fallback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Based on the proposals in the contribution, the following proposal seem to be common among the contributions:</w:t>
      </w:r>
    </w:p>
    <w:p w14:paraId="06C23C54" w14:textId="77777777" w:rsidR="000E6612" w:rsidRDefault="0023656F">
      <w:pPr>
        <w:ind w:left="720"/>
        <w:rPr>
          <w:lang w:val="en-US"/>
        </w:rPr>
      </w:pPr>
      <w:r>
        <w:rPr>
          <w:b/>
          <w:bCs/>
          <w:lang w:val="en-US"/>
        </w:rPr>
        <w:t>Pr</w:t>
      </w:r>
      <w:r>
        <w:rPr>
          <w:b/>
          <w:bCs/>
          <w:lang w:val="en-US"/>
        </w:rPr>
        <w:t xml:space="preserve">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w:t>
      </w:r>
      <w:r>
        <w:rPr>
          <w:b/>
          <w:bCs/>
        </w:rPr>
        <w:t xml:space="preserve">allback from common 2-step RACH to common 4-step RACH after </w:t>
      </w:r>
      <w:r>
        <w:rPr>
          <w:rFonts w:ascii="Times New Roman" w:eastAsia="Times New Roman" w:hAnsi="Times New Roman"/>
          <w:i/>
          <w:iCs/>
        </w:rPr>
        <w:t>msgA-TransMax</w:t>
      </w:r>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1162CC5" w14:textId="77777777">
        <w:tc>
          <w:tcPr>
            <w:tcW w:w="1696" w:type="dxa"/>
          </w:tcPr>
          <w:p w14:paraId="2F726703" w14:textId="77777777" w:rsidR="000E6612" w:rsidRDefault="0023656F">
            <w:pPr>
              <w:rPr>
                <w:b/>
                <w:bCs/>
              </w:rPr>
            </w:pPr>
            <w:r>
              <w:rPr>
                <w:b/>
                <w:bCs/>
              </w:rPr>
              <w:t>Companies</w:t>
            </w:r>
          </w:p>
        </w:tc>
        <w:tc>
          <w:tcPr>
            <w:tcW w:w="1134" w:type="dxa"/>
          </w:tcPr>
          <w:p w14:paraId="52E6AFB0" w14:textId="77777777" w:rsidR="000E6612" w:rsidRDefault="0023656F">
            <w:pPr>
              <w:rPr>
                <w:b/>
                <w:bCs/>
              </w:rPr>
            </w:pPr>
            <w:r>
              <w:rPr>
                <w:b/>
                <w:bCs/>
              </w:rPr>
              <w:t>Yes/No</w:t>
            </w:r>
          </w:p>
        </w:tc>
        <w:tc>
          <w:tcPr>
            <w:tcW w:w="7089" w:type="dxa"/>
          </w:tcPr>
          <w:p w14:paraId="76EEC55B" w14:textId="77777777" w:rsidR="000E6612" w:rsidRDefault="0023656F">
            <w:pPr>
              <w:rPr>
                <w:b/>
                <w:bCs/>
              </w:rPr>
            </w:pPr>
            <w:r>
              <w:rPr>
                <w:b/>
                <w:bCs/>
              </w:rPr>
              <w:t>Comments</w:t>
            </w:r>
          </w:p>
        </w:tc>
      </w:tr>
      <w:tr w:rsidR="000E6612" w14:paraId="508EC640" w14:textId="77777777">
        <w:tc>
          <w:tcPr>
            <w:tcW w:w="1696" w:type="dxa"/>
          </w:tcPr>
          <w:p w14:paraId="0AC04D06" w14:textId="77777777" w:rsidR="000E6612" w:rsidRDefault="0023656F">
            <w:r>
              <w:t>Intel</w:t>
            </w:r>
          </w:p>
        </w:tc>
        <w:tc>
          <w:tcPr>
            <w:tcW w:w="1134" w:type="dxa"/>
          </w:tcPr>
          <w:p w14:paraId="0E578F49" w14:textId="77777777" w:rsidR="000E6612" w:rsidRDefault="0023656F">
            <w:r>
              <w:t>Yes</w:t>
            </w:r>
          </w:p>
        </w:tc>
        <w:tc>
          <w:tcPr>
            <w:tcW w:w="7089" w:type="dxa"/>
          </w:tcPr>
          <w:p w14:paraId="5020AE86" w14:textId="77777777" w:rsidR="000E6612" w:rsidRDefault="0023656F">
            <w:r>
              <w:t>It is already implied by the baseline:</w:t>
            </w:r>
          </w:p>
          <w:p w14:paraId="10D41DB4" w14:textId="77777777" w:rsidR="000E6612" w:rsidRDefault="0023656F">
            <w:r>
              <w:t xml:space="preserve">6.    As a baseline, the RA procedure design for Rel-17 should adhere to the following general principles: </w:t>
            </w:r>
          </w:p>
          <w:p w14:paraId="34843FC2" w14:textId="77777777" w:rsidR="000E6612" w:rsidRDefault="0023656F">
            <w:r>
              <w:t xml:space="preserve">c: As a general rule, all RACH retransmissions (if any are needed, until RACH failure happens) shall be performed over the same RACH resources (and </w:t>
            </w:r>
            <w:r>
              <w:t>same carrier – NUL/SUL) as the one selected for initial RACH resource.  However, we can discuss fallback on a case by case basis if there is a strong motivation and discuss them together in this AI.</w:t>
            </w:r>
          </w:p>
        </w:tc>
      </w:tr>
      <w:tr w:rsidR="000E6612" w14:paraId="1389BF51" w14:textId="77777777">
        <w:tc>
          <w:tcPr>
            <w:tcW w:w="1696" w:type="dxa"/>
          </w:tcPr>
          <w:p w14:paraId="105857C0" w14:textId="77777777" w:rsidR="000E6612" w:rsidRDefault="0023656F">
            <w:r>
              <w:t>Qualcomm</w:t>
            </w:r>
          </w:p>
        </w:tc>
        <w:tc>
          <w:tcPr>
            <w:tcW w:w="1134" w:type="dxa"/>
          </w:tcPr>
          <w:p w14:paraId="282B13B4" w14:textId="77777777" w:rsidR="000E6612" w:rsidRDefault="0023656F">
            <w:r>
              <w:t>Yes</w:t>
            </w:r>
          </w:p>
        </w:tc>
        <w:tc>
          <w:tcPr>
            <w:tcW w:w="7089" w:type="dxa"/>
          </w:tcPr>
          <w:p w14:paraId="179FA7A6" w14:textId="77777777" w:rsidR="000E6612" w:rsidRDefault="0023656F">
            <w:r>
              <w:t>It helps keep UE behavior simple and is not</w:t>
            </w:r>
            <w:r>
              <w:t xml:space="preserve"> hard for network to configure. </w:t>
            </w:r>
          </w:p>
          <w:p w14:paraId="62EF5B2D" w14:textId="77777777" w:rsidR="000E6612" w:rsidRDefault="000E6612"/>
        </w:tc>
      </w:tr>
      <w:tr w:rsidR="000E6612" w14:paraId="4A4901B4" w14:textId="77777777">
        <w:tc>
          <w:tcPr>
            <w:tcW w:w="1696" w:type="dxa"/>
          </w:tcPr>
          <w:p w14:paraId="267D4478"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2EB8725B"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tc>
      </w:tr>
      <w:tr w:rsidR="000E6612" w14:paraId="7482C4B6" w14:textId="77777777">
        <w:tc>
          <w:tcPr>
            <w:tcW w:w="1696" w:type="dxa"/>
          </w:tcPr>
          <w:p w14:paraId="6DD32463" w14:textId="77777777" w:rsidR="000E6612" w:rsidRDefault="0023656F">
            <w:pPr>
              <w:rPr>
                <w:rFonts w:eastAsiaTheme="minorEastAsia"/>
                <w:lang w:eastAsia="zh-CN"/>
              </w:rPr>
            </w:pPr>
            <w:r>
              <w:rPr>
                <w:rFonts w:eastAsiaTheme="minorEastAsia"/>
                <w:lang w:eastAsia="zh-CN"/>
              </w:rPr>
              <w:t>Sony</w:t>
            </w:r>
          </w:p>
        </w:tc>
        <w:tc>
          <w:tcPr>
            <w:tcW w:w="1134" w:type="dxa"/>
          </w:tcPr>
          <w:p w14:paraId="5827ED8A" w14:textId="77777777" w:rsidR="000E6612" w:rsidRDefault="0023656F">
            <w:pPr>
              <w:rPr>
                <w:rFonts w:eastAsiaTheme="minorEastAsia"/>
                <w:lang w:eastAsia="zh-CN"/>
              </w:rPr>
            </w:pPr>
            <w:r>
              <w:rPr>
                <w:rFonts w:eastAsiaTheme="minorEastAsia"/>
                <w:lang w:eastAsia="zh-CN"/>
              </w:rPr>
              <w:t>Yes</w:t>
            </w:r>
          </w:p>
        </w:tc>
        <w:tc>
          <w:tcPr>
            <w:tcW w:w="7089" w:type="dxa"/>
          </w:tcPr>
          <w:p w14:paraId="0ED09F7A" w14:textId="77777777" w:rsidR="000E6612" w:rsidRDefault="000E6612"/>
        </w:tc>
      </w:tr>
      <w:tr w:rsidR="000E6612" w14:paraId="333F074A" w14:textId="77777777">
        <w:tc>
          <w:tcPr>
            <w:tcW w:w="1696" w:type="dxa"/>
          </w:tcPr>
          <w:p w14:paraId="57C17F90" w14:textId="77777777" w:rsidR="000E6612" w:rsidRDefault="0023656F">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tc>
      </w:tr>
      <w:bookmarkEnd w:id="1"/>
      <w:tr w:rsidR="000E6612" w14:paraId="0DEC8CE8" w14:textId="77777777">
        <w:tc>
          <w:tcPr>
            <w:tcW w:w="1696" w:type="dxa"/>
          </w:tcPr>
          <w:p w14:paraId="14075DAE" w14:textId="0A69C8F7" w:rsidR="000E6612" w:rsidRDefault="00D852F4">
            <w:pPr>
              <w:rPr>
                <w:rFonts w:eastAsiaTheme="minorEastAsia"/>
                <w:lang w:eastAsia="zh-CN"/>
              </w:rPr>
            </w:pPr>
            <w:r>
              <w:rPr>
                <w:rFonts w:eastAsiaTheme="minorEastAsia"/>
                <w:lang w:eastAsia="zh-CN"/>
              </w:rPr>
              <w:t>ZTE</w:t>
            </w:r>
          </w:p>
        </w:tc>
        <w:tc>
          <w:tcPr>
            <w:tcW w:w="1134" w:type="dxa"/>
          </w:tcPr>
          <w:p w14:paraId="79A18DBC" w14:textId="7B5A73A7" w:rsidR="000E6612" w:rsidRDefault="00D852F4">
            <w:pPr>
              <w:rPr>
                <w:rFonts w:eastAsiaTheme="minorEastAsia"/>
                <w:lang w:eastAsia="zh-CN"/>
              </w:rPr>
            </w:pPr>
            <w:r>
              <w:rPr>
                <w:rFonts w:eastAsiaTheme="minorEastAsia"/>
                <w:lang w:eastAsia="zh-CN"/>
              </w:rPr>
              <w:t>Yes</w:t>
            </w:r>
          </w:p>
        </w:tc>
        <w:tc>
          <w:tcPr>
            <w:tcW w:w="7089" w:type="dxa"/>
          </w:tcPr>
          <w:p w14:paraId="45C767F9" w14:textId="571B4E09" w:rsidR="000E6612" w:rsidRDefault="00D852F4">
            <w:r>
              <w:t xml:space="preserve">Since there is no RACH partition change in this case, there is no issue with this switching. No changes needed to running CR as pointed out by others. </w:t>
            </w:r>
          </w:p>
        </w:tc>
      </w:tr>
    </w:tbl>
    <w:p w14:paraId="46E664C4" w14:textId="77777777" w:rsidR="000E6612" w:rsidRDefault="000E6612"/>
    <w:p w14:paraId="0FB48DCB" w14:textId="77777777" w:rsidR="000E6612" w:rsidRDefault="0023656F">
      <w:r>
        <w:t xml:space="preserve">As on whether to support fallback from 2-step feature (combination) specific RACH to common 4-step RACH after N 2-step attempts, if 4-step feature (combination) specific RACH is </w:t>
      </w:r>
      <w:r>
        <w:t>not configured,  [7] and [8] think that it should not be supported, while [2] generally think so except for slicing. The reason for not supporting it is that it does not conform to what we agreed in common session and it may not work for some features such</w:t>
      </w:r>
      <w:r>
        <w:t xml:space="preserve"> as SDT due to TB rebuilding, RedCap and CE. Unless such fallback is only allowed for slicing on its own, it would be good to follow an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4-st</w:t>
      </w:r>
      <w:r>
        <w:rPr>
          <w:b/>
          <w:bCs/>
          <w:u w:val="single"/>
          <w:lang w:val="en-US"/>
        </w:rPr>
        <w:t xml:space="preserve">ep common RA </w:t>
      </w:r>
      <w:r>
        <w:rPr>
          <w:b/>
          <w:bCs/>
          <w:lang w:val="en-US"/>
        </w:rPr>
        <w:t>(I.e.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r>
        <w:rPr>
          <w:rFonts w:ascii="Times New Roman" w:eastAsia="Times New Roman" w:hAnsi="Times New Roman"/>
          <w:i/>
          <w:iCs/>
        </w:rPr>
        <w:t>msgA-Tra</w:t>
      </w:r>
      <w:r>
        <w:rPr>
          <w:rFonts w:ascii="Times New Roman" w:eastAsia="Times New Roman" w:hAnsi="Times New Roman"/>
          <w:i/>
          <w:iCs/>
        </w:rPr>
        <w:t>nsMax</w:t>
      </w:r>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 xml:space="preserve">The main intention to differentiate slice group via msg1 or msgA is for access </w:t>
            </w:r>
            <w:r>
              <w:rPr>
                <w:rFonts w:eastAsiaTheme="minorEastAsia"/>
                <w:lang w:eastAsia="zh-CN"/>
              </w:rPr>
              <w:t>control. In case 2-step RACH is triggered but failed and it is not allowed to fallback to common 4-step RACH, it means the RACH will stop immediately. If this associated slice will be originally accommodated by network it means UE loss the chance from begi</w:t>
            </w:r>
            <w:r>
              <w:rPr>
                <w:rFonts w:eastAsiaTheme="minorEastAsia"/>
                <w:lang w:eastAsia="zh-CN"/>
              </w:rPr>
              <w:t>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r>
              <w:rPr>
                <w:rFonts w:eastAsiaTheme="minorEastAsia"/>
                <w:lang w:eastAsia="zh-CN"/>
              </w:rPr>
              <w:t xml:space="preserve">i.e. this should NOT be supported (just highlighted NOT above to avoid confusion). </w:t>
            </w:r>
          </w:p>
        </w:tc>
      </w:tr>
    </w:tbl>
    <w:p w14:paraId="6B444F2E" w14:textId="77777777" w:rsidR="000E6612" w:rsidRDefault="000E6612"/>
    <w:p w14:paraId="369E7ED0" w14:textId="77777777" w:rsidR="000E6612" w:rsidRDefault="0023656F">
      <w:pPr>
        <w:pStyle w:val="Heading1"/>
      </w:pPr>
      <w:r>
        <w:t>Issue#2: 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Proposal 4: When one RO provides preambles for multiple RACH partitions, it shall be possible to selectively apply backoff for sp</w:t>
            </w:r>
            <w:r>
              <w:rPr>
                <w:b/>
                <w:bCs/>
                <w:lang w:val="en-US"/>
              </w:rPr>
              <w:t>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think that multiple RACH partitions sharing the same RO may encounter congestion, but there is no means for the network to selectively indicate the RACH partition to perform the backoff.  </w:t>
      </w:r>
    </w:p>
    <w:p w14:paraId="6D8B8E20" w14:textId="77777777" w:rsidR="000E6612" w:rsidRDefault="0023656F">
      <w:pPr>
        <w:rPr>
          <w:b/>
          <w:bCs/>
        </w:rPr>
      </w:pPr>
      <w:r>
        <w:rPr>
          <w:b/>
          <w:bCs/>
        </w:rPr>
        <w:t>5-1. Companies are invited to provide their views whether the p</w:t>
      </w:r>
      <w:r>
        <w:rPr>
          <w:b/>
          <w:bCs/>
        </w:rPr>
        <w:t>roposal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t>Qual</w:t>
            </w:r>
            <w:r>
              <w:t>comm</w:t>
            </w:r>
          </w:p>
        </w:tc>
        <w:tc>
          <w:tcPr>
            <w:tcW w:w="1134" w:type="dxa"/>
          </w:tcPr>
          <w:p w14:paraId="57015C20" w14:textId="77777777" w:rsidR="000E6612" w:rsidRDefault="0023656F">
            <w:r>
              <w:t>No</w:t>
            </w:r>
          </w:p>
        </w:tc>
        <w:tc>
          <w:tcPr>
            <w:tcW w:w="7089" w:type="dxa"/>
          </w:tcPr>
          <w:p w14:paraId="6A380AF1" w14:textId="77777777" w:rsidR="000E6612" w:rsidRDefault="0023656F">
            <w:r>
              <w:t xml:space="preserve">As far as we can see, the only obvious use case for such differentiated backoff is slicing. But slicing already has prioritization enhancements which allows network to </w:t>
            </w:r>
            <w:r>
              <w:lastRenderedPageBreak/>
              <w:t xml:space="preserve">apply different backoff for slicing groups with different priorities. So we </w:t>
            </w:r>
            <w:r>
              <w:t>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bl>
    <w:p w14:paraId="78C4B6B3" w14:textId="77777777" w:rsidR="000E6612" w:rsidRDefault="000E6612"/>
    <w:p w14:paraId="2DA1E76A" w14:textId="77777777" w:rsidR="000E6612" w:rsidRDefault="0023656F">
      <w:pPr>
        <w:pStyle w:val="Heading1"/>
      </w:pPr>
      <w:r>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 xml:space="preserve">Proposal 3: SDT can be configured to use common RACH resources in which case </w:t>
            </w:r>
            <w:r>
              <w:rPr>
                <w:b/>
                <w:bCs/>
                <w:lang w:val="en-US"/>
              </w:rPr>
              <w:t>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[4] thinks that the number of required RACH partitions in the cell is preferably minimized. One way to do it is to allow an alternative way to indicate SDT (i.e. SDT indication is in Msg3) instea</w:t>
      </w:r>
      <w:r>
        <w:rPr>
          <w:lang w:val="en-US"/>
        </w:rPr>
        <w:t xml:space="preserve">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w:t>
      </w:r>
      <w:r>
        <w:rPr>
          <w:b/>
          <w:bCs/>
        </w:rPr>
        <w:t>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ListParagraph"/>
              <w:rPr>
                <w:rFonts w:ascii="Segoe UI" w:eastAsia="Segoe UI" w:hAnsi="Segoe UI" w:cs="Segoe UI"/>
                <w:szCs w:val="20"/>
              </w:rPr>
            </w:pPr>
            <w:r>
              <w:rPr>
                <w:rFonts w:ascii="Segoe UI" w:eastAsia="Segoe UI" w:hAnsi="Segoe UI" w:cs="Segoe UI"/>
                <w:szCs w:val="20"/>
              </w:rPr>
              <w:t xml:space="preserve">RAN2 continues to progress the work based the separate RACH resources for SDT (i.e. explicit mechanisms to </w:t>
            </w:r>
            <w:r>
              <w:rPr>
                <w:rFonts w:ascii="Segoe UI" w:eastAsia="Segoe UI" w:hAnsi="Segoe UI" w:cs="Segoe UI"/>
                <w:szCs w:val="20"/>
              </w:rPr>
              <w:t>support common resources won’t be pursued unless there is sufficient support for this. However, use of common RACH resources will not be precluded if possible via implementation</w:t>
            </w:r>
          </w:p>
          <w:p w14:paraId="2F4E2824" w14:textId="77777777" w:rsidR="000E6612" w:rsidRDefault="0023656F">
            <w:r>
              <w:t>So we don’t think providing any additional indication in msg 3 should be discu</w:t>
            </w:r>
            <w:r>
              <w:t>ssed again.  However, the specs should not preclude the use of common RACH resources for SDT.</w:t>
            </w:r>
          </w:p>
        </w:tc>
      </w:tr>
      <w:tr w:rsidR="000E6612" w14:paraId="4B153D90" w14:textId="77777777">
        <w:tc>
          <w:tcPr>
            <w:tcW w:w="1696" w:type="dxa"/>
          </w:tcPr>
          <w:p w14:paraId="56209496" w14:textId="77777777" w:rsidR="000E6612" w:rsidRDefault="0023656F">
            <w:r>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w:t>
            </w:r>
            <w:r>
              <w:t xml:space="preserve">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We are fine to conclude like this. Otherwise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 xml:space="preserve">As RAN1 has agreed in 106-e meeting to support RA-SDT by </w:t>
            </w:r>
            <w:r>
              <w:rPr>
                <w:rFonts w:eastAsiaTheme="minorEastAsia" w:hint="eastAsia"/>
                <w:lang w:val="en-US" w:eastAsia="zh-CN"/>
              </w:rPr>
              <w:t>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bookmarkEnd w:id="2"/>
    </w:tbl>
    <w:p w14:paraId="17531FA2" w14:textId="77777777" w:rsidR="000E6612" w:rsidRDefault="000E6612"/>
    <w:p w14:paraId="6AF138D4" w14:textId="77777777" w:rsidR="000E6612" w:rsidRDefault="0023656F">
      <w:pPr>
        <w:pStyle w:val="Heading1"/>
      </w:pPr>
      <w:r>
        <w:lastRenderedPageBreak/>
        <w:t>Issues carried forward from [Post116bis-e][514][RA Part] [6]</w:t>
      </w:r>
    </w:p>
    <w:p w14:paraId="431E18F2" w14:textId="77777777" w:rsidR="000E6612" w:rsidRDefault="0023656F">
      <w:pPr>
        <w:pStyle w:val="Heading2"/>
        <w:ind w:left="633"/>
      </w:pPr>
      <w:r>
        <w:t xml:space="preserve">Proposals where technical discussion is not </w:t>
      </w:r>
      <w:r>
        <w:t>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 xml:space="preserve">RSRP threshold for SSB selection for CE be </w:t>
            </w:r>
            <w:r>
              <w:rPr>
                <w:rFonts w:ascii="Calibri" w:eastAsia="Calibri" w:hAnsi="Calibri" w:cs="Calibri"/>
                <w:color w:val="00B050"/>
                <w:szCs w:val="22"/>
                <w:shd w:val="clear" w:color="auto" w:fill="FFFFFF"/>
              </w:rPr>
              <w:t>configured differently in different RACH partitions (note this is conditional IE configured only in rach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w:t>
            </w:r>
            <w:r>
              <w:rPr>
                <w:rFonts w:ascii="Calibri" w:eastAsia="Calibri" w:hAnsi="Calibri"/>
                <w:color w:val="00B050"/>
                <w:sz w:val="20"/>
                <w:szCs w:val="20"/>
                <w:lang w:eastAsia="zh-CN"/>
              </w:rPr>
              <w:t>es a RACH partition which is applicable to REDCAP (i.e.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TableGrid"/>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t>Qualcomm</w:t>
            </w:r>
          </w:p>
        </w:tc>
        <w:tc>
          <w:tcPr>
            <w:tcW w:w="8073" w:type="dxa"/>
          </w:tcPr>
          <w:p w14:paraId="26FE5B75" w14:textId="77777777" w:rsidR="000E6612" w:rsidRDefault="0023656F">
            <w:r>
              <w:t>We do not support Proposal 3. We think CE selection threshold should be per partition. First, it i</w:t>
            </w:r>
            <w:r>
              <w:t>s already agreed that CE is a feature. And depend on which feature(s) it is jointly configured with, CE selection threshold may be different. For example, it is desirable to have higher CE thresholds when configured in a partition for RedCap. Or network ma</w:t>
            </w:r>
            <w:r>
              <w:t xml:space="preserve">y want to configure different CE 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For proposal 8: we need make it clear which feature(s) is applicable. Following the discussion, it seems SDT a</w:t>
            </w:r>
            <w:r>
              <w:rPr>
                <w:rFonts w:eastAsiaTheme="minorEastAsia"/>
                <w:lang w:eastAsia="zh-CN"/>
              </w:rPr>
              <w:t>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 xml:space="preserve">As for the comment from QC, I think per partition configuration is complicated for UE since it has to select among potential partitions based on </w:t>
            </w:r>
            <w:r>
              <w:rPr>
                <w:rFonts w:eastAsiaTheme="minorEastAsia"/>
                <w:lang w:eastAsia="zh-CN"/>
              </w:rPr>
              <w:t>configured threshold.  For Redcap we think the threshold could be different, but Redcap UE usually access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SimSun"/>
                <w:lang w:val="en-US" w:eastAsia="zh-CN"/>
              </w:rPr>
            </w:pPr>
            <w:r>
              <w:rPr>
                <w:rFonts w:eastAsia="SimSun" w:hint="eastAsia"/>
                <w:lang w:val="en-US" w:eastAsia="zh-CN"/>
              </w:rPr>
              <w:t>Xiaomi</w:t>
            </w:r>
          </w:p>
        </w:tc>
        <w:tc>
          <w:tcPr>
            <w:tcW w:w="8073" w:type="dxa"/>
          </w:tcPr>
          <w:p w14:paraId="08D6C04C" w14:textId="77777777" w:rsidR="000E6612" w:rsidRDefault="0023656F">
            <w:pPr>
              <w:rPr>
                <w:rFonts w:eastAsia="SimSun"/>
                <w:lang w:val="en-US" w:eastAsia="zh-CN"/>
              </w:rPr>
            </w:pPr>
            <w:bookmarkStart w:id="3" w:name="OLE_LINK2"/>
            <w:r>
              <w:rPr>
                <w:rFonts w:eastAsia="SimSun" w:hint="eastAsia"/>
                <w:lang w:val="en-US" w:eastAsia="zh-CN"/>
              </w:rPr>
              <w:t>We agre</w:t>
            </w:r>
            <w:r>
              <w:rPr>
                <w:rFonts w:eastAsia="SimSun" w:hint="eastAsia"/>
                <w:lang w:val="en-US" w:eastAsia="zh-CN"/>
              </w:rPr>
              <w:t xml:space="preserve">e with all proposals including proposal 3. And for the comment from QC,  we have not seen any strong motivation that the threshold can be different </w:t>
            </w:r>
            <w:bookmarkEnd w:id="3"/>
            <w:r>
              <w:rPr>
                <w:rFonts w:eastAsia="SimSun" w:hint="eastAsia"/>
                <w:lang w:val="en-US" w:eastAsia="zh-CN"/>
              </w:rPr>
              <w:t xml:space="preserve">for different partitions and depend on which feature is jointed with CE. </w:t>
            </w:r>
          </w:p>
          <w:p w14:paraId="319BE8D8" w14:textId="77777777" w:rsidR="000E6612" w:rsidRDefault="0023656F">
            <w:pPr>
              <w:rPr>
                <w:rFonts w:eastAsia="SimSun"/>
                <w:lang w:val="en-US" w:eastAsia="zh-CN"/>
              </w:rPr>
            </w:pPr>
            <w:r>
              <w:rPr>
                <w:rFonts w:eastAsia="SimSun" w:hint="eastAsia"/>
                <w:lang w:val="en-US" w:eastAsia="zh-CN"/>
              </w:rPr>
              <w:t>However, based on propsoal3,  wher</w:t>
            </w:r>
            <w:r>
              <w:rPr>
                <w:rFonts w:eastAsia="SimSun" w:hint="eastAsia"/>
                <w:lang w:val="en-US" w:eastAsia="zh-CN"/>
              </w:rPr>
              <w:t xml:space="preserve">e to put the BWP-specific selection threshold can be discussed further, i.e. </w:t>
            </w:r>
            <w:bookmarkStart w:id="4" w:name="OLE_LINK3"/>
            <w:r>
              <w:rPr>
                <w:rFonts w:eastAsia="SimSun" w:hint="eastAsia"/>
                <w:lang w:val="en-US" w:eastAsia="zh-CN"/>
              </w:rPr>
              <w:t xml:space="preserve">CE/non-CE selection threshold is configured in </w:t>
            </w:r>
            <w:r>
              <w:rPr>
                <w:rFonts w:eastAsia="SimSun" w:hint="eastAsia"/>
                <w:i/>
                <w:iCs/>
                <w:lang w:val="en-US" w:eastAsia="zh-CN"/>
              </w:rPr>
              <w:t xml:space="preserve">BWP-UplinkCommon or RACH-ConfigCommon </w:t>
            </w:r>
            <w:r>
              <w:rPr>
                <w:rFonts w:eastAsia="SimSun"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SimSun"/>
                <w:lang w:val="en-US" w:eastAsia="zh-CN"/>
              </w:rPr>
            </w:pPr>
            <w:r>
              <w:rPr>
                <w:rFonts w:eastAsia="SimSun"/>
                <w:lang w:val="en-US" w:eastAsia="zh-CN"/>
              </w:rPr>
              <w:t>ZTE</w:t>
            </w:r>
          </w:p>
        </w:tc>
        <w:tc>
          <w:tcPr>
            <w:tcW w:w="8073" w:type="dxa"/>
          </w:tcPr>
          <w:p w14:paraId="6B09DF15" w14:textId="2CC470B7" w:rsidR="000E6612" w:rsidRDefault="00D852F4">
            <w:pPr>
              <w:rPr>
                <w:rFonts w:eastAsia="SimSun"/>
                <w:lang w:val="en-US" w:eastAsia="zh-CN"/>
              </w:rPr>
            </w:pPr>
            <w:r>
              <w:rPr>
                <w:rFonts w:eastAsia="SimSun"/>
                <w:lang w:val="en-US" w:eastAsia="zh-CN"/>
              </w:rPr>
              <w:t xml:space="preserve">We support all proposals. Please see more comments above. </w:t>
            </w:r>
          </w:p>
        </w:tc>
      </w:tr>
    </w:tbl>
    <w:p w14:paraId="0A362D34" w14:textId="77777777" w:rsidR="000E6612" w:rsidRDefault="000E6612"/>
    <w:p w14:paraId="5B70CE13" w14:textId="77777777" w:rsidR="000E6612" w:rsidRDefault="000E6612"/>
    <w:p w14:paraId="119E92DC" w14:textId="77777777" w:rsidR="000E6612" w:rsidRDefault="0023656F">
      <w:pPr>
        <w:pStyle w:val="Heading2"/>
        <w:ind w:left="689"/>
      </w:pPr>
      <w:r>
        <w:t xml:space="preserve">Proposals where technical </w:t>
      </w:r>
      <w:r>
        <w:t>discussion is needed</w:t>
      </w:r>
    </w:p>
    <w:p w14:paraId="0B74C13D" w14:textId="77777777" w:rsidR="000E6612" w:rsidRDefault="000E6612"/>
    <w:p w14:paraId="1926074C" w14:textId="77777777" w:rsidR="000E6612" w:rsidRDefault="0023656F">
      <w:pPr>
        <w:pStyle w:val="Heading3"/>
      </w:pPr>
      <w:r>
        <w:lastRenderedPageBreak/>
        <w:t>Overall MAC procedure</w:t>
      </w:r>
    </w:p>
    <w:p w14:paraId="62F2A2AF" w14:textId="77777777" w:rsidR="000E6612" w:rsidRDefault="000E6612"/>
    <w:tbl>
      <w:tblPr>
        <w:tblStyle w:val="TableGrid"/>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t>Proposal 4: For overall MAC procedure (order of steps is as below):</w:t>
            </w:r>
          </w:p>
          <w:p w14:paraId="1A68379D"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 xml:space="preserve">RRC will indicate to MAC whether SDT, REDCAP, SliceX is applicable for any RACH </w:t>
            </w:r>
          </w:p>
          <w:p w14:paraId="2B2A42A0" w14:textId="77777777" w:rsidR="000E6612" w:rsidRDefault="0023656F">
            <w:pPr>
              <w:pStyle w:val="ListParagraph"/>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perform BWP selecti</w:t>
            </w:r>
            <w:r>
              <w:rPr>
                <w:color w:val="00B050"/>
                <w:szCs w:val="20"/>
                <w:lang w:eastAsia="zh-CN"/>
              </w:rPr>
              <w:t>on (this is also legacy behaviour)</w:t>
            </w:r>
          </w:p>
          <w:p w14:paraId="27F272A5"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Finally, MAC will select the RACH partition</w:t>
            </w:r>
          </w:p>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w:t>
      </w:r>
      <w:r>
        <w:rPr>
          <w:b/>
          <w:bCs/>
        </w:rPr>
        <w:t>dure is agreeable.</w:t>
      </w:r>
    </w:p>
    <w:tbl>
      <w:tblPr>
        <w:tblStyle w:val="TableGrid"/>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 xml:space="preserve">SDT, CE, RedCap are features and hence should be considered during, instead of before, the selection procedure of RACH partitions. UE determines which feature to consider first based on the </w:t>
            </w:r>
            <w:r>
              <w:t>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SimSun"/>
                <w:lang w:val="en-US" w:eastAsia="zh-CN"/>
              </w:rPr>
            </w:pPr>
            <w:r>
              <w:rPr>
                <w:rFonts w:eastAsia="SimSun" w:hint="eastAsia"/>
                <w:lang w:val="en-US" w:eastAsia="zh-CN"/>
              </w:rPr>
              <w:t>Xiaomi</w:t>
            </w:r>
          </w:p>
        </w:tc>
        <w:tc>
          <w:tcPr>
            <w:tcW w:w="1134" w:type="dxa"/>
          </w:tcPr>
          <w:p w14:paraId="1F12946B" w14:textId="77777777" w:rsidR="000E6612" w:rsidRDefault="0023656F">
            <w:pPr>
              <w:rPr>
                <w:rFonts w:eastAsia="SimSun"/>
                <w:lang w:val="en-US" w:eastAsia="zh-CN"/>
              </w:rPr>
            </w:pPr>
            <w:r>
              <w:rPr>
                <w:rFonts w:eastAsia="SimSun"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bl>
    <w:p w14:paraId="03957194" w14:textId="77777777" w:rsidR="000E6612" w:rsidRDefault="000E6612"/>
    <w:p w14:paraId="1732EFD1" w14:textId="77777777" w:rsidR="000E6612" w:rsidRDefault="000E6612"/>
    <w:p w14:paraId="1826EF7B" w14:textId="77777777" w:rsidR="000E6612" w:rsidRDefault="0023656F">
      <w:pPr>
        <w:pStyle w:val="Heading3"/>
      </w:pPr>
      <w:r>
        <w:t>CFRA</w:t>
      </w:r>
    </w:p>
    <w:tbl>
      <w:tblPr>
        <w:tblStyle w:val="TableGrid"/>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rsrp-ThresholdSSB etc and for CBRA fallback: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In case o</w:t>
            </w:r>
            <w:r>
              <w:rPr>
                <w:color w:val="C0504D" w:themeColor="accent2"/>
                <w:szCs w:val="20"/>
                <w:lang w:eastAsia="zh-CN"/>
              </w:rPr>
              <w:t xml:space="preserve">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TableGrid"/>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 xml:space="preserve">It is CFRA. Let </w:t>
            </w:r>
            <w:r>
              <w:t>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SimSun"/>
                <w:lang w:val="en-US" w:eastAsia="zh-CN"/>
              </w:rPr>
            </w:pPr>
            <w:r>
              <w:rPr>
                <w:rFonts w:eastAsia="SimSun"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bl>
    <w:p w14:paraId="023771C6" w14:textId="77777777" w:rsidR="000E6612" w:rsidRDefault="000E6612"/>
    <w:p w14:paraId="24145FF8" w14:textId="77777777" w:rsidR="000E6612" w:rsidRDefault="000E6612"/>
    <w:p w14:paraId="3CB278ED" w14:textId="77777777" w:rsidR="000E6612" w:rsidRDefault="000E6612"/>
    <w:p w14:paraId="25D5DFAF" w14:textId="77777777" w:rsidR="000E6612" w:rsidRDefault="0023656F">
      <w:pPr>
        <w:pStyle w:val="Heading3"/>
      </w:pPr>
      <w:r>
        <w:t>RNTI collision issue</w:t>
      </w:r>
    </w:p>
    <w:tbl>
      <w:tblPr>
        <w:tblStyle w:val="TableGrid"/>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lastRenderedPageBreak/>
              <w:t xml:space="preserve">Proposal 11: The network may configure a separate search space for RAR/MSGB per RACH partition (to be captured in RRC CR if </w:t>
            </w:r>
            <w:r>
              <w:rPr>
                <w:color w:val="C0504D" w:themeColor="accent2"/>
                <w:szCs w:val="20"/>
                <w:lang w:eastAsia="zh-CN"/>
              </w:rPr>
              <w:t>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t xml:space="preserve">7.2.2 Companies are invited </w:t>
      </w:r>
      <w:r>
        <w:rPr>
          <w:b/>
          <w:bCs/>
        </w:rPr>
        <w:t>to provide their view whether the proposal is agreeable for handling the RNTI collision problem.</w:t>
      </w:r>
    </w:p>
    <w:tbl>
      <w:tblPr>
        <w:tblStyle w:val="TableGrid"/>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We don’t think Proposal 11 is an effective/scalable way to solve the RNTI collision problem. That is because network has to ensure none of the RA search spaces has overlapping monitoring occasions. That limits the maximum number of partitions that can be c</w:t>
            </w:r>
            <w:r>
              <w:t xml:space="preserve">onfigured.  If companies still think having separate RA search spaces is the right approach, then we think a more sensible granularity would be separate search space per PRACH configuration. </w:t>
            </w:r>
          </w:p>
          <w:p w14:paraId="657BA214" w14:textId="77777777" w:rsidR="000E6612" w:rsidRDefault="0023656F">
            <w:r>
              <w:t>Moreover, whether different partitions need to have separate sea</w:t>
            </w:r>
            <w:r>
              <w:t>rch space is a different issue. Some feature(s) may do, e.g.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We think network should control not to configure too much RACH partitions in the cell since the differentia</w:t>
            </w:r>
            <w:r>
              <w:rPr>
                <w:rFonts w:eastAsiaTheme="minorEastAsia"/>
                <w:lang w:eastAsia="zh-CN"/>
              </w:rPr>
              <w:t>tion among features during RACH procedure is not a must. And network should also take RNTI collision into account. If more search spaces are configured in order to avoid RNTI collision, this feature is too “heavy” to have since both uplink and downlink sig</w:t>
            </w:r>
            <w:r>
              <w:rPr>
                <w:rFonts w:eastAsiaTheme="minorEastAsia"/>
                <w:lang w:eastAsia="zh-CN"/>
              </w:rPr>
              <w:t>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allows as many search spaces as the number of partitions which may be impractical due to limited CORESET0 r</w:t>
            </w:r>
            <w:r>
              <w:rPr>
                <w:szCs w:val="20"/>
              </w:rPr>
              <w:t>esource/space, and the search spaces will overlap, and this overlap causes RNTI collisions as well as making difficult for the gNB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Howeve</w:t>
            </w:r>
            <w:r>
              <w:rPr>
                <w:szCs w:val="20"/>
              </w:rPr>
              <w:t xml:space="preserve">r, there is another solution, that just provides configurable offset(s) to either </w:t>
            </w:r>
            <w:r>
              <w:rPr>
                <w:i/>
                <w:iCs/>
                <w:szCs w:val="20"/>
              </w:rPr>
              <w:t xml:space="preserve">s_id </w:t>
            </w:r>
            <w:r>
              <w:rPr>
                <w:szCs w:val="20"/>
              </w:rPr>
              <w:t xml:space="preserve">or </w:t>
            </w:r>
            <w:r>
              <w:rPr>
                <w:i/>
                <w:iCs/>
                <w:szCs w:val="20"/>
              </w:rPr>
              <w:t xml:space="preserve">t_id </w:t>
            </w:r>
            <w:r>
              <w:rPr>
                <w:szCs w:val="20"/>
              </w:rPr>
              <w:t xml:space="preserve">or both, and it can easily be added in the PRACH configuration parameters, hence this solution does not need a separate search space for each </w:t>
            </w:r>
            <w:r>
              <w:rPr>
                <w:szCs w:val="20"/>
              </w:rPr>
              <w:t>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77777777" w:rsidR="000E6612" w:rsidRDefault="000E6612">
            <w:pPr>
              <w:rPr>
                <w:rFonts w:eastAsiaTheme="minorEastAsia"/>
                <w:lang w:eastAsia="zh-CN"/>
              </w:rPr>
            </w:pPr>
          </w:p>
        </w:tc>
        <w:tc>
          <w:tcPr>
            <w:tcW w:w="1134" w:type="dxa"/>
          </w:tcPr>
          <w:p w14:paraId="0C02E432" w14:textId="77777777" w:rsidR="000E6612" w:rsidRDefault="000E6612">
            <w:pPr>
              <w:rPr>
                <w:rFonts w:eastAsiaTheme="minorEastAsia"/>
                <w:lang w:eastAsia="zh-CN"/>
              </w:rPr>
            </w:pPr>
          </w:p>
        </w:tc>
        <w:tc>
          <w:tcPr>
            <w:tcW w:w="7089" w:type="dxa"/>
          </w:tcPr>
          <w:p w14:paraId="65F91CB7" w14:textId="77777777" w:rsidR="000E6612" w:rsidRDefault="000E6612">
            <w:pPr>
              <w:rPr>
                <w:szCs w:val="20"/>
                <w:lang w:eastAsia="zh-CN"/>
              </w:rPr>
            </w:pPr>
          </w:p>
        </w:tc>
      </w:tr>
      <w:tr w:rsidR="000E6612" w14:paraId="398B1D04" w14:textId="77777777">
        <w:tc>
          <w:tcPr>
            <w:tcW w:w="1696" w:type="dxa"/>
          </w:tcPr>
          <w:p w14:paraId="559774F6" w14:textId="77777777" w:rsidR="000E6612" w:rsidRDefault="000E6612">
            <w:pPr>
              <w:rPr>
                <w:rFonts w:eastAsiaTheme="minorEastAsia"/>
                <w:lang w:eastAsia="zh-CN"/>
              </w:rPr>
            </w:pPr>
          </w:p>
        </w:tc>
        <w:tc>
          <w:tcPr>
            <w:tcW w:w="1134" w:type="dxa"/>
          </w:tcPr>
          <w:p w14:paraId="2E6EF642" w14:textId="77777777" w:rsidR="000E6612" w:rsidRDefault="000E6612">
            <w:pPr>
              <w:rPr>
                <w:rFonts w:eastAsiaTheme="minorEastAsia"/>
                <w:lang w:eastAsia="zh-CN"/>
              </w:rPr>
            </w:pPr>
          </w:p>
        </w:tc>
        <w:tc>
          <w:tcPr>
            <w:tcW w:w="7089" w:type="dxa"/>
          </w:tcPr>
          <w:p w14:paraId="71EA033D" w14:textId="77777777" w:rsidR="000E6612" w:rsidRDefault="000E6612">
            <w:pPr>
              <w:rPr>
                <w:szCs w:val="20"/>
                <w:lang w:eastAsia="zh-CN"/>
              </w:rPr>
            </w:pPr>
          </w:p>
        </w:tc>
      </w:tr>
    </w:tbl>
    <w:p w14:paraId="28E504FC" w14:textId="77777777" w:rsidR="000E6612" w:rsidRDefault="000E6612"/>
    <w:p w14:paraId="74FD0BEA" w14:textId="77777777" w:rsidR="000E6612" w:rsidRDefault="0023656F">
      <w:pPr>
        <w:pStyle w:val="Heading1"/>
      </w:pPr>
      <w:r>
        <w:t>Conclusion</w:t>
      </w:r>
    </w:p>
    <w:p w14:paraId="2ABEFE14" w14:textId="77777777" w:rsidR="000E6612" w:rsidRDefault="0023656F">
      <w:r>
        <w:t>To be added latter</w:t>
      </w:r>
    </w:p>
    <w:p w14:paraId="7C2618A8" w14:textId="77777777" w:rsidR="000E6612" w:rsidRDefault="0023656F">
      <w:pPr>
        <w:pStyle w:val="Heading1"/>
      </w:pPr>
      <w:r>
        <w:t>References</w:t>
      </w:r>
    </w:p>
    <w:p w14:paraId="5C8CEB9A" w14:textId="77777777" w:rsidR="000E6612" w:rsidRDefault="0023656F">
      <w:pPr>
        <w:pStyle w:val="Doc-title"/>
      </w:pPr>
      <w:r>
        <w:t>[1] R2-2202694</w:t>
      </w:r>
      <w:r>
        <w:tab/>
      </w:r>
      <w:r>
        <w:t>Remaining issues for common aspects of RACH procedure</w:t>
      </w:r>
      <w:r>
        <w:tab/>
        <w:t>CATT</w:t>
      </w:r>
      <w:r>
        <w:tab/>
        <w:t>discussion</w:t>
      </w:r>
      <w:r>
        <w:tab/>
        <w:t>Rel-17</w:t>
      </w:r>
      <w:r>
        <w:tab/>
        <w:t>NR_cov_enh-Core, NR_slice-Core, NR_SmallData_INACTIVE-Core, NR_redcap-Core</w:t>
      </w:r>
    </w:p>
    <w:p w14:paraId="2537557A" w14:textId="77777777" w:rsidR="000E6612" w:rsidRDefault="0023656F">
      <w:pPr>
        <w:pStyle w:val="Doc-title"/>
      </w:pPr>
      <w:r>
        <w:t>[2] R2-2202976</w:t>
      </w:r>
      <w:r>
        <w:tab/>
        <w:t>Discussion on RACH partition UP open issues</w:t>
      </w:r>
      <w:r>
        <w:tab/>
        <w:t>OPPO</w:t>
      </w:r>
      <w:r>
        <w:tab/>
        <w:t>discussion</w:t>
      </w:r>
      <w:r>
        <w:tab/>
        <w:t>Rel-17</w:t>
      </w:r>
      <w:r>
        <w:tab/>
        <w:t>NR_SmallData_INACTIVE-</w:t>
      </w:r>
      <w:r>
        <w:t>Core, NR_cov_enh-Core, NR_redcap-Core, NR_slice-Core</w:t>
      </w:r>
    </w:p>
    <w:p w14:paraId="56D6FDB0" w14:textId="77777777" w:rsidR="000E6612" w:rsidRDefault="0023656F">
      <w:pPr>
        <w:pStyle w:val="Doc-title"/>
      </w:pPr>
      <w:r>
        <w:lastRenderedPageBreak/>
        <w:t>[3] R2-2203206</w:t>
      </w:r>
      <w:r>
        <w:tab/>
        <w:t>RNTI collision issue for different features in NR</w:t>
      </w:r>
      <w:r>
        <w:tab/>
        <w:t>Sony</w:t>
      </w:r>
      <w:r>
        <w:tab/>
        <w:t>discussion</w:t>
      </w:r>
      <w:r>
        <w:tab/>
        <w:t>Rel-17</w:t>
      </w:r>
      <w:r>
        <w:tab/>
        <w:t>NR_SmallData_INACTIVE-Core</w:t>
      </w:r>
      <w:r>
        <w:tab/>
        <w:t>R2-2200917</w:t>
      </w:r>
    </w:p>
    <w:p w14:paraId="10CF3703" w14:textId="77777777" w:rsidR="000E6612" w:rsidRDefault="0023656F">
      <w:pPr>
        <w:pStyle w:val="Doc-title"/>
      </w:pPr>
      <w:r>
        <w:t>[4] R2-2203283</w:t>
      </w:r>
      <w:r>
        <w:tab/>
        <w:t>Common aspects for RACH partitioning</w:t>
      </w:r>
      <w:r>
        <w:tab/>
        <w:t>Nokia, Nokia Shanghai Bel</w:t>
      </w:r>
      <w:r>
        <w:t>l</w:t>
      </w:r>
      <w:r>
        <w:tab/>
        <w:t>discussion</w:t>
      </w:r>
      <w:r>
        <w:tab/>
        <w:t>Rel-17</w:t>
      </w:r>
      <w:r>
        <w:tab/>
        <w:t>NR_SmallData_INACTIVE-Core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t>NR_SmallData_INACTIVE-Core, NR_cov_enh-Core, NR_redcap-Core, NR_slice-Core</w:t>
      </w:r>
      <w:r>
        <w:tab/>
        <w:t>L</w:t>
      </w:r>
      <w:r>
        <w:t>ate</w:t>
      </w:r>
    </w:p>
    <w:p w14:paraId="18E0749A" w14:textId="77777777" w:rsidR="000E6612" w:rsidRDefault="0023656F">
      <w:pPr>
        <w:pStyle w:val="Doc-title"/>
      </w:pPr>
      <w:r>
        <w:t>[6] R2-2203309</w:t>
      </w:r>
      <w:r>
        <w:tab/>
        <w:t>[POST116bis-e][514][RA Part] - Open issue list summary</w:t>
      </w:r>
      <w:r>
        <w:tab/>
        <w:t>ZTE Corporation (rapporteur)</w:t>
      </w:r>
      <w:r>
        <w:tab/>
        <w:t>report</w:t>
      </w:r>
      <w:r>
        <w:tab/>
        <w:t>Rel-17</w:t>
      </w:r>
      <w:r>
        <w:tab/>
        <w:t>Late</w:t>
      </w:r>
    </w:p>
    <w:p w14:paraId="75E5F84E" w14:textId="77777777" w:rsidR="000E6612" w:rsidRDefault="0023656F">
      <w:pPr>
        <w:pStyle w:val="Doc-title"/>
      </w:pPr>
      <w:r>
        <w:t>[7] R2-2203340</w:t>
      </w:r>
      <w:r>
        <w:tab/>
        <w:t>Further details of RACH procedure with RACH partitioning</w:t>
      </w:r>
      <w:r>
        <w:tab/>
        <w:t>Huawei, HiSilicon</w:t>
      </w:r>
      <w:r>
        <w:tab/>
        <w:t>discussion</w:t>
      </w:r>
      <w:r>
        <w:tab/>
        <w:t>Rel-17</w:t>
      </w:r>
      <w:r>
        <w:tab/>
      </w:r>
      <w:r>
        <w:t>NR_SmallData_INACTIVE-Core, NR_slice-Core, NR_redcap-Core, NR_cov_enh-Core</w:t>
      </w:r>
      <w:r>
        <w:tab/>
        <w:t>Late</w:t>
      </w:r>
    </w:p>
    <w:p w14:paraId="1273C9AA" w14:textId="77777777" w:rsidR="000E6612" w:rsidRDefault="0023656F">
      <w:pPr>
        <w:pStyle w:val="Doc-title"/>
      </w:pPr>
      <w:r>
        <w:t>[8] R2-2203459</w:t>
      </w:r>
      <w:r>
        <w:tab/>
        <w:t>Remaining issues for RACH partitioning</w:t>
      </w:r>
      <w:r>
        <w:tab/>
        <w:t>InterDigital</w:t>
      </w:r>
      <w:r>
        <w:tab/>
        <w:t>discussion</w:t>
      </w:r>
      <w:r>
        <w:tab/>
        <w:t>Rel-17</w:t>
      </w:r>
      <w:r>
        <w:tab/>
        <w:t>NR_SmallData_INACTIVE-Core, NR_cov_enh-Core, NR_redcap-Core, NR_slice-Core</w:t>
      </w:r>
    </w:p>
    <w:p w14:paraId="7F0C4603" w14:textId="77777777" w:rsidR="000E6612" w:rsidRDefault="0023656F">
      <w:pPr>
        <w:pStyle w:val="Doc-title"/>
      </w:pPr>
      <w:r>
        <w:t>[9] R2-2203357</w:t>
      </w:r>
      <w:r>
        <w:tab/>
        <w:t>R</w:t>
      </w:r>
      <w:r>
        <w:t>eport of [POST116bis-e][515][RA Part] CP open issues</w:t>
      </w:r>
      <w:r>
        <w:tab/>
        <w:t>Ericsson</w:t>
      </w:r>
      <w:r>
        <w:tab/>
        <w:t>report</w:t>
      </w:r>
      <w:r>
        <w:tab/>
        <w:t>Rel-17</w:t>
      </w:r>
      <w:r>
        <w:tab/>
        <w:t>NR_redcap-Core, NR_slice-Core, NR_cov_enh2-Core, NR_SmallData_INACTIVE-Core</w:t>
      </w:r>
      <w:r>
        <w:tab/>
        <w:t>Late</w:t>
      </w:r>
    </w:p>
    <w:p w14:paraId="14E6D754" w14:textId="77777777" w:rsidR="000E6612" w:rsidRDefault="000E6612">
      <w:pPr>
        <w:pStyle w:val="Doc-text2"/>
        <w:ind w:left="0" w:firstLine="0"/>
      </w:pPr>
    </w:p>
    <w:p w14:paraId="76DF7D44" w14:textId="77777777" w:rsidR="000E6612" w:rsidRDefault="000E6612"/>
    <w:sectPr w:rsidR="000E6612">
      <w:headerReference w:type="even" r:id="rId12"/>
      <w:headerReference w:type="default" r:id="rId13"/>
      <w:footerReference w:type="even" r:id="rId14"/>
      <w:footerReference w:type="default" r:id="rId15"/>
      <w:headerReference w:type="first" r:id="rId16"/>
      <w:footerReference w:type="first" r:id="rId17"/>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0ACA" w14:textId="77777777" w:rsidR="0023656F" w:rsidRDefault="0023656F"/>
  </w:endnote>
  <w:endnote w:type="continuationSeparator" w:id="0">
    <w:p w14:paraId="585A774F" w14:textId="77777777" w:rsidR="0023656F" w:rsidRDefault="00236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B5D" w14:textId="77777777" w:rsidR="00D852F4" w:rsidRDefault="00D85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BA1" w14:textId="77777777" w:rsidR="000E6612" w:rsidRDefault="000E6612">
    <w:pPr>
      <w:pStyle w:val="Footer"/>
    </w:pPr>
  </w:p>
  <w:p w14:paraId="29ABDC2D" w14:textId="77777777" w:rsidR="000E6612" w:rsidRDefault="000E6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04B" w14:textId="77777777" w:rsidR="00D852F4" w:rsidRDefault="00D8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14C7" w14:textId="77777777" w:rsidR="0023656F" w:rsidRDefault="0023656F">
      <w:pPr>
        <w:spacing w:after="0"/>
      </w:pPr>
    </w:p>
  </w:footnote>
  <w:footnote w:type="continuationSeparator" w:id="0">
    <w:p w14:paraId="27FEB995" w14:textId="77777777" w:rsidR="0023656F" w:rsidRDefault="002365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6A89" w14:textId="77777777" w:rsidR="00D852F4" w:rsidRDefault="00D85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C96B" w14:textId="77777777" w:rsidR="00D852F4" w:rsidRDefault="00D85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EBAD" w14:textId="77777777" w:rsidR="00D852F4" w:rsidRDefault="00D85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4"/>
  </w:num>
  <w:num w:numId="6">
    <w:abstractNumId w:val="5"/>
  </w:num>
  <w:num w:numId="7">
    <w:abstractNumId w:val="10"/>
  </w:num>
  <w:num w:numId="8">
    <w:abstractNumId w:val="7"/>
  </w:num>
  <w:num w:numId="9">
    <w:abstractNumId w:val="1"/>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1089B"/>
  <w15:docId w15:val="{B7BC5815-CD69-4892-B20F-A9347215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eastAsia="Batang" w:hAnsi="Times"/>
      <w:szCs w:val="24"/>
      <w:lang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hint="eastAsia"/>
      <w:sz w:val="24"/>
      <w:lang w:val="en-US" w:eastAsia="zh-CN"/>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62D3C5-F14F-4CC9-970C-9946B0D4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10</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ZTE(Eswar)</cp:lastModifiedBy>
  <cp:revision>3</cp:revision>
  <cp:lastPrinted>2017-10-24T05:18:00Z</cp:lastPrinted>
  <dcterms:created xsi:type="dcterms:W3CDTF">2022-02-22T12:19:00Z</dcterms:created>
  <dcterms:modified xsi:type="dcterms:W3CDTF">2022-02-22T12:20:00Z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2052-11.1.0.11365</vt:lpwstr>
  </property>
  <property fmtid="{D5CDD505-2E9C-101B-9397-08002B2CF9AE}" pid="16" name="ICV">
    <vt:lpwstr>8463AF3D071A407D9DCF07B131DEF36C</vt:lpwstr>
  </property>
</Properties>
</file>