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3GPP TSG-RAN WG2 #117e</w:t>
      </w:r>
      <w:r>
        <w:tab/>
      </w:r>
      <w:r>
        <w:rPr>
          <w:sz w:val="32"/>
          <w:szCs w:val="32"/>
        </w:rPr>
        <w:t>Tdoc R2-22</w:t>
      </w:r>
      <w:r>
        <w:rPr>
          <w:sz w:val="32"/>
          <w:szCs w:val="32"/>
          <w:highlight w:val="yellow"/>
        </w:rPr>
        <w:t>xxxxx</w:t>
      </w:r>
    </w:p>
    <w:p>
      <w:pPr>
        <w:pStyle w:val="63"/>
      </w:pPr>
      <w:r>
        <w:t>Electronic Meeting, 21st Feb – 3rd Mar 2022</w:t>
      </w:r>
    </w:p>
    <w:p>
      <w:pPr>
        <w:pStyle w:val="63"/>
        <w:rPr>
          <w:sz w:val="22"/>
          <w:szCs w:val="22"/>
        </w:rPr>
      </w:pPr>
      <w:r>
        <w:rPr>
          <w:sz w:val="22"/>
          <w:szCs w:val="22"/>
        </w:rPr>
        <w:t>Agenda Item:</w:t>
      </w:r>
      <w:r>
        <w:rPr>
          <w:sz w:val="22"/>
          <w:szCs w:val="22"/>
        </w:rPr>
        <w:tab/>
      </w:r>
      <w:r>
        <w:rPr>
          <w:sz w:val="22"/>
          <w:szCs w:val="22"/>
        </w:rPr>
        <w:t>8.1.1.2</w:t>
      </w:r>
    </w:p>
    <w:p>
      <w:pPr>
        <w:pStyle w:val="63"/>
        <w:rPr>
          <w:sz w:val="22"/>
          <w:szCs w:val="22"/>
        </w:rPr>
      </w:pPr>
      <w:r>
        <w:rPr>
          <w:sz w:val="22"/>
          <w:szCs w:val="22"/>
        </w:rPr>
        <w:t>Source:</w:t>
      </w:r>
      <w:r>
        <w:rPr>
          <w:sz w:val="22"/>
          <w:szCs w:val="22"/>
        </w:rPr>
        <w:tab/>
      </w:r>
      <w:r>
        <w:rPr>
          <w:sz w:val="22"/>
          <w:szCs w:val="22"/>
        </w:rPr>
        <w:t>Ericsson</w:t>
      </w:r>
    </w:p>
    <w:p>
      <w:pPr>
        <w:pStyle w:val="63"/>
        <w:ind w:left="1700" w:hanging="1700"/>
        <w:rPr>
          <w:sz w:val="22"/>
          <w:szCs w:val="22"/>
        </w:rPr>
      </w:pPr>
      <w:r>
        <w:rPr>
          <w:sz w:val="22"/>
          <w:szCs w:val="22"/>
        </w:rPr>
        <w:t>Title:</w:t>
      </w:r>
      <w:r>
        <w:rPr>
          <w:sz w:val="22"/>
          <w:szCs w:val="22"/>
        </w:rPr>
        <w:tab/>
      </w:r>
      <w:r>
        <w:rPr>
          <w:sz w:val="22"/>
          <w:szCs w:val="22"/>
        </w:rPr>
        <w:tab/>
      </w:r>
      <w:r>
        <w:rPr>
          <w:sz w:val="22"/>
          <w:szCs w:val="22"/>
        </w:rPr>
        <w:t>AT117-e][040][MBS] Reply LS on max no of MBS sessions that can be associated to a PDU session (Ericsson)</w:t>
      </w:r>
    </w:p>
    <w:p>
      <w:pPr>
        <w:pStyle w:val="63"/>
        <w:rPr>
          <w:sz w:val="22"/>
          <w:szCs w:val="22"/>
        </w:rPr>
      </w:pPr>
      <w:r>
        <w:rPr>
          <w:sz w:val="22"/>
          <w:szCs w:val="22"/>
        </w:rPr>
        <w:t>Document for:</w:t>
      </w:r>
      <w:r>
        <w:rPr>
          <w:sz w:val="22"/>
          <w:szCs w:val="22"/>
        </w:rPr>
        <w:tab/>
      </w:r>
      <w:r>
        <w:rPr>
          <w:sz w:val="22"/>
          <w:szCs w:val="22"/>
        </w:rPr>
        <w:t>Discussion</w:t>
      </w:r>
    </w:p>
    <w:p>
      <w:pPr>
        <w:pStyle w:val="2"/>
      </w:pPr>
      <w:r>
        <w:t>1</w:t>
      </w:r>
      <w:r>
        <w:tab/>
      </w:r>
      <w:r>
        <w:t>Introduction</w:t>
      </w:r>
    </w:p>
    <w:p>
      <w:pPr>
        <w:spacing w:before="120"/>
        <w:rPr>
          <w:rFonts w:cs="Arial"/>
        </w:rPr>
      </w:pPr>
      <w:r>
        <w:rPr>
          <w:rFonts w:cs="Arial"/>
        </w:rPr>
        <w:t>This contribution summarizes the following email discussion:</w:t>
      </w:r>
    </w:p>
    <w:p>
      <w:pPr>
        <w:pStyle w:val="117"/>
        <w:overflowPunct/>
        <w:autoSpaceDE/>
        <w:autoSpaceDN/>
        <w:adjustRightInd/>
        <w:textAlignment w:val="auto"/>
        <w:rPr>
          <w:lang w:eastAsia="zh-CN"/>
        </w:rPr>
      </w:pPr>
      <w:r>
        <w:rPr>
          <w:lang w:eastAsia="zh-CN"/>
        </w:rPr>
        <w:t>[AT117-e][040][MBS] Reply LS on max no of MBS sessions that can be associated to a PDU session (Ericsson)</w:t>
      </w:r>
    </w:p>
    <w:p>
      <w:pPr>
        <w:pStyle w:val="149"/>
        <w:rPr>
          <w:lang w:eastAsia="zh-CN"/>
        </w:rPr>
      </w:pPr>
      <w:r>
        <w:rPr>
          <w:lang w:eastAsia="zh-CN"/>
        </w:rPr>
        <w:tab/>
      </w:r>
      <w:r>
        <w:rPr>
          <w:lang w:eastAsia="zh-CN"/>
        </w:rPr>
        <w:t>Scope: Collection opinions and determine agreements in order to reply to Reply to LS in R2-2200141 (received at R2 116bis-e)</w:t>
      </w:r>
    </w:p>
    <w:p>
      <w:pPr>
        <w:pStyle w:val="149"/>
        <w:rPr>
          <w:lang w:eastAsia="zh-CN"/>
        </w:rPr>
      </w:pPr>
      <w:r>
        <w:rPr>
          <w:lang w:eastAsia="zh-CN"/>
        </w:rPr>
        <w:tab/>
      </w:r>
      <w:r>
        <w:rPr>
          <w:lang w:eastAsia="zh-CN"/>
        </w:rPr>
        <w:t xml:space="preserve">Intended outcome: Agreeable LS out (and a Report if applicable). </w:t>
      </w:r>
    </w:p>
    <w:p>
      <w:pPr>
        <w:pStyle w:val="149"/>
        <w:rPr>
          <w:lang w:eastAsia="zh-CN"/>
        </w:rPr>
      </w:pPr>
      <w:r>
        <w:rPr>
          <w:lang w:eastAsia="zh-CN"/>
        </w:rPr>
        <w:tab/>
      </w:r>
      <w:r>
        <w:rPr>
          <w:lang w:eastAsia="zh-CN"/>
        </w:rPr>
        <w:t>Deadline: W1 Thursday (for on-line CB W1 Friday)</w:t>
      </w:r>
      <w:r>
        <w:t xml:space="preserve"> </w:t>
      </w:r>
    </w:p>
    <w:p>
      <w:pPr>
        <w:pStyle w:val="149"/>
      </w:pPr>
    </w:p>
    <w:p>
      <w:pPr>
        <w:pStyle w:val="149"/>
      </w:pPr>
    </w:p>
    <w:p>
      <w:pPr>
        <w:pStyle w:val="149"/>
      </w:pPr>
    </w:p>
    <w:p>
      <w:pPr>
        <w:pStyle w:val="149"/>
        <w:ind w:left="0" w:firstLine="0"/>
      </w:pPr>
      <w:r>
        <w:t>Contact person(s) for each participating company:</w:t>
      </w:r>
    </w:p>
    <w:p>
      <w:pPr>
        <w:pStyle w:val="149"/>
        <w:ind w:left="0" w:firstLine="0"/>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rFonts w:eastAsia="MS Mincho"/>
                <w:b/>
                <w:bCs/>
              </w:rPr>
            </w:pPr>
            <w:r>
              <w:rPr>
                <w:rFonts w:eastAsia="MS Mincho"/>
                <w:b/>
                <w:bCs/>
              </w:rPr>
              <w:t>Company</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rFonts w:eastAsia="MS Mincho"/>
                <w:b/>
                <w:bCs/>
              </w:rPr>
            </w:pPr>
            <w:r>
              <w:rPr>
                <w:rFonts w:eastAsia="MS Mincho"/>
                <w:b/>
                <w:bC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rFonts w:eastAsia="Yu Mincho"/>
              </w:rPr>
            </w:pPr>
            <w:r>
              <w:rPr>
                <w:rFonts w:eastAsia="Yu Mincho"/>
              </w:rPr>
              <w:t>Ericsson</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rFonts w:eastAsia="Yu Mincho"/>
              </w:rPr>
            </w:pPr>
            <w:r>
              <w:rPr>
                <w:rFonts w:eastAsia="Yu Mincho"/>
              </w:rPr>
              <w:t>Henrik.enbuske@ericsson.com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rFonts w:eastAsia="MS Mincho"/>
              </w:rPr>
            </w:pPr>
            <w:r>
              <w:rPr>
                <w:rFonts w:eastAsia="MS Mincho"/>
              </w:rPr>
              <w:t>Nokia</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rFonts w:eastAsia="MS Mincho"/>
              </w:rPr>
            </w:pPr>
            <w:r>
              <w:rPr>
                <w:rFonts w:eastAsia="MS Mincho"/>
              </w:rPr>
              <w:t>Benoist.sebire@nokia.com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rFonts w:eastAsia="MS Mincho"/>
              </w:rPr>
            </w:pPr>
            <w:r>
              <w:rPr>
                <w:lang w:eastAsia="zh-CN"/>
              </w:rPr>
              <w:t>CATT</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rFonts w:eastAsia="MS Mincho"/>
              </w:rPr>
            </w:pPr>
            <w:r>
              <w:rPr>
                <w:lang w:eastAsia="zh-CN"/>
              </w:rPr>
              <w:t>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rFonts w:hint="eastAsia"/>
                <w:lang w:eastAsia="zh-CN"/>
              </w:rPr>
              <w:t>v</w:t>
            </w:r>
            <w:r>
              <w:rPr>
                <w:lang w:eastAsia="zh-CN"/>
              </w:rPr>
              <w:t>ivo</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lang w:eastAsia="zh-CN"/>
              </w:rPr>
              <w:t>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rFonts w:hint="eastAsia"/>
                <w:lang w:eastAsia="zh-CN"/>
              </w:rPr>
              <w:t>O</w:t>
            </w:r>
            <w:r>
              <w:rPr>
                <w:lang w:eastAsia="zh-CN"/>
              </w:rPr>
              <w:t>PPO</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rFonts w:hint="eastAsia"/>
                <w:lang w:eastAsia="zh-CN"/>
              </w:rPr>
              <w:t>w</w:t>
            </w:r>
            <w:r>
              <w:rPr>
                <w:lang w:eastAsia="zh-CN"/>
              </w:rPr>
              <w:t>angshukun@oppo.com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rFonts w:eastAsia="MS Mincho"/>
              </w:rPr>
              <w:t>Intel</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rFonts w:eastAsia="MS Mincho"/>
              </w:rPr>
              <w:t>yujian.zhang@intel.com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rFonts w:eastAsia="MS Mincho"/>
              </w:rPr>
            </w:pPr>
            <w:r>
              <w:rPr>
                <w:rFonts w:hint="eastAsia"/>
                <w:lang w:eastAsia="zh-CN"/>
              </w:rPr>
              <w:t>H</w:t>
            </w:r>
            <w:r>
              <w:rPr>
                <w:lang w:eastAsia="zh-CN"/>
              </w:rPr>
              <w:t>uawei, HiSilicon</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rFonts w:eastAsia="MS Mincho"/>
              </w:rPr>
            </w:pPr>
            <w:r>
              <w:rPr>
                <w:rFonts w:hint="eastAsia"/>
                <w:lang w:eastAsia="zh-CN"/>
              </w:rPr>
              <w:t>x</w:t>
            </w:r>
            <w:r>
              <w:rPr>
                <w:lang w:eastAsia="zh-CN"/>
              </w:rPr>
              <w:t>ubin10@huawei.com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lang w:eastAsia="zh-CN"/>
              </w:rPr>
              <w:t>Samsung</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lang w:eastAsia="zh-CN"/>
              </w:rPr>
              <w:t>shrivastava@samsung.com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rFonts w:hint="eastAsia"/>
                <w:lang w:eastAsia="zh-CN"/>
              </w:rPr>
              <w:t>L</w:t>
            </w:r>
            <w:r>
              <w:rPr>
                <w:lang w:eastAsia="zh-CN"/>
              </w:rPr>
              <w:t>enovo</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lang w:eastAsia="zh-CN"/>
              </w:rPr>
              <w:t>daimz4@lenovo.conm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rFonts w:hint="eastAsia"/>
                <w:lang w:eastAsia="zh-CN"/>
              </w:rPr>
              <w:t>M</w:t>
            </w:r>
            <w:r>
              <w:rPr>
                <w:lang w:eastAsia="zh-CN"/>
              </w:rPr>
              <w:t>ediaTek</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rFonts w:hint="eastAsia"/>
                <w:lang w:eastAsia="zh-CN"/>
              </w:rPr>
              <w:t>X</w:t>
            </w:r>
            <w:r>
              <w:rPr>
                <w:lang w:eastAsia="zh-CN"/>
              </w:rPr>
              <w:t>iaonan.Zhang@mediatek.com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rFonts w:eastAsia="Malgun Gothic"/>
                <w:lang w:eastAsia="ko-KR"/>
              </w:rPr>
            </w:pPr>
            <w:r>
              <w:rPr>
                <w:rFonts w:hint="eastAsia" w:eastAsia="Malgun Gothic"/>
                <w:lang w:eastAsia="ko-KR"/>
              </w:rPr>
              <w:t>L</w:t>
            </w:r>
            <w:r>
              <w:rPr>
                <w:rFonts w:eastAsia="Malgun Gothic"/>
                <w:lang w:eastAsia="ko-KR"/>
              </w:rPr>
              <w:t>GE</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rFonts w:eastAsia="Malgun Gothic"/>
                <w:lang w:eastAsia="ko-KR"/>
              </w:rPr>
            </w:pPr>
            <w:r>
              <w:fldChar w:fldCharType="begin"/>
            </w:r>
            <w:r>
              <w:instrText xml:space="preserve"> HYPERLINK "mailto:sj117.kim@lge.com" </w:instrText>
            </w:r>
            <w:r>
              <w:fldChar w:fldCharType="separate"/>
            </w:r>
            <w:r>
              <w:rPr>
                <w:rStyle w:val="57"/>
                <w:rFonts w:eastAsia="Malgun Gothic"/>
                <w:lang w:eastAsia="ko-KR"/>
              </w:rPr>
              <w:t>s</w:t>
            </w:r>
            <w:r>
              <w:rPr>
                <w:rStyle w:val="57"/>
                <w:rFonts w:hint="eastAsia" w:eastAsia="Malgun Gothic"/>
                <w:lang w:eastAsia="ko-KR"/>
              </w:rPr>
              <w:t>j1</w:t>
            </w:r>
            <w:r>
              <w:rPr>
                <w:rStyle w:val="57"/>
                <w:rFonts w:eastAsia="Malgun Gothic"/>
                <w:lang w:eastAsia="ko-KR"/>
              </w:rPr>
              <w:t>17.kim@lge.com</w:t>
            </w:r>
            <w:r>
              <w:rPr>
                <w:rStyle w:val="57"/>
                <w:rFonts w:eastAsia="Malgun Gothic"/>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rFonts w:hint="eastAsia"/>
                <w:lang w:eastAsia="zh-CN"/>
              </w:rPr>
              <w:t>C</w:t>
            </w:r>
            <w:r>
              <w:rPr>
                <w:lang w:eastAsia="zh-CN"/>
              </w:rPr>
              <w:t>MCC</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rFonts w:hint="eastAsia"/>
                <w:lang w:eastAsia="zh-CN"/>
              </w:rPr>
              <w:t>l</w:t>
            </w:r>
            <w:r>
              <w:rPr>
                <w:lang w:eastAsia="zh-CN"/>
              </w:rPr>
              <w:t>iuxiaoman@chinamobile.com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rFonts w:hint="eastAsia"/>
                <w:lang w:eastAsia="zh-CN"/>
              </w:rPr>
            </w:pPr>
            <w:r>
              <w:rPr>
                <w:rFonts w:hint="eastAsia"/>
                <w:lang w:eastAsia="zh-CN"/>
              </w:rPr>
              <w:t>S</w:t>
            </w:r>
            <w:r>
              <w:rPr>
                <w:lang w:eastAsia="zh-CN"/>
              </w:rPr>
              <w:t>preadtrum</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rFonts w:hint="eastAsia"/>
                <w:lang w:eastAsia="zh-CN"/>
              </w:rPr>
            </w:pPr>
            <w:r>
              <w:rPr>
                <w:lang w:eastAsia="zh-CN"/>
              </w:rPr>
              <w:t>lifeng.han@unisoc.com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rFonts w:hint="default"/>
                <w:lang w:val="en-US" w:eastAsia="zh-CN"/>
              </w:rPr>
            </w:pPr>
            <w:r>
              <w:rPr>
                <w:rFonts w:hint="eastAsia"/>
                <w:lang w:val="en-US" w:eastAsia="zh-CN"/>
              </w:rPr>
              <w:t>ZTE</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rFonts w:hint="eastAsia"/>
                <w:lang w:eastAsia="zh-CN"/>
              </w:rPr>
              <w:t>qi.tao3@zte.com.cn</w:t>
            </w:r>
          </w:p>
        </w:tc>
      </w:tr>
    </w:tbl>
    <w:p>
      <w:pPr>
        <w:pStyle w:val="149"/>
        <w:ind w:left="0" w:firstLine="0"/>
      </w:pPr>
    </w:p>
    <w:p>
      <w:pPr>
        <w:pStyle w:val="149"/>
        <w:ind w:left="0" w:firstLine="0"/>
      </w:pPr>
    </w:p>
    <w:p>
      <w:pPr>
        <w:pStyle w:val="149"/>
      </w:pPr>
    </w:p>
    <w:p>
      <w:pPr>
        <w:pStyle w:val="2"/>
      </w:pPr>
      <w:bookmarkStart w:id="0" w:name="_Ref178064866"/>
      <w:r>
        <w:t>2</w:t>
      </w:r>
      <w:r>
        <w:tab/>
      </w:r>
      <w:r>
        <w:t>Discussion</w:t>
      </w:r>
      <w:bookmarkEnd w:id="0"/>
    </w:p>
    <w:p>
      <w:pPr>
        <w:pBdr>
          <w:bottom w:val="single" w:color="auto" w:sz="6" w:space="1"/>
        </w:pBdr>
      </w:pPr>
      <w:r>
        <w:t>In R2-2200141(S2-2109171) the following response from SA2 to CT1 was made:</w:t>
      </w:r>
    </w:p>
    <w:p>
      <w:pPr>
        <w:rPr>
          <w:b/>
        </w:rPr>
      </w:pPr>
      <w:r>
        <w:rPr>
          <w:b/>
        </w:rPr>
        <w:t>…</w:t>
      </w:r>
    </w:p>
    <w:p>
      <w:pPr>
        <w:rPr>
          <w:b/>
        </w:rPr>
      </w:pPr>
      <w:r>
        <w:rPr>
          <w:b/>
        </w:rPr>
        <w:t>1. Overall Description:</w:t>
      </w:r>
    </w:p>
    <w:p>
      <w:pPr>
        <w:rPr>
          <w:bCs/>
        </w:rPr>
      </w:pPr>
      <w:r>
        <w:rPr>
          <w:bCs/>
        </w:rPr>
        <w:t>SA2 thanks CT1 for the LS on maximum number of MBS sessions that can be associated to a PDU session. SA2 discussed the LS and would like to provide the following feedback:</w:t>
      </w:r>
    </w:p>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629" w:type="dxa"/>
          </w:tcPr>
          <w:p>
            <w:pPr>
              <w:rPr>
                <w:rFonts w:eastAsia="Times New Roman"/>
                <w:b/>
                <w:bCs/>
                <w:sz w:val="20"/>
                <w:szCs w:val="20"/>
                <w:lang w:val="en-GB"/>
              </w:rPr>
            </w:pPr>
            <w:r>
              <w:rPr>
                <w:rFonts w:eastAsia="Times New Roman"/>
                <w:b/>
                <w:bCs/>
                <w:sz w:val="20"/>
                <w:szCs w:val="20"/>
                <w:lang w:val="en-GB"/>
              </w:rPr>
              <w:t>currently CT1 assumes that the maximum number of MBS sessions that can be associated to a PDU session is limited to 4</w:t>
            </w:r>
          </w:p>
        </w:tc>
      </w:tr>
    </w:tbl>
    <w:p>
      <w:pPr>
        <w:rPr>
          <w:b/>
          <w:bCs/>
          <w:iCs/>
          <w:u w:val="single"/>
        </w:rPr>
      </w:pPr>
    </w:p>
    <w:p>
      <w:pPr>
        <w:rPr>
          <w:b/>
          <w:bCs/>
          <w:iCs/>
          <w:u w:val="single"/>
        </w:rPr>
      </w:pPr>
      <w:r>
        <w:rPr>
          <w:b/>
          <w:bCs/>
          <w:iCs/>
          <w:u w:val="single"/>
        </w:rPr>
        <w:t>SA2 response:</w:t>
      </w:r>
    </w:p>
    <w:p>
      <w:pPr>
        <w:spacing w:after="120"/>
        <w:rPr>
          <w:rFonts w:cs="Arial"/>
          <w:bCs/>
          <w:lang w:eastAsia="zh-CN"/>
        </w:rPr>
      </w:pPr>
      <w:r>
        <w:rPr>
          <w:rFonts w:cs="Arial"/>
          <w:bCs/>
          <w:lang w:eastAsia="zh-CN"/>
        </w:rPr>
        <w:t>The UEs can be involved in multiple multicast MBS sessions in parallel, e.g.:</w:t>
      </w:r>
    </w:p>
    <w:p>
      <w:pPr>
        <w:pStyle w:val="132"/>
        <w:numPr>
          <w:ilvl w:val="0"/>
          <w:numId w:val="13"/>
        </w:numPr>
        <w:spacing w:after="120"/>
        <w:contextualSpacing/>
        <w:textAlignment w:val="auto"/>
        <w:rPr>
          <w:rFonts w:ascii="Arial" w:hAnsi="Arial" w:cs="Arial"/>
          <w:bCs/>
          <w:lang w:val="en-GB" w:eastAsia="zh-CN"/>
        </w:rPr>
      </w:pPr>
      <w:r>
        <w:rPr>
          <w:rFonts w:ascii="Arial" w:hAnsi="Arial" w:cs="Arial"/>
          <w:bCs/>
          <w:lang w:val="en-GB" w:eastAsia="zh-CN"/>
        </w:rPr>
        <w:t>In MCPTT (Mission Critical Push-To-Talk), the UEs can be involved in multiple group calls</w:t>
      </w:r>
      <w:r>
        <w:rPr>
          <w:rFonts w:ascii="Arial" w:hAnsi="Arial" w:cs="Arial" w:eastAsiaTheme="minorEastAsia"/>
          <w:bCs/>
          <w:lang w:val="en-GB" w:eastAsia="zh-CN"/>
        </w:rPr>
        <w:t>;</w:t>
      </w:r>
    </w:p>
    <w:p>
      <w:pPr>
        <w:pStyle w:val="132"/>
        <w:numPr>
          <w:ilvl w:val="0"/>
          <w:numId w:val="13"/>
        </w:numPr>
        <w:spacing w:after="120"/>
        <w:contextualSpacing/>
        <w:textAlignment w:val="auto"/>
        <w:rPr>
          <w:rFonts w:ascii="Arial" w:hAnsi="Arial" w:cs="Arial"/>
          <w:bCs/>
          <w:lang w:val="en-GB" w:eastAsia="zh-CN"/>
        </w:rPr>
      </w:pPr>
      <w:r>
        <w:rPr>
          <w:rFonts w:ascii="Arial" w:hAnsi="Arial" w:cs="Arial"/>
          <w:bCs/>
          <w:lang w:val="en-GB" w:eastAsia="zh-CN"/>
        </w:rPr>
        <w:t xml:space="preserve">In TV </w:t>
      </w:r>
      <w:r>
        <w:rPr>
          <w:rFonts w:ascii="Arial" w:hAnsi="Arial" w:cs="Arial" w:eastAsiaTheme="minorEastAsia"/>
          <w:bCs/>
          <w:lang w:val="en-GB" w:eastAsia="zh-CN"/>
        </w:rPr>
        <w:t>services</w:t>
      </w:r>
      <w:r>
        <w:rPr>
          <w:rFonts w:ascii="Arial" w:hAnsi="Arial" w:cs="Arial"/>
          <w:bCs/>
          <w:lang w:val="en-GB" w:eastAsia="zh-CN"/>
        </w:rPr>
        <w:t xml:space="preserve">, the UEs </w:t>
      </w:r>
      <w:r>
        <w:rPr>
          <w:rFonts w:ascii="Arial" w:hAnsi="Arial" w:cs="Arial" w:eastAsiaTheme="minorEastAsia"/>
          <w:bCs/>
          <w:lang w:val="en-GB" w:eastAsia="zh-CN"/>
        </w:rPr>
        <w:t>can</w:t>
      </w:r>
      <w:r>
        <w:rPr>
          <w:rFonts w:ascii="Arial" w:hAnsi="Arial" w:cs="Arial"/>
          <w:bCs/>
          <w:lang w:val="en-GB" w:eastAsia="zh-CN"/>
        </w:rPr>
        <w:t xml:space="preserve"> be involved in multiple TV channels together with associated data channels.</w:t>
      </w:r>
    </w:p>
    <w:p>
      <w:pPr>
        <w:spacing w:after="120"/>
        <w:rPr>
          <w:rFonts w:cs="Arial"/>
          <w:bCs/>
          <w:lang w:eastAsia="zh-CN"/>
        </w:rPr>
      </w:pPr>
      <w:r>
        <w:rPr>
          <w:rFonts w:cs="Arial"/>
          <w:bCs/>
          <w:lang w:eastAsia="zh-CN"/>
        </w:rPr>
        <w:t>Therefore maximum 4 MBS sessions that can be associated to a PDU session is not considered sufficient. To be more flexible and future proof, SA2 is thinking of a value between 8 to 32 to be the maximum number.</w:t>
      </w:r>
    </w:p>
    <w:p>
      <w:pPr>
        <w:pBdr>
          <w:bottom w:val="single" w:color="auto" w:sz="6" w:space="1"/>
        </w:pBdr>
        <w:spacing w:after="120"/>
        <w:rPr>
          <w:rFonts w:cs="Arial"/>
          <w:bCs/>
          <w:lang w:eastAsia="zh-CN"/>
        </w:rPr>
      </w:pPr>
      <w:r>
        <w:rPr>
          <w:rFonts w:cs="Arial"/>
          <w:bCs/>
          <w:lang w:eastAsia="zh-CN"/>
        </w:rPr>
        <w:t>As the actual use cases are under the remit of SA4 and SA6, and there are limitations in relevant radio resources, e.g.  number of DRBs per PDU Session, number of MRBs per cell as defined in RAN2, SA2 would also respectfully ask SA4, SA6 and RAN2 to provide feedback on the maximum number of MBS sessions that can be associated to a PDU session.</w:t>
      </w:r>
    </w:p>
    <w:p>
      <w:pPr>
        <w:pBdr>
          <w:bottom w:val="single" w:color="auto" w:sz="6" w:space="1"/>
        </w:pBdr>
        <w:spacing w:after="120"/>
        <w:rPr>
          <w:rFonts w:cs="Arial"/>
          <w:bCs/>
          <w:lang w:eastAsia="zh-CN"/>
        </w:rPr>
      </w:pPr>
      <w:r>
        <w:rPr>
          <w:rFonts w:cs="Arial"/>
          <w:bCs/>
          <w:lang w:eastAsia="zh-CN"/>
        </w:rPr>
        <w:t>…</w:t>
      </w:r>
    </w:p>
    <w:p>
      <w:r>
        <w:rPr>
          <w:b/>
          <w:bCs/>
        </w:rPr>
        <w:t>SA2 ask RAN2 for feedback on</w:t>
      </w:r>
      <w:r>
        <w:t xml:space="preserve"> “</w:t>
      </w:r>
      <w:r>
        <w:rPr>
          <w:rFonts w:cs="Arial"/>
          <w:bCs/>
          <w:lang w:eastAsia="zh-CN"/>
        </w:rPr>
        <w:t xml:space="preserve"> … the maximum number of MBS sessions that can be associated to a PDU session</w:t>
      </w:r>
      <w:r>
        <w:t>”</w:t>
      </w:r>
    </w:p>
    <w:p>
      <w:r>
        <w:t>Rapporteur assumes that the question from SA2 is to understand the RAN limit, if any, on how many MBS sessions can be associated with one PDU session, i.e. one aspect is to understand how many MBS sessions one UE can join at a time.</w:t>
      </w:r>
    </w:p>
    <w:p>
      <w:r>
        <w:t xml:space="preserve">In RAN2 there are currently assumptions that (e.g. CR introducing MBS in 38.300) a MBS session results in one or more multicast MRB configuration(s). </w:t>
      </w:r>
    </w:p>
    <w:p>
      <w:r>
        <w:t>Additionally, the current assumption is that in Rel-17 MBS, the current defined max RB (i.e. 16 RB per UE) is reused. In addition to that, an optional UE capability of </w:t>
      </w:r>
      <w:r>
        <w:rPr>
          <w:i/>
          <w:iCs/>
        </w:rPr>
        <w:t>maxMRB-Add</w:t>
      </w:r>
      <w:r>
        <w:t> for additional MRBs support is adopted for multicast.</w:t>
      </w:r>
    </w:p>
    <w:p>
      <w:r>
        <w:t xml:space="preserve">As a conclusion, the maximum number of </w:t>
      </w:r>
      <w:r>
        <w:rPr>
          <w:i/>
          <w:iCs/>
        </w:rPr>
        <w:t>active</w:t>
      </w:r>
      <w:r>
        <w:t xml:space="preserve"> MBS session one UE can join at the same time is bound to the UE capability on max concurrent Radio Bearers (including impact from Split bearer types) that is used for a service.</w:t>
      </w:r>
    </w:p>
    <w:p>
      <w:r>
        <w:t>For MBS one can assume that, as also pointed out by SA2, a unique MBS session for each group (or broadcast area) you are communicating with may be needed, and as a result, a low value of MBS sessions associated to each PDU Session would possibly restrict what is possible to achieve for the end user services. However, this suggests that UEs in different groups join different MBS Sessions.</w:t>
      </w:r>
    </w:p>
    <w:p>
      <w:r>
        <w:t>From a signalling perspective, RAN2 should not have any particular view on a limit on the number of PDU Session associated MBS Sessions, whereas a limitation to what number of MRBs (including DRBs etc) to configure will need to be handled at RAN for any max number MBS to PDU Sessions. I.e. supporting a higher number of associated MBS Sessions, e.g., 32, would not be an issue itself, but the combined number of RBs the UE have to receive joining multiple active MBS Sessions needs consideration.</w:t>
      </w:r>
    </w:p>
    <w:p>
      <w:r>
        <w:t>If companies agree to the above a brief clarification along those lines can be sent as reply to SA2. Should there be other considerations w.r.t. the association of MBS Sessions to PDU Sessions, company input is welcomed.</w:t>
      </w:r>
    </w:p>
    <w:p>
      <w:pPr>
        <w:rPr>
          <w:b/>
          <w:bCs/>
        </w:rPr>
      </w:pPr>
      <w:r>
        <w:rPr>
          <w:b/>
          <w:bCs/>
        </w:rPr>
        <w:t xml:space="preserve">Q: Company input on the maximum number of </w:t>
      </w:r>
      <w:r>
        <w:rPr>
          <w:rFonts w:hint="eastAsia"/>
          <w:b/>
          <w:bCs/>
        </w:rPr>
        <w:t>MBS</w:t>
      </w:r>
      <w:r>
        <w:rPr>
          <w:b/>
          <w:bCs/>
        </w:rPr>
        <w:t xml:space="preserve"> sessions that can be associated to a PDU session: </w:t>
      </w:r>
    </w:p>
    <w:tbl>
      <w:tblPr>
        <w:tblStyle w:val="51"/>
        <w:tblW w:w="8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0"/>
                <w:szCs w:val="20"/>
                <w:lang w:val="en-GB"/>
              </w:rPr>
            </w:pPr>
            <w:r>
              <w:rPr>
                <w:rFonts w:eastAsia="Calibri"/>
                <w:b/>
                <w:bCs/>
                <w:sz w:val="20"/>
                <w:szCs w:val="20"/>
                <w:lang w:val="en-GB"/>
              </w:rPr>
              <w:t>Company</w:t>
            </w:r>
          </w:p>
        </w:tc>
        <w:tc>
          <w:tcPr>
            <w:tcW w:w="6946"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2"/>
                <w:szCs w:val="22"/>
                <w:lang w:val="en-GB"/>
              </w:rPr>
            </w:pPr>
            <w:r>
              <w:rPr>
                <w:rFonts w:eastAsia="Calibri"/>
                <w:b/>
                <w:bCs/>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sz w:val="20"/>
                <w:szCs w:val="20"/>
                <w:lang w:val="en-GB" w:eastAsia="zh-CN"/>
              </w:rPr>
            </w:pPr>
            <w:r>
              <w:rPr>
                <w:rFonts w:eastAsiaTheme="minorEastAsia"/>
                <w:sz w:val="20"/>
                <w:szCs w:val="20"/>
                <w:lang w:val="en-GB" w:eastAsia="zh-CN"/>
              </w:rPr>
              <w:t>Qualcomm</w:t>
            </w:r>
          </w:p>
        </w:tc>
        <w:tc>
          <w:tcPr>
            <w:tcW w:w="6946" w:type="dxa"/>
            <w:tcBorders>
              <w:top w:val="single" w:color="auto" w:sz="4" w:space="0"/>
              <w:left w:val="single" w:color="auto" w:sz="4" w:space="0"/>
              <w:bottom w:val="single" w:color="auto" w:sz="4" w:space="0"/>
              <w:right w:val="single" w:color="auto" w:sz="4" w:space="0"/>
            </w:tcBorders>
          </w:tcPr>
          <w:p>
            <w:pPr>
              <w:rPr>
                <w:rFonts w:eastAsia="Calibri"/>
                <w:sz w:val="22"/>
                <w:szCs w:val="22"/>
                <w:lang w:val="de-DE"/>
              </w:rPr>
            </w:pPr>
            <w:r>
              <w:rPr>
                <w:rFonts w:eastAsia="Calibri"/>
                <w:sz w:val="22"/>
                <w:szCs w:val="22"/>
                <w:lang w:val="en-GB"/>
              </w:rPr>
              <w:t xml:space="preserve">SA2 is asking what is limitation from Radio resource perspespective. From RAN2 perspective, we can indicate that default DRBs + MRBs = 16 and </w:t>
            </w:r>
            <w:r>
              <w:rPr>
                <w:rFonts w:eastAsia="Calibri"/>
                <w:sz w:val="22"/>
                <w:szCs w:val="22"/>
                <w:lang w:val="de-DE"/>
              </w:rPr>
              <w:t>an optional UE capability of </w:t>
            </w:r>
            <w:r>
              <w:rPr>
                <w:rFonts w:eastAsia="Calibri"/>
                <w:i/>
                <w:iCs/>
                <w:sz w:val="22"/>
                <w:szCs w:val="22"/>
                <w:lang w:val="de-DE"/>
              </w:rPr>
              <w:t>maxMRB-Add</w:t>
            </w:r>
            <w:r>
              <w:rPr>
                <w:rFonts w:eastAsia="Calibri"/>
                <w:sz w:val="22"/>
                <w:szCs w:val="22"/>
                <w:lang w:val="de-DE"/>
              </w:rPr>
              <w:t xml:space="preserve"> for additional MRBs support is adopted for multicast. </w:t>
            </w:r>
          </w:p>
          <w:p>
            <w:pPr>
              <w:rPr>
                <w:rFonts w:eastAsia="Calibri"/>
                <w:sz w:val="22"/>
                <w:szCs w:val="22"/>
                <w:lang w:val="de-DE"/>
              </w:rPr>
            </w:pPr>
            <w:r>
              <w:rPr>
                <w:rFonts w:eastAsia="Calibri"/>
                <w:sz w:val="22"/>
                <w:szCs w:val="22"/>
                <w:lang w:val="de-DE"/>
              </w:rPr>
              <w:t xml:space="preserve">In R2-2202671, we proposed to have 4 MRBs as default and any additional MRBs is based on UE capability between 5 to 8. </w:t>
            </w:r>
            <w:r>
              <w:rPr>
                <w:rFonts w:eastAsia="Calibri"/>
                <w:i/>
                <w:iCs/>
                <w:sz w:val="22"/>
                <w:szCs w:val="22"/>
                <w:lang w:val="de-DE"/>
              </w:rPr>
              <w:t>maxMRB-Add</w:t>
            </w:r>
            <w:r>
              <w:rPr>
                <w:rFonts w:eastAsia="Calibri"/>
                <w:sz w:val="22"/>
                <w:szCs w:val="22"/>
                <w:lang w:val="de-DE"/>
              </w:rPr>
              <w:t> proposed value is 2 to 16. Once we agree UE capabilities for supporting MRBs, we can convey to SA2. Actual number of MBS sessions that can be associated with PDU session can be decided by SA2.</w:t>
            </w:r>
          </w:p>
          <w:p>
            <w:pPr>
              <w:spacing w:after="0"/>
              <w:jc w:val="both"/>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en-GB"/>
              </w:rPr>
            </w:pPr>
            <w:r>
              <w:rPr>
                <w:rFonts w:eastAsia="Yu Mincho"/>
                <w:sz w:val="20"/>
                <w:szCs w:val="20"/>
                <w:lang w:val="en-GB"/>
              </w:rPr>
              <w:t>Nokia</w:t>
            </w:r>
          </w:p>
        </w:tc>
        <w:tc>
          <w:tcPr>
            <w:tcW w:w="6946" w:type="dxa"/>
            <w:tcBorders>
              <w:top w:val="single" w:color="auto" w:sz="4" w:space="0"/>
              <w:left w:val="single" w:color="auto" w:sz="4" w:space="0"/>
              <w:bottom w:val="single" w:color="auto" w:sz="4" w:space="0"/>
              <w:right w:val="single" w:color="auto" w:sz="4" w:space="0"/>
            </w:tcBorders>
          </w:tcPr>
          <w:p>
            <w:pPr>
              <w:pStyle w:val="70"/>
              <w:ind w:left="0" w:firstLine="0"/>
              <w:rPr>
                <w:rFonts w:ascii="Arial" w:hAnsi="Arial" w:eastAsia="Yu Mincho" w:cs="Arial"/>
                <w:sz w:val="22"/>
                <w:szCs w:val="22"/>
                <w:lang w:val="en-GB"/>
              </w:rPr>
            </w:pPr>
            <w:r>
              <w:rPr>
                <w:rFonts w:ascii="Arial" w:hAnsi="Arial" w:eastAsia="Yu Mincho" w:cs="Arial"/>
                <w:sz w:val="22"/>
                <w:szCs w:val="22"/>
                <w:lang w:val="en-GB"/>
              </w:rPr>
              <w:t>Agree with the rapporteur’s suggestion of a brief clarification between number of sessions and MRBs; and also agree with Qualcomm on the need to wait for the UE capability to progress to indicate the number of MRBs.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en-GB"/>
              </w:rPr>
            </w:pPr>
            <w:r>
              <w:rPr>
                <w:rFonts w:eastAsia="Calibri"/>
                <w:sz w:val="20"/>
                <w:szCs w:val="20"/>
                <w:lang w:val="en-GB" w:eastAsia="zh-CN"/>
              </w:rPr>
              <w:t>CATT</w:t>
            </w:r>
          </w:p>
        </w:tc>
        <w:tc>
          <w:tcPr>
            <w:tcW w:w="6946" w:type="dxa"/>
            <w:tcBorders>
              <w:top w:val="single" w:color="auto" w:sz="4" w:space="0"/>
              <w:left w:val="single" w:color="auto" w:sz="4" w:space="0"/>
              <w:bottom w:val="single" w:color="auto" w:sz="4" w:space="0"/>
              <w:right w:val="single" w:color="auto" w:sz="4" w:space="0"/>
            </w:tcBorders>
          </w:tcPr>
          <w:p>
            <w:pPr>
              <w:pStyle w:val="15"/>
              <w:rPr>
                <w:rFonts w:cs="Arial" w:eastAsiaTheme="minorEastAsia"/>
                <w:sz w:val="22"/>
                <w:szCs w:val="20"/>
                <w:lang w:val="de-DE" w:eastAsia="en-US"/>
              </w:rPr>
            </w:pPr>
            <w:r>
              <w:rPr>
                <w:rFonts w:eastAsia="Calibri" w:cs="Arial"/>
                <w:sz w:val="22"/>
                <w:szCs w:val="20"/>
                <w:lang w:val="de-DE" w:eastAsia="en-US"/>
              </w:rPr>
              <w:t xml:space="preserve">Even though we agree with rapporteur that normally RAN2 should not have any particular requirement on the maximum number of MBS Sessions,but we should inform SA2 that the </w:t>
            </w:r>
            <w:r>
              <w:rPr>
                <w:rFonts w:eastAsia="Calibri"/>
                <w:sz w:val="22"/>
                <w:szCs w:val="22"/>
                <w:lang w:val="de-DE" w:eastAsia="en-US"/>
              </w:rPr>
              <w:t xml:space="preserve">maximum number of MRB(i.e. 16) defined by RAN2 will eventually limit the </w:t>
            </w:r>
            <w:r>
              <w:rPr>
                <w:rFonts w:eastAsia="Calibri" w:cs="Arial"/>
                <w:sz w:val="22"/>
                <w:szCs w:val="20"/>
                <w:lang w:val="de-DE" w:eastAsia="en-US"/>
              </w:rPr>
              <w:t>maximum number of MBS session</w:t>
            </w:r>
            <w:r>
              <w:rPr>
                <w:rFonts w:eastAsia="Calibri"/>
                <w:b/>
                <w:bCs/>
                <w:sz w:val="22"/>
                <w:szCs w:val="22"/>
                <w:lang w:val="de-DE" w:eastAsia="en-US"/>
              </w:rPr>
              <w:t xml:space="preserve"> </w:t>
            </w:r>
            <w:r>
              <w:rPr>
                <w:rFonts w:eastAsia="Calibri"/>
                <w:bCs/>
                <w:sz w:val="22"/>
                <w:szCs w:val="22"/>
                <w:lang w:val="de-DE" w:eastAsia="en-US"/>
              </w:rPr>
              <w:t>that can be associated to a PDU session(i.e. can not exceed 16).</w:t>
            </w:r>
          </w:p>
          <w:p>
            <w:pPr>
              <w:pStyle w:val="70"/>
              <w:ind w:left="0" w:firstLine="0"/>
              <w:rPr>
                <w:rFonts w:ascii="Arial" w:hAnsi="Arial" w:eastAsia="Yu Mincho" w:cs="Arial"/>
                <w:sz w:val="22"/>
                <w:szCs w:val="22"/>
                <w:lang w:val="en-GB"/>
              </w:rPr>
            </w:pPr>
            <w:r>
              <w:rPr>
                <w:rFonts w:eastAsia="Calibri" w:cs="Arial"/>
                <w:sz w:val="22"/>
                <w:szCs w:val="20"/>
                <w:lang w:val="de-DE" w:eastAsia="en-US"/>
              </w:rPr>
              <w:t xml:space="preserve">A MBS session may contain one or multiple MBS flows and one or multiple MBS flows of one MBS session can map to one MRB, and MBS flows from different MBS sessions can not mapped to a same MRB,So The maximum number of MBS session should not exceed the </w:t>
            </w:r>
            <w:r>
              <w:rPr>
                <w:rFonts w:eastAsia="Calibri"/>
                <w:sz w:val="22"/>
                <w:szCs w:val="22"/>
                <w:lang w:val="de-DE" w:eastAsia="en-US"/>
              </w:rPr>
              <w:t>maximum number of MRB(i.e. 16)</w:t>
            </w:r>
            <w:r>
              <w:rPr>
                <w:rFonts w:eastAsia="Calibri" w:cs="Arial"/>
                <w:sz w:val="22"/>
                <w:szCs w:val="20"/>
                <w:lang w:val="de-DE"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en-GB"/>
              </w:rPr>
            </w:pPr>
            <w:r>
              <w:rPr>
                <w:rFonts w:hint="eastAsia" w:eastAsia="Calibri"/>
                <w:sz w:val="20"/>
                <w:szCs w:val="20"/>
                <w:lang w:val="en-GB" w:eastAsia="zh-CN"/>
              </w:rPr>
              <w:t>v</w:t>
            </w:r>
            <w:r>
              <w:rPr>
                <w:rFonts w:eastAsia="Calibri"/>
                <w:sz w:val="20"/>
                <w:szCs w:val="20"/>
                <w:lang w:val="en-GB" w:eastAsia="zh-CN"/>
              </w:rPr>
              <w:t>ivo</w:t>
            </w:r>
          </w:p>
        </w:tc>
        <w:tc>
          <w:tcPr>
            <w:tcW w:w="6946" w:type="dxa"/>
            <w:tcBorders>
              <w:top w:val="single" w:color="auto" w:sz="4" w:space="0"/>
              <w:left w:val="single" w:color="auto" w:sz="4" w:space="0"/>
              <w:bottom w:val="single" w:color="auto" w:sz="4" w:space="0"/>
              <w:right w:val="single" w:color="auto" w:sz="4" w:space="0"/>
            </w:tcBorders>
          </w:tcPr>
          <w:p>
            <w:pPr>
              <w:pStyle w:val="70"/>
              <w:ind w:left="0" w:firstLine="0"/>
              <w:rPr>
                <w:rFonts w:ascii="Arial" w:hAnsi="Arial" w:eastAsia="Yu Mincho" w:cs="Arial"/>
                <w:sz w:val="22"/>
                <w:szCs w:val="22"/>
                <w:lang w:val="en-GB"/>
              </w:rPr>
            </w:pPr>
            <w:r>
              <w:rPr>
                <w:rFonts w:ascii="Arial" w:hAnsi="Arial" w:cs="Arial" w:eastAsiaTheme="minorEastAsia"/>
                <w:sz w:val="22"/>
                <w:szCs w:val="22"/>
                <w:lang w:val="en-GB" w:eastAsia="zh-CN"/>
              </w:rPr>
              <w:t>We agree with the Rapporteur’s analysis. So we can reply SA2 that the current defined max RB (i.e. DRBs + MRBs = 16 RB per UE) and</w:t>
            </w:r>
            <w:r>
              <w:rPr>
                <w:rFonts w:eastAsia="Calibri"/>
                <w:sz w:val="22"/>
                <w:szCs w:val="22"/>
                <w:lang w:val="de-DE"/>
              </w:rPr>
              <w:t xml:space="preserve"> </w:t>
            </w:r>
            <w:r>
              <w:rPr>
                <w:rFonts w:ascii="Arial" w:hAnsi="Arial" w:cs="Arial" w:eastAsiaTheme="minorEastAsia"/>
                <w:sz w:val="22"/>
                <w:szCs w:val="22"/>
                <w:lang w:val="en-GB" w:eastAsia="zh-CN"/>
              </w:rPr>
              <w:t>an optional UE capability of </w:t>
            </w:r>
            <w:r>
              <w:rPr>
                <w:rFonts w:ascii="Arial" w:hAnsi="Arial" w:cs="Arial" w:eastAsiaTheme="minorEastAsia"/>
                <w:i/>
                <w:sz w:val="22"/>
                <w:szCs w:val="22"/>
                <w:lang w:val="en-GB" w:eastAsia="zh-CN"/>
              </w:rPr>
              <w:t xml:space="preserve">maxMRB-Add, </w:t>
            </w:r>
            <w:r>
              <w:rPr>
                <w:rFonts w:ascii="Arial" w:hAnsi="Arial" w:cs="Arial" w:eastAsiaTheme="minorEastAsia"/>
                <w:sz w:val="22"/>
                <w:szCs w:val="22"/>
                <w:lang w:val="en-GB" w:eastAsia="zh-CN"/>
              </w:rPr>
              <w:t>e.g. 16,</w:t>
            </w:r>
            <w:r>
              <w:rPr>
                <w:rFonts w:ascii="Arial" w:hAnsi="Arial" w:cs="Arial" w:eastAsiaTheme="minorEastAsia"/>
                <w:i/>
                <w:sz w:val="22"/>
                <w:szCs w:val="22"/>
                <w:lang w:val="en-GB" w:eastAsia="zh-CN"/>
              </w:rPr>
              <w:t xml:space="preserve"> </w:t>
            </w:r>
            <w:r>
              <w:rPr>
                <w:rFonts w:ascii="Arial" w:hAnsi="Arial" w:cs="Arial" w:eastAsiaTheme="minorEastAsia"/>
                <w:sz w:val="22"/>
                <w:szCs w:val="22"/>
                <w:lang w:val="en-GB" w:eastAsia="zh-CN"/>
              </w:rPr>
              <w:t>for additional MRBs support is adopted for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sz w:val="20"/>
                <w:szCs w:val="20"/>
                <w:lang w:val="en-GB" w:eastAsia="zh-CN"/>
              </w:rPr>
            </w:pPr>
            <w:r>
              <w:rPr>
                <w:rFonts w:hint="eastAsia" w:eastAsiaTheme="minorEastAsia"/>
                <w:sz w:val="20"/>
                <w:szCs w:val="20"/>
                <w:lang w:val="en-GB" w:eastAsia="zh-CN"/>
              </w:rPr>
              <w:t>O</w:t>
            </w:r>
            <w:r>
              <w:rPr>
                <w:rFonts w:eastAsiaTheme="minorEastAsia"/>
                <w:sz w:val="20"/>
                <w:szCs w:val="20"/>
                <w:lang w:val="en-GB" w:eastAsia="zh-CN"/>
              </w:rPr>
              <w:t>PPO</w:t>
            </w:r>
          </w:p>
        </w:tc>
        <w:tc>
          <w:tcPr>
            <w:tcW w:w="6946" w:type="dxa"/>
            <w:tcBorders>
              <w:top w:val="single" w:color="auto" w:sz="4" w:space="0"/>
              <w:left w:val="single" w:color="auto" w:sz="4" w:space="0"/>
              <w:bottom w:val="single" w:color="auto" w:sz="4" w:space="0"/>
              <w:right w:val="single" w:color="auto" w:sz="4" w:space="0"/>
            </w:tcBorders>
          </w:tcPr>
          <w:p>
            <w:pPr>
              <w:pStyle w:val="70"/>
              <w:ind w:left="0" w:firstLine="0"/>
              <w:rPr>
                <w:rFonts w:ascii="Arial" w:hAnsi="Arial" w:cs="Arial" w:eastAsiaTheme="minorEastAsia"/>
                <w:sz w:val="22"/>
                <w:szCs w:val="22"/>
                <w:lang w:val="en-GB" w:eastAsia="zh-CN"/>
              </w:rPr>
            </w:pPr>
            <w:r>
              <w:rPr>
                <w:rFonts w:ascii="Arial" w:hAnsi="Arial" w:cs="Arial" w:eastAsiaTheme="minorEastAsia"/>
                <w:sz w:val="22"/>
                <w:szCs w:val="22"/>
                <w:lang w:val="en-GB" w:eastAsia="zh-CN"/>
              </w:rPr>
              <w:t>We agree with rapporteur’s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Calibri"/>
                <w:sz w:val="22"/>
                <w:szCs w:val="22"/>
                <w:lang w:val="de-DE" w:eastAsia="zh-CN"/>
              </w:rPr>
            </w:pPr>
            <w:r>
              <w:rPr>
                <w:rFonts w:eastAsia="Yu Mincho"/>
                <w:sz w:val="20"/>
                <w:szCs w:val="20"/>
                <w:lang w:val="en-GB"/>
              </w:rPr>
              <w:t>Intel</w:t>
            </w:r>
          </w:p>
        </w:tc>
        <w:tc>
          <w:tcPr>
            <w:tcW w:w="6946" w:type="dxa"/>
            <w:tcBorders>
              <w:top w:val="single" w:color="auto" w:sz="4" w:space="0"/>
              <w:left w:val="single" w:color="auto" w:sz="4" w:space="0"/>
              <w:bottom w:val="single" w:color="auto" w:sz="4" w:space="0"/>
              <w:right w:val="single" w:color="auto" w:sz="4" w:space="0"/>
            </w:tcBorders>
          </w:tcPr>
          <w:p>
            <w:pPr>
              <w:pStyle w:val="70"/>
              <w:ind w:left="0" w:firstLine="0"/>
              <w:rPr>
                <w:rFonts w:ascii="Arial" w:hAnsi="Arial" w:eastAsia="Calibri" w:cs="Arial"/>
                <w:sz w:val="22"/>
                <w:szCs w:val="22"/>
                <w:lang w:val="de-DE" w:eastAsia="zh-CN"/>
              </w:rPr>
            </w:pPr>
            <w:r>
              <w:rPr>
                <w:rFonts w:ascii="Arial" w:hAnsi="Arial" w:eastAsia="Yu Mincho" w:cs="Arial"/>
                <w:sz w:val="22"/>
                <w:szCs w:val="22"/>
                <w:lang w:val="en-GB"/>
              </w:rPr>
              <w:t>Agree with rapporteur’s clarification regarding the relationship between the maximum number of MBS sessions and MRBs. Also agree with Qualcomm to wait for the UE capability discussion regarding the maximum number of MRBs.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2"/>
                <w:szCs w:val="22"/>
                <w:lang w:val="de-DE"/>
              </w:rPr>
            </w:pPr>
            <w:r>
              <w:rPr>
                <w:rFonts w:eastAsia="Calibri"/>
                <w:sz w:val="22"/>
                <w:szCs w:val="22"/>
                <w:lang w:val="en-GB" w:eastAsia="zh-CN"/>
              </w:rPr>
              <w:t>Huawei, HiSilicon</w:t>
            </w:r>
          </w:p>
        </w:tc>
        <w:tc>
          <w:tcPr>
            <w:tcW w:w="6946" w:type="dxa"/>
            <w:tcBorders>
              <w:top w:val="single" w:color="auto" w:sz="4" w:space="0"/>
              <w:left w:val="single" w:color="auto" w:sz="4" w:space="0"/>
              <w:bottom w:val="single" w:color="auto" w:sz="4" w:space="0"/>
              <w:right w:val="single" w:color="auto" w:sz="4" w:space="0"/>
            </w:tcBorders>
          </w:tcPr>
          <w:p>
            <w:pPr>
              <w:pStyle w:val="70"/>
              <w:ind w:left="0" w:firstLine="0"/>
              <w:rPr>
                <w:rFonts w:ascii="Arial" w:hAnsi="Arial" w:cs="Arial" w:eastAsiaTheme="minorEastAsia"/>
                <w:sz w:val="22"/>
                <w:szCs w:val="22"/>
                <w:lang w:val="en-GB" w:eastAsia="zh-CN"/>
              </w:rPr>
            </w:pPr>
            <w:r>
              <w:rPr>
                <w:rFonts w:hint="eastAsia" w:ascii="Arial" w:hAnsi="Arial" w:cs="Arial" w:eastAsiaTheme="minorEastAsia"/>
                <w:sz w:val="22"/>
                <w:szCs w:val="22"/>
                <w:lang w:val="de-DE" w:eastAsia="zh-CN"/>
              </w:rPr>
              <w:t>G</w:t>
            </w:r>
            <w:r>
              <w:rPr>
                <w:rFonts w:ascii="Arial" w:hAnsi="Arial" w:cs="Arial" w:eastAsiaTheme="minorEastAsia"/>
                <w:sz w:val="22"/>
                <w:szCs w:val="22"/>
                <w:lang w:val="de-DE" w:eastAsia="zh-CN"/>
              </w:rPr>
              <w:t xml:space="preserve">enerally, we share the view of </w:t>
            </w:r>
            <w:r>
              <w:rPr>
                <w:rFonts w:ascii="Arial" w:hAnsi="Arial" w:cs="Arial" w:eastAsiaTheme="minorEastAsia"/>
                <w:sz w:val="22"/>
                <w:szCs w:val="22"/>
                <w:lang w:val="en-GB" w:eastAsia="zh-CN"/>
              </w:rPr>
              <w:t xml:space="preserve">Rapporteur. </w:t>
            </w:r>
          </w:p>
          <w:p>
            <w:pPr>
              <w:pStyle w:val="70"/>
              <w:ind w:left="0" w:firstLine="0"/>
              <w:rPr>
                <w:rFonts w:ascii="Arial" w:hAnsi="Arial" w:cs="Arial" w:eastAsiaTheme="minorEastAsia"/>
                <w:sz w:val="22"/>
                <w:szCs w:val="22"/>
                <w:lang w:val="en-GB" w:eastAsia="zh-CN"/>
              </w:rPr>
            </w:pPr>
            <w:r>
              <w:rPr>
                <w:rFonts w:ascii="Arial" w:hAnsi="Arial" w:cs="Arial" w:eastAsiaTheme="minorEastAsia"/>
                <w:sz w:val="22"/>
                <w:szCs w:val="22"/>
                <w:lang w:val="en-GB" w:eastAsia="zh-CN"/>
              </w:rPr>
              <w:t>From RAN2 perspective, there is no need for the limit on number of MBS sessions that can be associated with a PDU session, especially considering that there may be only one ongoing PDU session for the UE. Actually, there seems no problem if all MBS sessions of a UE are associated with one PDU session.</w:t>
            </w:r>
          </w:p>
          <w:p>
            <w:pPr>
              <w:pStyle w:val="70"/>
              <w:ind w:left="0" w:firstLine="0"/>
              <w:rPr>
                <w:rFonts w:ascii="Arial" w:hAnsi="Arial" w:eastAsia="Yu Mincho" w:cs="Arial"/>
                <w:sz w:val="22"/>
                <w:szCs w:val="22"/>
                <w:lang w:val="de-DE"/>
              </w:rPr>
            </w:pPr>
            <w:r>
              <w:rPr>
                <w:rFonts w:ascii="Arial" w:hAnsi="Arial" w:cs="Arial" w:eastAsiaTheme="minorEastAsia"/>
                <w:sz w:val="22"/>
                <w:szCs w:val="22"/>
                <w:lang w:val="en-GB" w:eastAsia="zh-CN"/>
              </w:rPr>
              <w:t xml:space="preserve">For the maximum number of MRBs, it is still not decided how many additional MRBs that can be supported by the UE optionally. So the actual maximum number of MRBs is up to capability discussion before being indicated to SA2. We think supporting a relatively larger additional range (e.g. 32 or 64) would be beneficial as the actual supported number is anyway indicated by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Calibri"/>
                <w:sz w:val="22"/>
                <w:szCs w:val="22"/>
                <w:lang w:val="de-DE" w:eastAsia="zh-CN"/>
              </w:rPr>
            </w:pPr>
            <w:r>
              <w:rPr>
                <w:rFonts w:eastAsia="Yu Mincho"/>
                <w:sz w:val="22"/>
                <w:szCs w:val="22"/>
                <w:lang w:val="de-DE"/>
              </w:rPr>
              <w:t>Samsung</w:t>
            </w:r>
          </w:p>
        </w:tc>
        <w:tc>
          <w:tcPr>
            <w:tcW w:w="6946" w:type="dxa"/>
            <w:tcBorders>
              <w:top w:val="single" w:color="auto" w:sz="4" w:space="0"/>
              <w:left w:val="single" w:color="auto" w:sz="4" w:space="0"/>
              <w:bottom w:val="single" w:color="auto" w:sz="4" w:space="0"/>
              <w:right w:val="single" w:color="auto" w:sz="4" w:space="0"/>
            </w:tcBorders>
          </w:tcPr>
          <w:p>
            <w:pPr>
              <w:pStyle w:val="70"/>
              <w:ind w:left="0" w:firstLine="0"/>
              <w:rPr>
                <w:rFonts w:ascii="Arial" w:hAnsi="Arial" w:eastAsia="Yu Mincho" w:cs="Arial"/>
                <w:sz w:val="22"/>
                <w:szCs w:val="22"/>
                <w:lang w:val="en-GB"/>
              </w:rPr>
            </w:pPr>
            <w:r>
              <w:rPr>
                <w:rFonts w:ascii="Arial" w:hAnsi="Arial" w:eastAsia="Yu Mincho" w:cs="Arial"/>
                <w:sz w:val="22"/>
                <w:szCs w:val="22"/>
                <w:lang w:val="en-GB"/>
              </w:rPr>
              <w:t xml:space="preserve">Agree with the rapporteur’s point that </w:t>
            </w:r>
            <w:r>
              <w:rPr>
                <w:rFonts w:ascii="Arial" w:hAnsi="Arial" w:eastAsia="Yu Mincho" w:cs="Arial"/>
                <w:sz w:val="22"/>
                <w:szCs w:val="22"/>
                <w:lang w:val="de-DE"/>
              </w:rPr>
              <w:t>RAN2 should not have any particular view on a limit on the number of PDU Session associated MBS Sessions, whereas a limitation to what number of MRBs (including DRBs etc) to configure will need to be handled at RAN for any max number MBS to PDU Sessions.</w:t>
            </w:r>
          </w:p>
          <w:p>
            <w:pPr>
              <w:pStyle w:val="70"/>
              <w:ind w:left="0" w:firstLine="0"/>
              <w:rPr>
                <w:rFonts w:ascii="Arial" w:hAnsi="Arial" w:eastAsia="Calibri" w:cs="Arial"/>
                <w:sz w:val="22"/>
                <w:szCs w:val="22"/>
                <w:lang w:val="de-DE" w:eastAsia="zh-CN"/>
              </w:rPr>
            </w:pPr>
            <w:r>
              <w:rPr>
                <w:rFonts w:ascii="Arial" w:hAnsi="Arial" w:eastAsia="Yu Mincho" w:cs="Arial"/>
                <w:sz w:val="22"/>
                <w:szCs w:val="22"/>
                <w:lang w:val="en-GB"/>
              </w:rPr>
              <w:t>The maximum number of active MBS sessions will be determined based on the UE capability for supported concurrent MRBs along with DRBs and split bearer configurations. We can progress on the UE capability first and indicate support of maximum number of MRBs to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2"/>
                <w:szCs w:val="22"/>
                <w:lang w:val="de-DE"/>
              </w:rPr>
            </w:pPr>
            <w:r>
              <w:rPr>
                <w:rFonts w:eastAsia="Calibri"/>
                <w:sz w:val="20"/>
                <w:szCs w:val="20"/>
                <w:lang w:val="en-GB" w:eastAsia="zh-CN"/>
              </w:rPr>
              <w:t>Lenovo</w:t>
            </w:r>
          </w:p>
        </w:tc>
        <w:tc>
          <w:tcPr>
            <w:tcW w:w="6946" w:type="dxa"/>
            <w:tcBorders>
              <w:top w:val="single" w:color="auto" w:sz="4" w:space="0"/>
              <w:left w:val="single" w:color="auto" w:sz="4" w:space="0"/>
              <w:bottom w:val="single" w:color="auto" w:sz="4" w:space="0"/>
              <w:right w:val="single" w:color="auto" w:sz="4" w:space="0"/>
            </w:tcBorders>
          </w:tcPr>
          <w:p>
            <w:pPr>
              <w:pStyle w:val="70"/>
              <w:ind w:left="0" w:firstLine="0"/>
              <w:rPr>
                <w:rFonts w:ascii="Arial" w:hAnsi="Arial" w:eastAsia="Yu Mincho" w:cs="Arial"/>
                <w:sz w:val="22"/>
                <w:szCs w:val="22"/>
                <w:lang w:val="de-DE"/>
              </w:rPr>
            </w:pPr>
            <w:r>
              <w:rPr>
                <w:rFonts w:ascii="Arial" w:hAnsi="Arial" w:cs="Arial" w:eastAsiaTheme="minorEastAsia"/>
                <w:sz w:val="22"/>
                <w:szCs w:val="22"/>
                <w:lang w:val="en-GB" w:eastAsia="zh-CN"/>
              </w:rPr>
              <w:t>We agree with the Rapporteur’s analysis. We also share companies’ view that the current max RB (i.e. DRBs + MRBs = 16 RB per UE) and</w:t>
            </w:r>
            <w:r>
              <w:rPr>
                <w:rFonts w:eastAsia="Calibri"/>
                <w:sz w:val="22"/>
                <w:szCs w:val="22"/>
                <w:lang w:val="de-DE"/>
              </w:rPr>
              <w:t xml:space="preserve"> </w:t>
            </w:r>
            <w:r>
              <w:rPr>
                <w:rFonts w:ascii="Arial" w:hAnsi="Arial" w:cs="Arial" w:eastAsiaTheme="minorEastAsia"/>
                <w:sz w:val="22"/>
                <w:szCs w:val="22"/>
                <w:lang w:val="en-GB" w:eastAsia="zh-CN"/>
              </w:rPr>
              <w:t>an optional UE capability of </w:t>
            </w:r>
            <w:r>
              <w:rPr>
                <w:rFonts w:ascii="Arial" w:hAnsi="Arial" w:cs="Arial" w:eastAsiaTheme="minorEastAsia"/>
                <w:i/>
                <w:sz w:val="22"/>
                <w:szCs w:val="22"/>
                <w:lang w:val="en-GB" w:eastAsia="zh-CN"/>
              </w:rPr>
              <w:t xml:space="preserve">maxMRB-Add </w:t>
            </w:r>
            <w:r>
              <w:rPr>
                <w:rFonts w:ascii="Arial" w:hAnsi="Arial" w:cs="Arial" w:eastAsiaTheme="minorEastAsia"/>
                <w:sz w:val="22"/>
                <w:szCs w:val="22"/>
                <w:lang w:val="en-GB" w:eastAsia="zh-CN"/>
              </w:rPr>
              <w:t>for additional MRBs support is adopted for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Calibri"/>
                <w:sz w:val="22"/>
                <w:szCs w:val="22"/>
                <w:lang w:val="de-DE" w:eastAsia="zh-CN"/>
              </w:rPr>
            </w:pPr>
            <w:r>
              <w:rPr>
                <w:rFonts w:hint="eastAsia" w:eastAsiaTheme="minorEastAsia"/>
                <w:sz w:val="22"/>
                <w:szCs w:val="22"/>
                <w:lang w:val="de-DE" w:eastAsia="zh-CN"/>
              </w:rPr>
              <w:t>M</w:t>
            </w:r>
            <w:r>
              <w:rPr>
                <w:rFonts w:eastAsiaTheme="minorEastAsia"/>
                <w:sz w:val="22"/>
                <w:szCs w:val="22"/>
                <w:lang w:val="de-DE" w:eastAsia="zh-CN"/>
              </w:rPr>
              <w:t>ediaTek</w:t>
            </w:r>
          </w:p>
        </w:tc>
        <w:tc>
          <w:tcPr>
            <w:tcW w:w="6946" w:type="dxa"/>
            <w:tcBorders>
              <w:top w:val="single" w:color="auto" w:sz="4" w:space="0"/>
              <w:left w:val="single" w:color="auto" w:sz="4" w:space="0"/>
              <w:bottom w:val="single" w:color="auto" w:sz="4" w:space="0"/>
              <w:right w:val="single" w:color="auto" w:sz="4" w:space="0"/>
            </w:tcBorders>
          </w:tcPr>
          <w:p>
            <w:pPr>
              <w:pStyle w:val="70"/>
              <w:ind w:left="0" w:firstLine="0"/>
              <w:rPr>
                <w:rFonts w:ascii="Arial" w:hAnsi="Arial" w:eastAsia="Calibri" w:cs="Arial"/>
                <w:sz w:val="22"/>
                <w:szCs w:val="22"/>
                <w:lang w:val="de-DE" w:eastAsia="zh-CN"/>
              </w:rPr>
            </w:pPr>
            <w:r>
              <w:rPr>
                <w:rFonts w:ascii="Arial" w:hAnsi="Arial" w:eastAsia="Yu Mincho" w:cs="Arial"/>
                <w:sz w:val="22"/>
                <w:szCs w:val="22"/>
                <w:lang w:val="en-GB"/>
              </w:rPr>
              <w:t>Agree with the rapporteur</w:t>
            </w:r>
            <w:r>
              <w:rPr>
                <w:rFonts w:ascii="Arial" w:hAnsi="Arial" w:cs="Arial" w:eastAsiaTheme="minorEastAsia"/>
                <w:sz w:val="22"/>
                <w:szCs w:val="22"/>
                <w:lang w:val="en-GB" w:eastAsia="zh-CN"/>
              </w:rPr>
              <w:t xml:space="preserve">’s clarification. RAN2 should inform SA2 the </w:t>
            </w:r>
            <w:r>
              <w:rPr>
                <w:rFonts w:ascii="Arial" w:hAnsi="Arial" w:eastAsia="Yu Mincho" w:cs="Arial"/>
                <w:sz w:val="22"/>
                <w:szCs w:val="22"/>
                <w:lang w:val="en-GB"/>
              </w:rPr>
              <w:t>maximum number of supporting MRB (total RBs) when there is an agreement in the UE capability discussion, and the number of MBS sessions should not exceed the number of supporting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Calibri"/>
                <w:sz w:val="22"/>
                <w:szCs w:val="22"/>
                <w:lang w:val="de-DE" w:eastAsia="zh-CN"/>
              </w:rPr>
            </w:pPr>
            <w:r>
              <w:rPr>
                <w:rFonts w:hint="eastAsia" w:eastAsia="Malgun Gothic"/>
                <w:sz w:val="22"/>
                <w:szCs w:val="22"/>
                <w:lang w:val="de-DE" w:eastAsia="ko-KR"/>
              </w:rPr>
              <w:t>LGE</w:t>
            </w:r>
          </w:p>
        </w:tc>
        <w:tc>
          <w:tcPr>
            <w:tcW w:w="6946" w:type="dxa"/>
            <w:tcBorders>
              <w:top w:val="single" w:color="auto" w:sz="4" w:space="0"/>
              <w:left w:val="single" w:color="auto" w:sz="4" w:space="0"/>
              <w:bottom w:val="single" w:color="auto" w:sz="4" w:space="0"/>
              <w:right w:val="single" w:color="auto" w:sz="4" w:space="0"/>
            </w:tcBorders>
          </w:tcPr>
          <w:p>
            <w:pPr>
              <w:pStyle w:val="70"/>
              <w:ind w:left="0" w:firstLine="0"/>
              <w:rPr>
                <w:rFonts w:ascii="Arial" w:hAnsi="Arial" w:eastAsia="Yu Mincho" w:cs="Arial"/>
                <w:sz w:val="22"/>
                <w:szCs w:val="22"/>
                <w:lang w:val="de-DE"/>
              </w:rPr>
            </w:pPr>
            <w:r>
              <w:rPr>
                <w:rFonts w:ascii="Arial" w:hAnsi="Arial" w:eastAsia="Malgun Gothic" w:cs="Arial"/>
                <w:sz w:val="22"/>
                <w:szCs w:val="22"/>
                <w:lang w:val="de-DE" w:eastAsia="ko-KR"/>
              </w:rPr>
              <w:t>We agree with rapporteur’s anlaysis. The mapping rule between MRB and MBS session can be informed. For the number of MRBs, the UE capability discussion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sz w:val="22"/>
                <w:szCs w:val="22"/>
                <w:lang w:val="de-DE" w:eastAsia="zh-CN"/>
              </w:rPr>
            </w:pPr>
            <w:r>
              <w:rPr>
                <w:rFonts w:hint="eastAsia" w:eastAsiaTheme="minorEastAsia"/>
                <w:sz w:val="22"/>
                <w:szCs w:val="22"/>
                <w:lang w:val="de-DE" w:eastAsia="zh-CN"/>
              </w:rPr>
              <w:t>C</w:t>
            </w:r>
            <w:r>
              <w:rPr>
                <w:rFonts w:eastAsiaTheme="minorEastAsia"/>
                <w:sz w:val="22"/>
                <w:szCs w:val="22"/>
                <w:lang w:val="de-DE" w:eastAsia="zh-CN"/>
              </w:rPr>
              <w:t>MCC</w:t>
            </w:r>
          </w:p>
        </w:tc>
        <w:tc>
          <w:tcPr>
            <w:tcW w:w="6946" w:type="dxa"/>
            <w:tcBorders>
              <w:top w:val="single" w:color="auto" w:sz="4" w:space="0"/>
              <w:left w:val="single" w:color="auto" w:sz="4" w:space="0"/>
              <w:bottom w:val="single" w:color="auto" w:sz="4" w:space="0"/>
              <w:right w:val="single" w:color="auto" w:sz="4" w:space="0"/>
            </w:tcBorders>
          </w:tcPr>
          <w:p>
            <w:pPr>
              <w:pStyle w:val="70"/>
              <w:ind w:left="0" w:firstLine="0"/>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A</w:t>
            </w:r>
            <w:r>
              <w:rPr>
                <w:rFonts w:ascii="Arial" w:hAnsi="Arial" w:cs="Arial" w:eastAsiaTheme="minorEastAsia"/>
                <w:sz w:val="22"/>
                <w:szCs w:val="22"/>
                <w:lang w:val="de-DE" w:eastAsia="zh-CN"/>
              </w:rPr>
              <w:t>gree with rapporteur’s analysis that RAN2 should not have any particular view on a limit on the number of PDU Session associated MBS Sessions, and we should indicate SA2 the current defined max RB and an optional UE capability of maxMRB-Add for additional MRBs support is adopted for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hint="eastAsia" w:eastAsia="Calibri"/>
                <w:sz w:val="22"/>
                <w:szCs w:val="22"/>
                <w:lang w:val="de-DE" w:eastAsia="zh-CN"/>
              </w:rPr>
            </w:pPr>
            <w:r>
              <w:rPr>
                <w:rFonts w:eastAsia="Calibri"/>
                <w:sz w:val="22"/>
                <w:szCs w:val="22"/>
                <w:lang w:val="de-DE" w:eastAsia="zh-CN"/>
              </w:rPr>
              <w:t>Spreadtrum</w:t>
            </w:r>
          </w:p>
        </w:tc>
        <w:tc>
          <w:tcPr>
            <w:tcW w:w="6946" w:type="dxa"/>
            <w:tcBorders>
              <w:top w:val="single" w:color="auto" w:sz="4" w:space="0"/>
              <w:left w:val="single" w:color="auto" w:sz="4" w:space="0"/>
              <w:bottom w:val="single" w:color="auto" w:sz="4" w:space="0"/>
              <w:right w:val="single" w:color="auto" w:sz="4" w:space="0"/>
            </w:tcBorders>
          </w:tcPr>
          <w:p>
            <w:pPr>
              <w:pStyle w:val="70"/>
              <w:ind w:left="0" w:firstLine="0"/>
              <w:rPr>
                <w:rFonts w:hint="eastAsia" w:ascii="Arial" w:hAnsi="Arial" w:eastAsia="Calibri" w:cs="Arial"/>
                <w:sz w:val="22"/>
                <w:szCs w:val="22"/>
                <w:lang w:val="de-DE" w:eastAsia="zh-CN"/>
              </w:rPr>
            </w:pPr>
            <w:r>
              <w:rPr>
                <w:rFonts w:ascii="Arial" w:hAnsi="Arial" w:eastAsia="Malgun Gothic" w:cs="Arial"/>
                <w:sz w:val="22"/>
                <w:szCs w:val="22"/>
                <w:lang w:val="de-DE" w:eastAsia="ko-KR"/>
              </w:rPr>
              <w:t>We agree with rapporteur’s anlaysis. We should inform SA2 the maxmum number of MRBs in UE on RAN2 agreements. The maximum number of MBS sessions should not exceed the maxmum number of MRBs.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hint="default" w:eastAsia="Calibri"/>
                <w:sz w:val="22"/>
                <w:szCs w:val="22"/>
                <w:lang w:val="en-US" w:eastAsia="zh-CN"/>
              </w:rPr>
            </w:pPr>
            <w:r>
              <w:rPr>
                <w:rFonts w:hint="eastAsia" w:eastAsia="Calibri"/>
                <w:sz w:val="22"/>
                <w:szCs w:val="22"/>
                <w:lang w:val="en-US" w:eastAsia="zh-CN"/>
              </w:rPr>
              <w:t>ZTE</w:t>
            </w:r>
          </w:p>
        </w:tc>
        <w:tc>
          <w:tcPr>
            <w:tcW w:w="6946" w:type="dxa"/>
            <w:tcBorders>
              <w:top w:val="single" w:color="auto" w:sz="4" w:space="0"/>
              <w:left w:val="single" w:color="auto" w:sz="4" w:space="0"/>
              <w:bottom w:val="single" w:color="auto" w:sz="4" w:space="0"/>
              <w:right w:val="single" w:color="auto" w:sz="4" w:space="0"/>
            </w:tcBorders>
          </w:tcPr>
          <w:p>
            <w:pPr>
              <w:pStyle w:val="70"/>
              <w:ind w:left="0" w:firstLine="0"/>
              <w:rPr>
                <w:rFonts w:hint="eastAsia" w:ascii="Arial" w:hAnsi="Arial" w:eastAsia="Malgun Gothic" w:cs="Arial"/>
                <w:sz w:val="22"/>
                <w:szCs w:val="22"/>
                <w:lang w:val="de-DE" w:eastAsia="ko-KR"/>
              </w:rPr>
            </w:pPr>
            <w:r>
              <w:rPr>
                <w:rFonts w:hint="eastAsia" w:ascii="Arial" w:hAnsi="Arial" w:eastAsia="Malgun Gothic" w:cs="Arial"/>
                <w:sz w:val="22"/>
                <w:szCs w:val="22"/>
                <w:lang w:val="de-DE" w:eastAsia="ko-KR"/>
              </w:rPr>
              <w:t>We generally agree with rpptr's analysis above.</w:t>
            </w:r>
          </w:p>
          <w:p>
            <w:pPr>
              <w:pStyle w:val="70"/>
              <w:ind w:left="0" w:firstLine="0"/>
              <w:rPr>
                <w:rFonts w:hint="eastAsia" w:ascii="Arial" w:hAnsi="Arial" w:eastAsia="Malgun Gothic" w:cs="Arial"/>
                <w:sz w:val="22"/>
                <w:szCs w:val="22"/>
                <w:lang w:val="de-DE" w:eastAsia="ko-KR"/>
              </w:rPr>
            </w:pPr>
            <w:bookmarkStart w:id="1" w:name="_GoBack"/>
            <w:bookmarkEnd w:id="1"/>
          </w:p>
          <w:p>
            <w:pPr>
              <w:pStyle w:val="70"/>
              <w:ind w:left="0" w:firstLine="0"/>
              <w:rPr>
                <w:rFonts w:hint="eastAsia" w:ascii="Arial" w:hAnsi="Arial" w:eastAsia="Malgun Gothic" w:cs="Arial"/>
                <w:sz w:val="22"/>
                <w:szCs w:val="22"/>
                <w:lang w:val="de-DE" w:eastAsia="ko-KR"/>
              </w:rPr>
            </w:pPr>
            <w:r>
              <w:rPr>
                <w:rFonts w:hint="eastAsia" w:ascii="Arial" w:hAnsi="Arial" w:eastAsia="Malgun Gothic" w:cs="Arial"/>
                <w:sz w:val="22"/>
                <w:szCs w:val="22"/>
                <w:lang w:val="de-DE" w:eastAsia="ko-KR"/>
              </w:rPr>
              <w:t>just to clarify:</w:t>
            </w:r>
          </w:p>
          <w:p>
            <w:pPr>
              <w:pStyle w:val="70"/>
              <w:ind w:left="0" w:firstLine="0"/>
              <w:rPr>
                <w:rFonts w:hint="eastAsia" w:ascii="Arial" w:hAnsi="Arial" w:eastAsia="Malgun Gothic" w:cs="Arial"/>
                <w:sz w:val="22"/>
                <w:szCs w:val="22"/>
                <w:lang w:val="de-DE" w:eastAsia="ko-KR"/>
              </w:rPr>
            </w:pPr>
            <w:r>
              <w:rPr>
                <w:rFonts w:hint="eastAsia" w:ascii="Arial" w:hAnsi="Arial" w:eastAsia="Malgun Gothic" w:cs="Arial"/>
                <w:sz w:val="22"/>
                <w:szCs w:val="22"/>
                <w:lang w:val="de-DE" w:eastAsia="ko-KR"/>
              </w:rPr>
              <w:t>- The question is about the number of MBS session associatiated to ONE PDU session, which might be 32.</w:t>
            </w:r>
          </w:p>
          <w:p>
            <w:pPr>
              <w:pStyle w:val="70"/>
              <w:ind w:left="0" w:firstLine="0"/>
              <w:rPr>
                <w:rFonts w:hint="eastAsia" w:ascii="Arial" w:hAnsi="Arial" w:eastAsia="Malgun Gothic" w:cs="Arial"/>
                <w:sz w:val="22"/>
                <w:szCs w:val="22"/>
                <w:lang w:val="de-DE" w:eastAsia="ko-KR"/>
              </w:rPr>
            </w:pPr>
            <w:r>
              <w:rPr>
                <w:rFonts w:hint="eastAsia" w:ascii="Arial" w:hAnsi="Arial" w:eastAsia="Malgun Gothic" w:cs="Arial"/>
                <w:sz w:val="22"/>
                <w:szCs w:val="22"/>
                <w:lang w:val="de-DE" w:eastAsia="ko-KR"/>
              </w:rPr>
              <w:t>- however RAN WGs are currently defining the UE capability per UE rather than per PDU session.</w:t>
            </w:r>
          </w:p>
          <w:p>
            <w:pPr>
              <w:pStyle w:val="70"/>
              <w:ind w:left="0" w:firstLine="0"/>
              <w:rPr>
                <w:rFonts w:hint="eastAsia" w:ascii="Arial" w:hAnsi="Arial" w:eastAsia="Malgun Gothic" w:cs="Arial"/>
                <w:sz w:val="22"/>
                <w:szCs w:val="22"/>
                <w:lang w:val="de-DE" w:eastAsia="ko-KR"/>
              </w:rPr>
            </w:pPr>
            <w:r>
              <w:rPr>
                <w:rFonts w:hint="eastAsia" w:ascii="Arial" w:hAnsi="Arial" w:eastAsia="Malgun Gothic" w:cs="Arial"/>
                <w:sz w:val="22"/>
                <w:szCs w:val="22"/>
                <w:lang w:val="de-DE" w:eastAsia="ko-KR"/>
              </w:rPr>
              <w:t>- per UE capability limitation can be an upper bound of such association</w:t>
            </w:r>
          </w:p>
          <w:p>
            <w:pPr>
              <w:pStyle w:val="70"/>
              <w:ind w:left="0" w:firstLine="0"/>
              <w:rPr>
                <w:rFonts w:ascii="Arial" w:hAnsi="Arial" w:eastAsia="Malgun Gothic" w:cs="Arial"/>
                <w:sz w:val="22"/>
                <w:szCs w:val="22"/>
                <w:lang w:val="de-DE" w:eastAsia="ko-KR"/>
              </w:rPr>
            </w:pPr>
            <w:r>
              <w:rPr>
                <w:rFonts w:hint="eastAsia" w:ascii="Arial" w:hAnsi="Arial" w:eastAsia="Malgun Gothic" w:cs="Arial"/>
                <w:sz w:val="22"/>
                <w:szCs w:val="22"/>
                <w:lang w:val="de-DE" w:eastAsia="ko-KR"/>
              </w:rPr>
              <w:t>- another limitation might come from the max G-RNTI one UE can be configured. currently it is 16 and FFS if RAN1 has new inputs. (not sure if this is shared between BC and MC for one UE)</w:t>
            </w:r>
          </w:p>
        </w:tc>
      </w:tr>
    </w:tbl>
    <w:p>
      <w:pPr>
        <w:rPr>
          <w:rFonts w:eastAsia="宋体"/>
          <w:b/>
          <w:bCs/>
        </w:rPr>
      </w:pPr>
      <w:r>
        <w:rPr>
          <w:rFonts w:eastAsia="宋体"/>
          <w:b/>
          <w:bCs/>
        </w:rPr>
        <w:br w:type="textWrapping"/>
      </w:r>
      <w:r>
        <w:rPr>
          <w:rFonts w:eastAsia="宋体"/>
          <w:b/>
          <w:bCs/>
        </w:rPr>
        <w:t>Summary:</w:t>
      </w:r>
    </w:p>
    <w:p>
      <w:pPr>
        <w:pStyle w:val="15"/>
      </w:pPr>
    </w:p>
    <w:p>
      <w:pPr>
        <w:rPr>
          <w:b/>
          <w:bCs/>
        </w:rPr>
      </w:pPr>
      <w:r>
        <w:rPr>
          <w:b/>
          <w:bCs/>
        </w:rPr>
        <w:t xml:space="preserve">Q: Any additional comments can be made here (e.g RAN2 agreements needed, clarifications, modelling, etc): </w:t>
      </w:r>
    </w:p>
    <w:tbl>
      <w:tblPr>
        <w:tblStyle w:val="51"/>
        <w:tblW w:w="8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0"/>
                <w:szCs w:val="20"/>
                <w:lang w:val="en-GB"/>
              </w:rPr>
            </w:pPr>
            <w:r>
              <w:rPr>
                <w:rFonts w:eastAsia="Calibri"/>
                <w:b/>
                <w:bCs/>
                <w:sz w:val="20"/>
                <w:szCs w:val="20"/>
                <w:lang w:val="en-GB"/>
              </w:rPr>
              <w:t>Company</w:t>
            </w:r>
          </w:p>
        </w:tc>
        <w:tc>
          <w:tcPr>
            <w:tcW w:w="6946"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2"/>
                <w:szCs w:val="22"/>
                <w:lang w:val="en-GB"/>
              </w:rPr>
            </w:pPr>
            <w:r>
              <w:rPr>
                <w:rFonts w:eastAsia="Calibri"/>
                <w:b/>
                <w:bCs/>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sz w:val="20"/>
                <w:szCs w:val="20"/>
                <w:lang w:val="en-GB" w:eastAsia="zh-CN"/>
              </w:rPr>
            </w:pPr>
            <w:r>
              <w:rPr>
                <w:rFonts w:eastAsiaTheme="minorEastAsia"/>
                <w:sz w:val="20"/>
                <w:szCs w:val="20"/>
                <w:lang w:val="en-GB" w:eastAsia="zh-CN"/>
              </w:rPr>
              <w:t>Qualcomm</w:t>
            </w:r>
          </w:p>
        </w:tc>
        <w:tc>
          <w:tcPr>
            <w:tcW w:w="6946" w:type="dxa"/>
            <w:tcBorders>
              <w:top w:val="single" w:color="auto" w:sz="4" w:space="0"/>
              <w:left w:val="single" w:color="auto" w:sz="4" w:space="0"/>
              <w:bottom w:val="single" w:color="auto" w:sz="4" w:space="0"/>
              <w:right w:val="single" w:color="auto" w:sz="4" w:space="0"/>
            </w:tcBorders>
          </w:tcPr>
          <w:p>
            <w:pPr>
              <w:spacing w:after="0"/>
              <w:jc w:val="both"/>
              <w:rPr>
                <w:rFonts w:eastAsia="Calibri"/>
                <w:sz w:val="22"/>
                <w:szCs w:val="22"/>
                <w:lang w:val="en-GB"/>
              </w:rPr>
            </w:pPr>
            <w:r>
              <w:rPr>
                <w:rFonts w:eastAsia="Calibri"/>
                <w:sz w:val="22"/>
                <w:szCs w:val="22"/>
                <w:lang w:val="en-GB"/>
              </w:rPr>
              <w:t>We need to first agree RAN2 UE capabilities for supporting MRBs as we commented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en-GB"/>
              </w:rPr>
            </w:pPr>
            <w:r>
              <w:rPr>
                <w:rFonts w:eastAsia="Yu Mincho"/>
                <w:sz w:val="20"/>
                <w:szCs w:val="20"/>
                <w:lang w:val="en-GB"/>
              </w:rPr>
              <w:t>Nokia</w:t>
            </w:r>
          </w:p>
        </w:tc>
        <w:tc>
          <w:tcPr>
            <w:tcW w:w="6946" w:type="dxa"/>
            <w:tcBorders>
              <w:top w:val="single" w:color="auto" w:sz="4" w:space="0"/>
              <w:left w:val="single" w:color="auto" w:sz="4" w:space="0"/>
              <w:bottom w:val="single" w:color="auto" w:sz="4" w:space="0"/>
              <w:right w:val="single" w:color="auto" w:sz="4" w:space="0"/>
            </w:tcBorders>
          </w:tcPr>
          <w:p>
            <w:pPr>
              <w:pStyle w:val="70"/>
              <w:ind w:left="0" w:firstLine="0"/>
              <w:rPr>
                <w:rFonts w:ascii="Arial" w:hAnsi="Arial" w:eastAsia="Yu Mincho" w:cs="Arial"/>
                <w:sz w:val="22"/>
                <w:szCs w:val="22"/>
                <w:lang w:val="en-GB"/>
              </w:rPr>
            </w:pPr>
            <w:r>
              <w:rPr>
                <w:rFonts w:ascii="Arial" w:hAnsi="Arial" w:eastAsia="Yu Mincho" w:cs="Arial"/>
                <w:sz w:val="22"/>
                <w:szCs w:val="22"/>
                <w:lang w:val="en-GB"/>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en-GB"/>
              </w:rPr>
            </w:pPr>
          </w:p>
        </w:tc>
        <w:tc>
          <w:tcPr>
            <w:tcW w:w="6946" w:type="dxa"/>
            <w:tcBorders>
              <w:top w:val="single" w:color="auto" w:sz="4" w:space="0"/>
              <w:left w:val="single" w:color="auto" w:sz="4" w:space="0"/>
              <w:bottom w:val="single" w:color="auto" w:sz="4" w:space="0"/>
              <w:right w:val="single" w:color="auto" w:sz="4" w:space="0"/>
            </w:tcBorders>
          </w:tcPr>
          <w:p>
            <w:pPr>
              <w:pStyle w:val="70"/>
              <w:ind w:left="0" w:firstLine="0"/>
              <w:rPr>
                <w:rFonts w:ascii="Arial" w:hAnsi="Arial" w:eastAsia="Yu Mincho" w:cs="Arial"/>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en-GB"/>
              </w:rPr>
            </w:pPr>
          </w:p>
        </w:tc>
        <w:tc>
          <w:tcPr>
            <w:tcW w:w="6946" w:type="dxa"/>
            <w:tcBorders>
              <w:top w:val="single" w:color="auto" w:sz="4" w:space="0"/>
              <w:left w:val="single" w:color="auto" w:sz="4" w:space="0"/>
              <w:bottom w:val="single" w:color="auto" w:sz="4" w:space="0"/>
              <w:right w:val="single" w:color="auto" w:sz="4" w:space="0"/>
            </w:tcBorders>
          </w:tcPr>
          <w:p>
            <w:pPr>
              <w:pStyle w:val="70"/>
              <w:ind w:left="0" w:firstLine="0"/>
              <w:rPr>
                <w:rFonts w:ascii="Arial" w:hAnsi="Arial" w:eastAsia="Yu Mincho" w:cs="Arial"/>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en-GB"/>
              </w:rPr>
            </w:pPr>
          </w:p>
        </w:tc>
        <w:tc>
          <w:tcPr>
            <w:tcW w:w="6946" w:type="dxa"/>
            <w:tcBorders>
              <w:top w:val="single" w:color="auto" w:sz="4" w:space="0"/>
              <w:left w:val="single" w:color="auto" w:sz="4" w:space="0"/>
              <w:bottom w:val="single" w:color="auto" w:sz="4" w:space="0"/>
              <w:right w:val="single" w:color="auto" w:sz="4" w:space="0"/>
            </w:tcBorders>
          </w:tcPr>
          <w:p>
            <w:pPr>
              <w:pStyle w:val="70"/>
              <w:ind w:left="0" w:firstLine="0"/>
              <w:rPr>
                <w:rFonts w:ascii="Arial" w:hAnsi="Arial" w:eastAsia="Yu Mincho" w:cs="Arial"/>
                <w:sz w:val="22"/>
                <w:szCs w:val="22"/>
                <w:lang w:val="en-GB"/>
              </w:rPr>
            </w:pPr>
          </w:p>
        </w:tc>
      </w:tr>
    </w:tbl>
    <w:p>
      <w:pPr>
        <w:rPr>
          <w:rFonts w:eastAsia="宋体"/>
          <w:b/>
          <w:bCs/>
        </w:rPr>
      </w:pPr>
      <w:r>
        <w:rPr>
          <w:rFonts w:eastAsia="宋体"/>
          <w:b/>
          <w:bCs/>
        </w:rPr>
        <w:br w:type="textWrapping"/>
      </w:r>
      <w:r>
        <w:rPr>
          <w:rFonts w:eastAsia="宋体"/>
          <w:b/>
          <w:bCs/>
        </w:rPr>
        <w:t>Summary:</w:t>
      </w:r>
    </w:p>
    <w:p>
      <w:pPr>
        <w:pStyle w:val="15"/>
      </w:pPr>
    </w:p>
    <w:p>
      <w:pPr>
        <w:pStyle w:val="2"/>
      </w:pPr>
      <w:r>
        <w:t>Conclusion</w:t>
      </w:r>
    </w:p>
    <w:p>
      <w:pPr>
        <w:pStyle w:val="15"/>
        <w:rPr>
          <w:b/>
          <w:bCs/>
        </w:rPr>
      </w:pPr>
      <w:r>
        <w:rPr>
          <w:b/>
          <w:bCs/>
        </w:rPr>
        <w:t>The conclusion from this discussion will render a Draft Reply LS.</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宋体"/>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EE"/>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思源宋體 SemiBold"/>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Yu Gothic UI"/>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 w:name="思源宋體 SemiBold">
    <w:panose1 w:val="020206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0">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2">
    <w:nsid w:val="7A9747F1"/>
    <w:multiLevelType w:val="multilevel"/>
    <w:tmpl w:val="7A9747F1"/>
    <w:lvl w:ilvl="0" w:tentative="0">
      <w:start w:val="12"/>
      <w:numFmt w:val="bullet"/>
      <w:lvlText w:val="-"/>
      <w:lvlJc w:val="left"/>
      <w:pPr>
        <w:ind w:left="360" w:hanging="360"/>
      </w:pPr>
      <w:rPr>
        <w:rFonts w:hint="default" w:ascii="Arial" w:hAnsi="Arial"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7B"/>
    <w:rsid w:val="000006E1"/>
    <w:rsid w:val="00002338"/>
    <w:rsid w:val="00002A37"/>
    <w:rsid w:val="000044D5"/>
    <w:rsid w:val="0000564C"/>
    <w:rsid w:val="00006446"/>
    <w:rsid w:val="00006896"/>
    <w:rsid w:val="00007CDC"/>
    <w:rsid w:val="00011AC2"/>
    <w:rsid w:val="00011B28"/>
    <w:rsid w:val="00015D15"/>
    <w:rsid w:val="0002564D"/>
    <w:rsid w:val="00025ECA"/>
    <w:rsid w:val="000325B8"/>
    <w:rsid w:val="00034C15"/>
    <w:rsid w:val="00036BA1"/>
    <w:rsid w:val="00037114"/>
    <w:rsid w:val="000422E2"/>
    <w:rsid w:val="00042F22"/>
    <w:rsid w:val="000444EF"/>
    <w:rsid w:val="00052A07"/>
    <w:rsid w:val="000534E3"/>
    <w:rsid w:val="0005606A"/>
    <w:rsid w:val="00057117"/>
    <w:rsid w:val="000616E7"/>
    <w:rsid w:val="0006487E"/>
    <w:rsid w:val="00065E1A"/>
    <w:rsid w:val="00067C3F"/>
    <w:rsid w:val="00077E5F"/>
    <w:rsid w:val="0008036A"/>
    <w:rsid w:val="00081AE6"/>
    <w:rsid w:val="00083F9F"/>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4D8"/>
    <w:rsid w:val="00113CF4"/>
    <w:rsid w:val="001153EA"/>
    <w:rsid w:val="00115643"/>
    <w:rsid w:val="00116765"/>
    <w:rsid w:val="00121544"/>
    <w:rsid w:val="001219F5"/>
    <w:rsid w:val="00121A20"/>
    <w:rsid w:val="00122553"/>
    <w:rsid w:val="0012377F"/>
    <w:rsid w:val="00124314"/>
    <w:rsid w:val="00126B4A"/>
    <w:rsid w:val="0012770B"/>
    <w:rsid w:val="00132FD0"/>
    <w:rsid w:val="001344C0"/>
    <w:rsid w:val="001346FA"/>
    <w:rsid w:val="00135252"/>
    <w:rsid w:val="00137AB5"/>
    <w:rsid w:val="00137F0B"/>
    <w:rsid w:val="00151E23"/>
    <w:rsid w:val="001526E0"/>
    <w:rsid w:val="001551B5"/>
    <w:rsid w:val="00161520"/>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669"/>
    <w:rsid w:val="001C1CE5"/>
    <w:rsid w:val="001C3D2A"/>
    <w:rsid w:val="001D240F"/>
    <w:rsid w:val="001D51BA"/>
    <w:rsid w:val="001D53E7"/>
    <w:rsid w:val="001D6342"/>
    <w:rsid w:val="001D6D53"/>
    <w:rsid w:val="001D731B"/>
    <w:rsid w:val="001E303E"/>
    <w:rsid w:val="001E58E2"/>
    <w:rsid w:val="001E6502"/>
    <w:rsid w:val="001E7AED"/>
    <w:rsid w:val="001F1987"/>
    <w:rsid w:val="001F2001"/>
    <w:rsid w:val="001F3916"/>
    <w:rsid w:val="001F54C5"/>
    <w:rsid w:val="001F662C"/>
    <w:rsid w:val="001F7074"/>
    <w:rsid w:val="00200490"/>
    <w:rsid w:val="00201F3A"/>
    <w:rsid w:val="00203F96"/>
    <w:rsid w:val="002048DB"/>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654E"/>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EB7"/>
    <w:rsid w:val="00296227"/>
    <w:rsid w:val="00296F44"/>
    <w:rsid w:val="0029777D"/>
    <w:rsid w:val="002A055E"/>
    <w:rsid w:val="002A1D4E"/>
    <w:rsid w:val="002A2869"/>
    <w:rsid w:val="002A3DC2"/>
    <w:rsid w:val="002A5A4E"/>
    <w:rsid w:val="002B24D6"/>
    <w:rsid w:val="002C41E6"/>
    <w:rsid w:val="002D071A"/>
    <w:rsid w:val="002D34B2"/>
    <w:rsid w:val="002D48B0"/>
    <w:rsid w:val="002D5B37"/>
    <w:rsid w:val="002D7637"/>
    <w:rsid w:val="002E17F2"/>
    <w:rsid w:val="002E67BF"/>
    <w:rsid w:val="002E7CAE"/>
    <w:rsid w:val="002F05F5"/>
    <w:rsid w:val="002F2771"/>
    <w:rsid w:val="002F37A9"/>
    <w:rsid w:val="00301CE6"/>
    <w:rsid w:val="00302274"/>
    <w:rsid w:val="0030256B"/>
    <w:rsid w:val="003048D4"/>
    <w:rsid w:val="0030501F"/>
    <w:rsid w:val="00307BA1"/>
    <w:rsid w:val="00310E69"/>
    <w:rsid w:val="00311702"/>
    <w:rsid w:val="00311E82"/>
    <w:rsid w:val="00313FD6"/>
    <w:rsid w:val="003143BD"/>
    <w:rsid w:val="00315363"/>
    <w:rsid w:val="003203ED"/>
    <w:rsid w:val="00322C9F"/>
    <w:rsid w:val="003230E1"/>
    <w:rsid w:val="003245A2"/>
    <w:rsid w:val="00324D23"/>
    <w:rsid w:val="00327521"/>
    <w:rsid w:val="00331751"/>
    <w:rsid w:val="00334579"/>
    <w:rsid w:val="00335858"/>
    <w:rsid w:val="00336BDA"/>
    <w:rsid w:val="00342BD7"/>
    <w:rsid w:val="00346DB5"/>
    <w:rsid w:val="003477B1"/>
    <w:rsid w:val="0035662B"/>
    <w:rsid w:val="00357380"/>
    <w:rsid w:val="003602D9"/>
    <w:rsid w:val="003604CE"/>
    <w:rsid w:val="00370C5C"/>
    <w:rsid w:val="00370E47"/>
    <w:rsid w:val="003742AC"/>
    <w:rsid w:val="003755D4"/>
    <w:rsid w:val="00376007"/>
    <w:rsid w:val="00377CE1"/>
    <w:rsid w:val="003851A1"/>
    <w:rsid w:val="00385BF0"/>
    <w:rsid w:val="0039379E"/>
    <w:rsid w:val="003939FF"/>
    <w:rsid w:val="003A2223"/>
    <w:rsid w:val="003A2A0F"/>
    <w:rsid w:val="003A45A1"/>
    <w:rsid w:val="003A5B0A"/>
    <w:rsid w:val="003A6BAC"/>
    <w:rsid w:val="003A70A4"/>
    <w:rsid w:val="003A7566"/>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1E8D"/>
    <w:rsid w:val="003E3DB6"/>
    <w:rsid w:val="003E55E4"/>
    <w:rsid w:val="003E74E3"/>
    <w:rsid w:val="003F05C7"/>
    <w:rsid w:val="003F2CD4"/>
    <w:rsid w:val="003F6BBE"/>
    <w:rsid w:val="003F781A"/>
    <w:rsid w:val="004000E8"/>
    <w:rsid w:val="00402E2B"/>
    <w:rsid w:val="0040512B"/>
    <w:rsid w:val="00405CA5"/>
    <w:rsid w:val="00407CD3"/>
    <w:rsid w:val="00410134"/>
    <w:rsid w:val="00410B72"/>
    <w:rsid w:val="00410E50"/>
    <w:rsid w:val="00410F18"/>
    <w:rsid w:val="0041263E"/>
    <w:rsid w:val="00413AAC"/>
    <w:rsid w:val="00413E92"/>
    <w:rsid w:val="00421105"/>
    <w:rsid w:val="00422AA4"/>
    <w:rsid w:val="004242F4"/>
    <w:rsid w:val="00427248"/>
    <w:rsid w:val="00433193"/>
    <w:rsid w:val="00437447"/>
    <w:rsid w:val="00441A92"/>
    <w:rsid w:val="004431DC"/>
    <w:rsid w:val="00444F56"/>
    <w:rsid w:val="00446488"/>
    <w:rsid w:val="004517AA"/>
    <w:rsid w:val="00452CAC"/>
    <w:rsid w:val="00457565"/>
    <w:rsid w:val="00457B71"/>
    <w:rsid w:val="00461A8F"/>
    <w:rsid w:val="004669E2"/>
    <w:rsid w:val="00470C31"/>
    <w:rsid w:val="00471DE0"/>
    <w:rsid w:val="004734D0"/>
    <w:rsid w:val="0047556B"/>
    <w:rsid w:val="00477768"/>
    <w:rsid w:val="00492407"/>
    <w:rsid w:val="00492BC5"/>
    <w:rsid w:val="00493408"/>
    <w:rsid w:val="004964F1"/>
    <w:rsid w:val="004A16BC"/>
    <w:rsid w:val="004A2B94"/>
    <w:rsid w:val="004B0D4E"/>
    <w:rsid w:val="004B6F6A"/>
    <w:rsid w:val="004B7C0C"/>
    <w:rsid w:val="004C3898"/>
    <w:rsid w:val="004D28E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19B5"/>
    <w:rsid w:val="005153A7"/>
    <w:rsid w:val="005219CF"/>
    <w:rsid w:val="00534B59"/>
    <w:rsid w:val="00536759"/>
    <w:rsid w:val="00537C62"/>
    <w:rsid w:val="0054226B"/>
    <w:rsid w:val="00546970"/>
    <w:rsid w:val="00554E19"/>
    <w:rsid w:val="0056121F"/>
    <w:rsid w:val="00572505"/>
    <w:rsid w:val="00573917"/>
    <w:rsid w:val="00582809"/>
    <w:rsid w:val="00582B62"/>
    <w:rsid w:val="0058798C"/>
    <w:rsid w:val="005900FA"/>
    <w:rsid w:val="005935A4"/>
    <w:rsid w:val="00593DFD"/>
    <w:rsid w:val="005948C2"/>
    <w:rsid w:val="00595DCA"/>
    <w:rsid w:val="005971A8"/>
    <w:rsid w:val="0059779B"/>
    <w:rsid w:val="005A209A"/>
    <w:rsid w:val="005A662D"/>
    <w:rsid w:val="005B1409"/>
    <w:rsid w:val="005B35D7"/>
    <w:rsid w:val="005B392A"/>
    <w:rsid w:val="005B3AA3"/>
    <w:rsid w:val="005B6F83"/>
    <w:rsid w:val="005C51C7"/>
    <w:rsid w:val="005C74FB"/>
    <w:rsid w:val="005D1602"/>
    <w:rsid w:val="005D7D41"/>
    <w:rsid w:val="005E385F"/>
    <w:rsid w:val="005E5B81"/>
    <w:rsid w:val="005E6BA8"/>
    <w:rsid w:val="005F2CB1"/>
    <w:rsid w:val="005F3025"/>
    <w:rsid w:val="005F618C"/>
    <w:rsid w:val="005F70BD"/>
    <w:rsid w:val="0060283C"/>
    <w:rsid w:val="00604F14"/>
    <w:rsid w:val="00611B83"/>
    <w:rsid w:val="00613257"/>
    <w:rsid w:val="00613C82"/>
    <w:rsid w:val="00620A71"/>
    <w:rsid w:val="00620D80"/>
    <w:rsid w:val="0062330F"/>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38E2"/>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69C"/>
    <w:rsid w:val="00695FC2"/>
    <w:rsid w:val="00696949"/>
    <w:rsid w:val="00697052"/>
    <w:rsid w:val="006A46FB"/>
    <w:rsid w:val="006A5E28"/>
    <w:rsid w:val="006A697B"/>
    <w:rsid w:val="006A7AFF"/>
    <w:rsid w:val="006B1816"/>
    <w:rsid w:val="006B2099"/>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73"/>
    <w:rsid w:val="007257D0"/>
    <w:rsid w:val="00726EA6"/>
    <w:rsid w:val="00727208"/>
    <w:rsid w:val="00727680"/>
    <w:rsid w:val="007348B1"/>
    <w:rsid w:val="007362A6"/>
    <w:rsid w:val="00736D7D"/>
    <w:rsid w:val="00740B29"/>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3329"/>
    <w:rsid w:val="007D5901"/>
    <w:rsid w:val="007D7526"/>
    <w:rsid w:val="007E4610"/>
    <w:rsid w:val="007E4715"/>
    <w:rsid w:val="007E505B"/>
    <w:rsid w:val="007E7091"/>
    <w:rsid w:val="00803FAE"/>
    <w:rsid w:val="0080605F"/>
    <w:rsid w:val="00807786"/>
    <w:rsid w:val="00811054"/>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0AA3"/>
    <w:rsid w:val="008677FD"/>
    <w:rsid w:val="008706D4"/>
    <w:rsid w:val="00870F8A"/>
    <w:rsid w:val="008719A4"/>
    <w:rsid w:val="00871D23"/>
    <w:rsid w:val="00872403"/>
    <w:rsid w:val="00874312"/>
    <w:rsid w:val="0087437C"/>
    <w:rsid w:val="00875CD7"/>
    <w:rsid w:val="00876B4D"/>
    <w:rsid w:val="00877F18"/>
    <w:rsid w:val="008941E3"/>
    <w:rsid w:val="00894A88"/>
    <w:rsid w:val="00895386"/>
    <w:rsid w:val="008A21FF"/>
    <w:rsid w:val="008A2CE2"/>
    <w:rsid w:val="008A30AC"/>
    <w:rsid w:val="008A44B8"/>
    <w:rsid w:val="008A4825"/>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C7F4F"/>
    <w:rsid w:val="008D00A5"/>
    <w:rsid w:val="008D34F1"/>
    <w:rsid w:val="008D39D8"/>
    <w:rsid w:val="008D6D1A"/>
    <w:rsid w:val="008E065E"/>
    <w:rsid w:val="008E0927"/>
    <w:rsid w:val="008E1909"/>
    <w:rsid w:val="008F1EAB"/>
    <w:rsid w:val="008F33DC"/>
    <w:rsid w:val="008F477F"/>
    <w:rsid w:val="00902350"/>
    <w:rsid w:val="0090336B"/>
    <w:rsid w:val="009053AA"/>
    <w:rsid w:val="00906407"/>
    <w:rsid w:val="00906939"/>
    <w:rsid w:val="00910B7D"/>
    <w:rsid w:val="00911DFB"/>
    <w:rsid w:val="009139D9"/>
    <w:rsid w:val="00914AD8"/>
    <w:rsid w:val="00914DB5"/>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03A8"/>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290"/>
    <w:rsid w:val="00991761"/>
    <w:rsid w:val="00994147"/>
    <w:rsid w:val="00994DCA"/>
    <w:rsid w:val="009960EC"/>
    <w:rsid w:val="009970DD"/>
    <w:rsid w:val="009A0FBA"/>
    <w:rsid w:val="009A1601"/>
    <w:rsid w:val="009A3BB6"/>
    <w:rsid w:val="009A462D"/>
    <w:rsid w:val="009A5CBA"/>
    <w:rsid w:val="009B1F30"/>
    <w:rsid w:val="009B3AC2"/>
    <w:rsid w:val="009B47FF"/>
    <w:rsid w:val="009B4DF4"/>
    <w:rsid w:val="009B564E"/>
    <w:rsid w:val="009B7E87"/>
    <w:rsid w:val="009C0169"/>
    <w:rsid w:val="009C403E"/>
    <w:rsid w:val="009D1391"/>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3FDF"/>
    <w:rsid w:val="00A14AF0"/>
    <w:rsid w:val="00A17404"/>
    <w:rsid w:val="00A17F63"/>
    <w:rsid w:val="00A2193B"/>
    <w:rsid w:val="00A2351A"/>
    <w:rsid w:val="00A238F7"/>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0A58"/>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1D78"/>
    <w:rsid w:val="00AD3F94"/>
    <w:rsid w:val="00AD4A5A"/>
    <w:rsid w:val="00AE27AC"/>
    <w:rsid w:val="00AE40E0"/>
    <w:rsid w:val="00AE4DBA"/>
    <w:rsid w:val="00AE4F07"/>
    <w:rsid w:val="00AE646F"/>
    <w:rsid w:val="00AF1C5D"/>
    <w:rsid w:val="00AF42D7"/>
    <w:rsid w:val="00B006FE"/>
    <w:rsid w:val="00B007CB"/>
    <w:rsid w:val="00B01395"/>
    <w:rsid w:val="00B02AA9"/>
    <w:rsid w:val="00B02FA3"/>
    <w:rsid w:val="00B05084"/>
    <w:rsid w:val="00B157F9"/>
    <w:rsid w:val="00B20256"/>
    <w:rsid w:val="00B20D09"/>
    <w:rsid w:val="00B2763F"/>
    <w:rsid w:val="00B27AAC"/>
    <w:rsid w:val="00B30929"/>
    <w:rsid w:val="00B33391"/>
    <w:rsid w:val="00B372AA"/>
    <w:rsid w:val="00B40445"/>
    <w:rsid w:val="00B409E0"/>
    <w:rsid w:val="00B41888"/>
    <w:rsid w:val="00B45A52"/>
    <w:rsid w:val="00B46175"/>
    <w:rsid w:val="00B5431B"/>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192C"/>
    <w:rsid w:val="00C12107"/>
    <w:rsid w:val="00C14D4B"/>
    <w:rsid w:val="00C154BB"/>
    <w:rsid w:val="00C15EDE"/>
    <w:rsid w:val="00C268E6"/>
    <w:rsid w:val="00C279B5"/>
    <w:rsid w:val="00C27C45"/>
    <w:rsid w:val="00C332BF"/>
    <w:rsid w:val="00C3719D"/>
    <w:rsid w:val="00C37CB2"/>
    <w:rsid w:val="00C473A5"/>
    <w:rsid w:val="00C54995"/>
    <w:rsid w:val="00C54D41"/>
    <w:rsid w:val="00C552D1"/>
    <w:rsid w:val="00C60783"/>
    <w:rsid w:val="00C64672"/>
    <w:rsid w:val="00C66B69"/>
    <w:rsid w:val="00C70351"/>
    <w:rsid w:val="00C70697"/>
    <w:rsid w:val="00C72093"/>
    <w:rsid w:val="00C72EF4"/>
    <w:rsid w:val="00C73291"/>
    <w:rsid w:val="00C744FE"/>
    <w:rsid w:val="00C75D2F"/>
    <w:rsid w:val="00C767BE"/>
    <w:rsid w:val="00C76E3C"/>
    <w:rsid w:val="00C81568"/>
    <w:rsid w:val="00C8600C"/>
    <w:rsid w:val="00C9027A"/>
    <w:rsid w:val="00C9068E"/>
    <w:rsid w:val="00C93814"/>
    <w:rsid w:val="00C93C4B"/>
    <w:rsid w:val="00C944AB"/>
    <w:rsid w:val="00C95B40"/>
    <w:rsid w:val="00CA1ED8"/>
    <w:rsid w:val="00CA5D4C"/>
    <w:rsid w:val="00CB1F63"/>
    <w:rsid w:val="00CB4EA4"/>
    <w:rsid w:val="00CB6509"/>
    <w:rsid w:val="00CB7170"/>
    <w:rsid w:val="00CC040E"/>
    <w:rsid w:val="00CC111F"/>
    <w:rsid w:val="00CC2011"/>
    <w:rsid w:val="00CC398E"/>
    <w:rsid w:val="00CC3EA0"/>
    <w:rsid w:val="00CC7B45"/>
    <w:rsid w:val="00CD0AD8"/>
    <w:rsid w:val="00CD1188"/>
    <w:rsid w:val="00CD2ED1"/>
    <w:rsid w:val="00CD337B"/>
    <w:rsid w:val="00CD65BF"/>
    <w:rsid w:val="00CE0424"/>
    <w:rsid w:val="00CE0CE5"/>
    <w:rsid w:val="00CE7561"/>
    <w:rsid w:val="00CF1354"/>
    <w:rsid w:val="00CF3B1F"/>
    <w:rsid w:val="00CF3BF6"/>
    <w:rsid w:val="00CF625B"/>
    <w:rsid w:val="00CF687E"/>
    <w:rsid w:val="00D0349B"/>
    <w:rsid w:val="00D10249"/>
    <w:rsid w:val="00D115C3"/>
    <w:rsid w:val="00D11897"/>
    <w:rsid w:val="00D13135"/>
    <w:rsid w:val="00D13E4E"/>
    <w:rsid w:val="00D154C2"/>
    <w:rsid w:val="00D239A7"/>
    <w:rsid w:val="00D23F47"/>
    <w:rsid w:val="00D36E71"/>
    <w:rsid w:val="00D37D87"/>
    <w:rsid w:val="00D4047B"/>
    <w:rsid w:val="00D40B33"/>
    <w:rsid w:val="00D4318F"/>
    <w:rsid w:val="00D438BF"/>
    <w:rsid w:val="00D440F8"/>
    <w:rsid w:val="00D546FF"/>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4265C"/>
    <w:rsid w:val="00E446F1"/>
    <w:rsid w:val="00E46886"/>
    <w:rsid w:val="00E47AEF"/>
    <w:rsid w:val="00E53B75"/>
    <w:rsid w:val="00E54E3B"/>
    <w:rsid w:val="00E56599"/>
    <w:rsid w:val="00E57565"/>
    <w:rsid w:val="00E57FEC"/>
    <w:rsid w:val="00E63838"/>
    <w:rsid w:val="00E64434"/>
    <w:rsid w:val="00E67C51"/>
    <w:rsid w:val="00E72EFC"/>
    <w:rsid w:val="00E758EC"/>
    <w:rsid w:val="00E80687"/>
    <w:rsid w:val="00E8234C"/>
    <w:rsid w:val="00E83AA9"/>
    <w:rsid w:val="00E85928"/>
    <w:rsid w:val="00E87822"/>
    <w:rsid w:val="00E90395"/>
    <w:rsid w:val="00E90E49"/>
    <w:rsid w:val="00E917F9"/>
    <w:rsid w:val="00E9291C"/>
    <w:rsid w:val="00E93FFE"/>
    <w:rsid w:val="00E94F8A"/>
    <w:rsid w:val="00EA7A41"/>
    <w:rsid w:val="00EB077B"/>
    <w:rsid w:val="00EB4EA2"/>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54E"/>
    <w:rsid w:val="00F10629"/>
    <w:rsid w:val="00F14DF5"/>
    <w:rsid w:val="00F15FA5"/>
    <w:rsid w:val="00F209B7"/>
    <w:rsid w:val="00F20F5C"/>
    <w:rsid w:val="00F2376F"/>
    <w:rsid w:val="00F243D8"/>
    <w:rsid w:val="00F30828"/>
    <w:rsid w:val="00F313D6"/>
    <w:rsid w:val="00F40F0C"/>
    <w:rsid w:val="00F4766C"/>
    <w:rsid w:val="00F5060E"/>
    <w:rsid w:val="00F507D1"/>
    <w:rsid w:val="00F519CE"/>
    <w:rsid w:val="00F51ADA"/>
    <w:rsid w:val="00F54F7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456C"/>
    <w:rsid w:val="00F859D8"/>
    <w:rsid w:val="00F868F5"/>
    <w:rsid w:val="00F9056A"/>
    <w:rsid w:val="00F90F8D"/>
    <w:rsid w:val="00F92782"/>
    <w:rsid w:val="00F93AA9"/>
    <w:rsid w:val="00F94A81"/>
    <w:rsid w:val="00F96985"/>
    <w:rsid w:val="00F97838"/>
    <w:rsid w:val="00FA2BB3"/>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A1F3E9D"/>
    <w:rsid w:val="148C6CEB"/>
    <w:rsid w:val="3B675CB4"/>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Arial" w:hAnsi="Arial" w:cs="Times New Roman" w:eastAsiaTheme="minorEastAsia"/>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61"/>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style>
  <w:style w:type="paragraph" w:styleId="47">
    <w:name w:val="index 1"/>
    <w:basedOn w:val="1"/>
    <w:next w:val="1"/>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character" w:customStyle="1" w:styleId="61">
    <w:name w:val="批注框文本 字符"/>
    <w:link w:val="37"/>
    <w:uiPriority w:val="0"/>
    <w:rPr>
      <w:rFonts w:ascii="Segoe UI" w:hAnsi="Segoe UI" w:cs="Segoe UI"/>
      <w:sz w:val="18"/>
      <w:szCs w:val="18"/>
      <w:lang w:eastAsia="ja-JP"/>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6"/>
    <w:qFormat/>
    <w:uiPriority w:val="0"/>
    <w:rPr>
      <w:color w:val="FF0000"/>
      <w:lang w:val="zh-CN" w:eastAsia="zh-CN"/>
    </w:rPr>
  </w:style>
  <w:style w:type="paragraph" w:customStyle="1" w:styleId="66">
    <w:name w:val="NO"/>
    <w:basedOn w:val="1"/>
    <w:link w:val="115"/>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字符"/>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ind w:left="1701" w:hanging="1701"/>
    </w:pPr>
    <w:rPr>
      <w:b/>
      <w:bCs/>
    </w:rPr>
  </w:style>
  <w:style w:type="character" w:customStyle="1" w:styleId="74">
    <w:name w:val="正文文本 字符"/>
    <w:link w:val="15"/>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39"/>
    <w:qFormat/>
    <w:uiPriority w:val="0"/>
    <w:pPr>
      <w:keepNext/>
      <w:keepLines/>
      <w:spacing w:after="0"/>
    </w:pPr>
    <w:rPr>
      <w:sz w:val="18"/>
      <w:lang w:val="zh-CN" w:eastAsia="zh-CN"/>
    </w:rPr>
  </w:style>
  <w:style w:type="paragraph" w:customStyle="1" w:styleId="79">
    <w:name w:val="TAC"/>
    <w:basedOn w:val="78"/>
    <w:qFormat/>
    <w:uiPriority w:val="0"/>
    <w:pPr>
      <w:jc w:val="center"/>
    </w:pPr>
  </w:style>
  <w:style w:type="paragraph" w:customStyle="1" w:styleId="80">
    <w:name w:val="TAH"/>
    <w:basedOn w:val="79"/>
    <w:link w:val="140"/>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1"/>
    <w:qFormat/>
    <w:uiPriority w:val="0"/>
    <w:pPr>
      <w:keepNext/>
      <w:keepLines/>
      <w:spacing w:before="60"/>
      <w:jc w:val="center"/>
    </w:pPr>
    <w:rPr>
      <w:b/>
      <w:lang w:val="zh-CN" w:eastAsia="zh-CN"/>
    </w:rPr>
  </w:style>
  <w:style w:type="paragraph" w:customStyle="1" w:styleId="84">
    <w:name w:val="TF"/>
    <w:basedOn w:val="83"/>
    <w:link w:val="145"/>
    <w:qFormat/>
    <w:uiPriority w:val="0"/>
    <w:pPr>
      <w:keepNext w:val="0"/>
      <w:spacing w:before="0" w:after="240"/>
    </w:pPr>
  </w:style>
  <w:style w:type="paragraph" w:customStyle="1" w:styleId="85">
    <w:name w:val="TT"/>
    <w:basedOn w:val="2"/>
    <w:next w:val="1"/>
    <w:uiPriority w:val="0"/>
    <w:pPr>
      <w:outlineLvl w:val="9"/>
    </w:pPr>
  </w:style>
  <w:style w:type="paragraph" w:customStyle="1" w:styleId="86">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8">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9">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0">
    <w:name w:val="ZGSM"/>
    <w:qFormat/>
    <w:uiPriority w:val="0"/>
  </w:style>
  <w:style w:type="paragraph" w:customStyle="1" w:styleId="9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uiPriority w:val="0"/>
    <w:pPr>
      <w:framePr w:hRule="auto" w:y="852"/>
    </w:pPr>
    <w:rPr>
      <w:i w:val="0"/>
      <w:sz w:val="40"/>
    </w:rPr>
  </w:style>
  <w:style w:type="paragraph" w:customStyle="1" w:styleId="94">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5">
    <w:name w:val="ZV"/>
    <w:basedOn w:val="94"/>
    <w:qFormat/>
    <w:uiPriority w:val="0"/>
    <w:pPr>
      <w:framePr w:y="16161"/>
    </w:pPr>
  </w:style>
  <w:style w:type="paragraph" w:customStyle="1" w:styleId="96">
    <w:name w:val="FP"/>
    <w:basedOn w:val="1"/>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文字 字符"/>
    <w:link w:val="31"/>
    <w:qFormat/>
    <w:uiPriority w:val="99"/>
    <w:rPr>
      <w:rFonts w:ascii="Times New Roman" w:hAnsi="Times New Roman"/>
      <w:lang w:eastAsia="ja-JP"/>
    </w:rPr>
  </w:style>
  <w:style w:type="character" w:customStyle="1" w:styleId="109">
    <w:name w:val="批注主题 字符"/>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cs="Times New Roman" w:eastAsiaTheme="minorEastAsia"/>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文档结构图 字符"/>
    <w:link w:val="30"/>
    <w:qFormat/>
    <w:uiPriority w:val="0"/>
    <w:rPr>
      <w:rFonts w:ascii="Tahoma" w:hAnsi="Tahoma" w:cs="Tahoma"/>
      <w:shd w:val="clear" w:color="auto" w:fill="000080"/>
      <w:lang w:eastAsia="ja-JP"/>
    </w:rPr>
  </w:style>
  <w:style w:type="character" w:customStyle="1" w:styleId="115">
    <w:name w:val="NO Char"/>
    <w:link w:val="66"/>
    <w:qFormat/>
    <w:uiPriority w:val="0"/>
    <w:rPr>
      <w:rFonts w:ascii="Times New Roman" w:hAnsi="Times New Roman"/>
      <w:lang w:eastAsia="ja-JP"/>
    </w:rPr>
  </w:style>
  <w:style w:type="character" w:customStyle="1" w:styleId="116">
    <w:name w:val="Editor's Note Char"/>
    <w:link w:val="65"/>
    <w:uiPriority w:val="0"/>
    <w:rPr>
      <w:rFonts w:ascii="Times New Roman" w:hAnsi="Times New Roman"/>
      <w:color w:val="FF0000"/>
      <w:lang w:val="zh-CN" w:eastAsia="zh-CN"/>
    </w:rPr>
  </w:style>
  <w:style w:type="paragraph" w:customStyle="1" w:styleId="117">
    <w:name w:val="EmailDiscussion"/>
    <w:basedOn w:val="1"/>
    <w:next w:val="1"/>
    <w:link w:val="148"/>
    <w:qFormat/>
    <w:uiPriority w:val="0"/>
    <w:pPr>
      <w:numPr>
        <w:ilvl w:val="0"/>
        <w:numId w:val="12"/>
      </w:numPr>
      <w:spacing w:before="40" w:after="0"/>
    </w:pPr>
    <w:rPr>
      <w:rFonts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页眉 字符"/>
    <w:link w:val="39"/>
    <w:qFormat/>
    <w:uiPriority w:val="0"/>
    <w:rPr>
      <w:rFonts w:ascii="Arial" w:hAnsi="Arial"/>
      <w:b/>
      <w:sz w:val="18"/>
      <w:lang w:eastAsia="ja-JP"/>
    </w:rPr>
  </w:style>
  <w:style w:type="character" w:customStyle="1" w:styleId="120">
    <w:name w:val="页脚 字符"/>
    <w:link w:val="38"/>
    <w:qFormat/>
    <w:uiPriority w:val="0"/>
    <w:rPr>
      <w:rFonts w:ascii="Arial" w:hAnsi="Arial"/>
      <w:b/>
      <w:i/>
      <w:sz w:val="18"/>
      <w:lang w:eastAsia="ja-JP"/>
    </w:rPr>
  </w:style>
  <w:style w:type="character" w:customStyle="1" w:styleId="121">
    <w:name w:val="脚注文本 字符"/>
    <w:link w:val="41"/>
    <w:uiPriority w:val="0"/>
    <w:rPr>
      <w:rFonts w:ascii="Times New Roman" w:hAnsi="Times New Roman"/>
      <w:sz w:val="16"/>
      <w:lang w:eastAsia="ja-JP"/>
    </w:rPr>
  </w:style>
  <w:style w:type="paragraph" w:customStyle="1" w:styleId="122">
    <w:name w:val="Guidance"/>
    <w:basedOn w:val="1"/>
    <w:uiPriority w:val="0"/>
    <w:rPr>
      <w:i/>
      <w:color w:val="0000FF"/>
    </w:rPr>
  </w:style>
  <w:style w:type="character" w:customStyle="1" w:styleId="123">
    <w:name w:val="标题 2 字符"/>
    <w:link w:val="3"/>
    <w:uiPriority w:val="0"/>
    <w:rPr>
      <w:rFonts w:ascii="Arial" w:hAnsi="Arial"/>
      <w:sz w:val="32"/>
      <w:lang w:eastAsia="ja-JP"/>
    </w:rPr>
  </w:style>
  <w:style w:type="character" w:customStyle="1" w:styleId="124">
    <w:name w:val="标题 3 字符"/>
    <w:link w:val="4"/>
    <w:qFormat/>
    <w:uiPriority w:val="0"/>
    <w:rPr>
      <w:rFonts w:ascii="Arial" w:hAnsi="Arial"/>
      <w:sz w:val="28"/>
      <w:lang w:eastAsia="ja-JP"/>
    </w:rPr>
  </w:style>
  <w:style w:type="character" w:customStyle="1" w:styleId="125">
    <w:name w:val="标题 4 字符"/>
    <w:link w:val="5"/>
    <w:qFormat/>
    <w:uiPriority w:val="0"/>
    <w:rPr>
      <w:rFonts w:ascii="Arial" w:hAnsi="Arial"/>
      <w:sz w:val="24"/>
      <w:lang w:eastAsia="ja-JP"/>
    </w:rPr>
  </w:style>
  <w:style w:type="character" w:customStyle="1" w:styleId="126">
    <w:name w:val="标题 5 字符"/>
    <w:link w:val="6"/>
    <w:uiPriority w:val="0"/>
    <w:rPr>
      <w:rFonts w:ascii="Arial" w:hAnsi="Arial"/>
      <w:sz w:val="22"/>
      <w:lang w:eastAsia="ja-JP"/>
    </w:rPr>
  </w:style>
  <w:style w:type="character" w:customStyle="1" w:styleId="127">
    <w:name w:val="标题 6 字符"/>
    <w:link w:val="7"/>
    <w:qFormat/>
    <w:uiPriority w:val="0"/>
    <w:rPr>
      <w:rFonts w:ascii="Arial" w:hAnsi="Arial"/>
      <w:lang w:eastAsia="ja-JP"/>
    </w:rPr>
  </w:style>
  <w:style w:type="character" w:customStyle="1" w:styleId="128">
    <w:name w:val="标题 7 字符"/>
    <w:link w:val="9"/>
    <w:qFormat/>
    <w:uiPriority w:val="0"/>
    <w:rPr>
      <w:rFonts w:ascii="Arial" w:hAnsi="Arial"/>
      <w:lang w:eastAsia="ja-JP"/>
    </w:rPr>
  </w:style>
  <w:style w:type="character" w:customStyle="1" w:styleId="129">
    <w:name w:val="标题 8 字符"/>
    <w:link w:val="10"/>
    <w:uiPriority w:val="0"/>
    <w:rPr>
      <w:rFonts w:ascii="Arial" w:hAnsi="Arial"/>
      <w:sz w:val="36"/>
      <w:lang w:eastAsia="ja-JP"/>
    </w:rPr>
  </w:style>
  <w:style w:type="character" w:customStyle="1" w:styleId="130">
    <w:name w:val="标题 9 字符"/>
    <w:link w:val="11"/>
    <w:qFormat/>
    <w:uiPriority w:val="0"/>
    <w:rPr>
      <w:rFonts w:ascii="Arial" w:hAnsi="Arial"/>
      <w:sz w:val="36"/>
      <w:lang w:eastAsia="ja-JP"/>
    </w:rPr>
  </w:style>
  <w:style w:type="paragraph" w:customStyle="1" w:styleId="131">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列出段落 字符"/>
    <w:link w:val="132"/>
    <w:qFormat/>
    <w:locked/>
    <w:uiPriority w:val="34"/>
    <w:rPr>
      <w:rFonts w:ascii="Calibri" w:hAnsi="Calibri" w:eastAsia="Calibri"/>
      <w:sz w:val="22"/>
      <w:szCs w:val="22"/>
      <w:lang w:val="zh-CN" w:eastAsia="en-US"/>
    </w:rPr>
  </w:style>
  <w:style w:type="paragraph" w:customStyle="1" w:styleId="134">
    <w:name w:val="NF"/>
    <w:basedOn w:val="66"/>
    <w:qFormat/>
    <w:uiPriority w:val="0"/>
    <w:pPr>
      <w:keepNext/>
      <w:spacing w:after="0"/>
    </w:pPr>
    <w:rPr>
      <w:sz w:val="18"/>
    </w:rPr>
  </w:style>
  <w:style w:type="paragraph" w:customStyle="1" w:styleId="135">
    <w:name w:val="NW"/>
    <w:basedOn w:val="66"/>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纯文本 字符"/>
    <w:link w:val="34"/>
    <w:uiPriority w:val="0"/>
    <w:rPr>
      <w:rFonts w:ascii="Courier New" w:hAnsi="Courier New"/>
      <w:lang w:val="nb-NO" w:eastAsia="ja-JP"/>
    </w:rPr>
  </w:style>
  <w:style w:type="character" w:customStyle="1" w:styleId="139">
    <w:name w:val="TAL Car"/>
    <w:link w:val="78"/>
    <w:qFormat/>
    <w:uiPriority w:val="0"/>
    <w:rPr>
      <w:rFonts w:ascii="Arial" w:hAnsi="Arial"/>
      <w:sz w:val="18"/>
      <w:lang w:val="zh-CN" w:eastAsia="zh-CN"/>
    </w:rPr>
  </w:style>
  <w:style w:type="character" w:customStyle="1" w:styleId="140">
    <w:name w:val="TAH Car"/>
    <w:link w:val="80"/>
    <w:qFormat/>
    <w:locked/>
    <w:uiPriority w:val="0"/>
    <w:rPr>
      <w:rFonts w:ascii="Arial" w:hAnsi="Arial"/>
      <w:b/>
      <w:sz w:val="18"/>
      <w:lang w:val="zh-CN" w:eastAsia="zh-CN"/>
    </w:rPr>
  </w:style>
  <w:style w:type="character" w:customStyle="1" w:styleId="141">
    <w:name w:val="TH Char"/>
    <w:link w:val="83"/>
    <w:qFormat/>
    <w:uiPriority w:val="0"/>
    <w:rPr>
      <w:rFonts w:ascii="Arial" w:hAnsi="Arial"/>
      <w:b/>
      <w:lang w:val="zh-CN" w:eastAsia="zh-CN"/>
    </w:rPr>
  </w:style>
  <w:style w:type="paragraph" w:customStyle="1" w:styleId="142">
    <w:name w:val="TAJ"/>
    <w:basedOn w:val="83"/>
    <w:qFormat/>
    <w:uiPriority w:val="0"/>
  </w:style>
  <w:style w:type="paragraph" w:customStyle="1" w:styleId="143">
    <w:name w:val="TAL Char Char"/>
    <w:basedOn w:val="1"/>
    <w:link w:val="144"/>
    <w:qFormat/>
    <w:uiPriority w:val="0"/>
    <w:pPr>
      <w:keepNext/>
      <w:keepLines/>
      <w:spacing w:after="0"/>
    </w:pPr>
    <w:rPr>
      <w:rFonts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4"/>
    <w:uiPriority w:val="0"/>
    <w:rPr>
      <w:rFonts w:ascii="Arial" w:hAnsi="Arial"/>
      <w:b/>
      <w:lang w:val="zh-CN" w:eastAsia="zh-CN"/>
    </w:rPr>
  </w:style>
  <w:style w:type="character" w:customStyle="1" w:styleId="146">
    <w:name w:val="未处理的提及1"/>
    <w:basedOn w:val="52"/>
    <w:semiHidden/>
    <w:unhideWhenUsed/>
    <w:qFormat/>
    <w:uiPriority w:val="99"/>
    <w:rPr>
      <w:color w:val="808080"/>
      <w:shd w:val="clear" w:color="auto" w:fill="E6E6E6"/>
    </w:rPr>
  </w:style>
  <w:style w:type="character" w:customStyle="1" w:styleId="147">
    <w:name w:val="B1 Zchn"/>
    <w:uiPriority w:val="0"/>
  </w:style>
  <w:style w:type="character" w:customStyle="1" w:styleId="148">
    <w:name w:val="EmailDiscussion Char"/>
    <w:link w:val="117"/>
    <w:qFormat/>
    <w:locked/>
    <w:uiPriority w:val="0"/>
    <w:rPr>
      <w:rFonts w:ascii="Arial" w:hAnsi="Arial" w:eastAsia="MS Mincho"/>
      <w:b/>
      <w:szCs w:val="24"/>
    </w:rPr>
  </w:style>
  <w:style w:type="paragraph" w:customStyle="1" w:styleId="149">
    <w:name w:val="EmailDiscussion2"/>
    <w:basedOn w:val="1"/>
    <w:qFormat/>
    <w:uiPriority w:val="99"/>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150">
    <w:name w:val="Doc-title Char"/>
    <w:link w:val="151"/>
    <w:qFormat/>
    <w:locked/>
    <w:uiPriority w:val="0"/>
    <w:rPr>
      <w:rFonts w:ascii="Arial" w:hAnsi="Arial" w:eastAsia="MS Mincho" w:cs="Arial"/>
      <w:szCs w:val="24"/>
    </w:rPr>
  </w:style>
  <w:style w:type="paragraph" w:customStyle="1" w:styleId="151">
    <w:name w:val="Doc-title"/>
    <w:basedOn w:val="1"/>
    <w:next w:val="1"/>
    <w:link w:val="150"/>
    <w:qFormat/>
    <w:uiPriority w:val="0"/>
    <w:pPr>
      <w:overflowPunct/>
      <w:autoSpaceDE/>
      <w:autoSpaceDN/>
      <w:adjustRightInd/>
      <w:spacing w:before="60" w:after="0"/>
      <w:ind w:left="1259" w:hanging="1259"/>
      <w:textAlignment w:val="auto"/>
    </w:pPr>
    <w:rPr>
      <w:rFonts w:eastAsia="MS Mincho" w:cs="Arial"/>
      <w:szCs w:val="24"/>
      <w:lang w:eastAsia="en-GB"/>
    </w:rPr>
  </w:style>
  <w:style w:type="paragraph" w:customStyle="1" w:styleId="152">
    <w:name w:val="Doc-comment"/>
    <w:basedOn w:val="1"/>
    <w:next w:val="1"/>
    <w:qFormat/>
    <w:uiPriority w:val="0"/>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153">
    <w:name w:val="Comments Char"/>
    <w:link w:val="154"/>
    <w:locked/>
    <w:uiPriority w:val="0"/>
    <w:rPr>
      <w:rFonts w:ascii="Arial" w:hAnsi="Arial" w:eastAsia="MS Mincho" w:cs="Arial"/>
      <w:i/>
      <w:sz w:val="18"/>
      <w:szCs w:val="24"/>
    </w:rPr>
  </w:style>
  <w:style w:type="paragraph" w:customStyle="1" w:styleId="154">
    <w:name w:val="Comments"/>
    <w:basedOn w:val="1"/>
    <w:link w:val="153"/>
    <w:qFormat/>
    <w:uiPriority w:val="0"/>
    <w:pPr>
      <w:overflowPunct/>
      <w:autoSpaceDE/>
      <w:autoSpaceDN/>
      <w:adjustRightInd/>
      <w:spacing w:before="40" w:after="0"/>
      <w:textAlignment w:val="auto"/>
    </w:pPr>
    <w:rPr>
      <w:rFonts w:eastAsia="MS Mincho" w:cs="Arial"/>
      <w:i/>
      <w:sz w:val="18"/>
      <w:szCs w:val="24"/>
      <w:lang w:eastAsia="en-GB"/>
    </w:rPr>
  </w:style>
  <w:style w:type="character" w:customStyle="1" w:styleId="155">
    <w:name w:val="Unresolved Mention"/>
    <w:basedOn w:val="5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5AIRPNAIUNRU-859666464-11002</_dlc_DocId>
    <_dlc_DocIdUrl xmlns="71c5aaf6-e6ce-465b-b873-5148d2a4c105">
      <Url>https://nokia.sharepoint.com/sites/c5g/e2earch/_layouts/15/DocIdRedir.aspx?ID=5AIRPNAIUNRU-859666464-11002</Url>
      <Description>5AIRPNAIUNRU-859666464-11002</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96A533-5F79-45EF-9C0E-3E245C5115C2}">
  <ds:schemaRefs/>
</ds:datastoreItem>
</file>

<file path=customXml/itemProps3.xml><?xml version="1.0" encoding="utf-8"?>
<ds:datastoreItem xmlns:ds="http://schemas.openxmlformats.org/officeDocument/2006/customXml" ds:itemID="{DE44D1E2-A0DB-44A2-9C3E-42C4BDE72C46}">
  <ds:schemaRefs/>
</ds:datastoreItem>
</file>

<file path=customXml/itemProps4.xml><?xml version="1.0" encoding="utf-8"?>
<ds:datastoreItem xmlns:ds="http://schemas.openxmlformats.org/officeDocument/2006/customXml" ds:itemID="{BD96B7AE-1A4A-4C89-9A19-704F48D0CF8C}">
  <ds:schemaRefs/>
</ds:datastoreItem>
</file>

<file path=customXml/itemProps5.xml><?xml version="1.0" encoding="utf-8"?>
<ds:datastoreItem xmlns:ds="http://schemas.openxmlformats.org/officeDocument/2006/customXml" ds:itemID="{58809B75-DA1D-4DA6-A7CF-06723E0AC988}">
  <ds:schemaRefs/>
</ds:datastoreItem>
</file>

<file path=customXml/itemProps6.xml><?xml version="1.0" encoding="utf-8"?>
<ds:datastoreItem xmlns:ds="http://schemas.openxmlformats.org/officeDocument/2006/customXml" ds:itemID="{3C0C1DD6-48B4-4287-AB13-4DDF44BCF285}">
  <ds:schemaRefs/>
</ds:datastoreItem>
</file>

<file path=customXml/itemProps7.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Company>Ericsson</Company>
  <Pages>5</Pages>
  <Words>1402</Words>
  <Characters>7998</Characters>
  <Lines>66</Lines>
  <Paragraphs>18</Paragraphs>
  <TotalTime>22</TotalTime>
  <ScaleCrop>false</ScaleCrop>
  <LinksUpToDate>false</LinksUpToDate>
  <CharactersWithSpaces>9382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2022-02-23T15:40:00Z</dcterms:created>
  <dc:creator>Ericsson Rev 3</dc:creator>
  <cp:keywords>3GPP; Ericsson; TDoc</cp:keywords>
  <cp:lastModifiedBy>ZTE</cp:lastModifiedBy>
  <cp:lastPrinted>2008-01-31T07:09:00Z</cp:lastPrinted>
  <dcterms:modified xsi:type="dcterms:W3CDTF">2022-02-24T01:38:00Z</dcterms:modified>
  <dc:title>Ericsson</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0x01010054371E7EC0F13943B87F9D9F2BE005B3</vt:lpwstr>
  </property>
  <property fmtid="{D5CDD505-2E9C-101B-9397-08002B2CF9AE}" pid="4" name="_dlc_DocIdItemGuid">
    <vt:lpwstr>6208fe99-c989-4b99-9eb9-ff425352c99d</vt:lpwstr>
  </property>
  <property fmtid="{D5CDD505-2E9C-101B-9397-08002B2CF9AE}" pid="5" name="KSOProductBuildVer">
    <vt:lpwstr>2052-11.8.2.9022</vt:lpwstr>
  </property>
</Properties>
</file>