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47B33E01"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117-e][004][ePowSav]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新細明體" w:cs="Arial"/>
        </w:rPr>
      </w:pPr>
      <w:r w:rsidRPr="009805FE">
        <w:rPr>
          <w:rFonts w:eastAsia="新細明體"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afa"/>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 xml:space="preserve">[AT117-e][004][ePowSav]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 xml:space="preserve">Treat R2-2203720 (taking into account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made the following agreements, which should be taken into account in this discussion.</w:t>
      </w:r>
    </w:p>
    <w:tbl>
      <w:tblPr>
        <w:tblStyle w:val="afa"/>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676CEEF1" w:rsidR="0038055F" w:rsidRDefault="0038055F" w:rsidP="00F61E2D">
            <w:pPr>
              <w:spacing w:after="120"/>
              <w:jc w:val="both"/>
              <w:rPr>
                <w:rFonts w:ascii="Arial" w:hAnsi="Arial" w:cs="Arial"/>
                <w:sz w:val="20"/>
                <w:szCs w:val="20"/>
                <w:lang w:val="en-GB"/>
              </w:rPr>
            </w:pPr>
          </w:p>
        </w:tc>
        <w:tc>
          <w:tcPr>
            <w:tcW w:w="2864" w:type="dxa"/>
          </w:tcPr>
          <w:p w14:paraId="6825594F" w14:textId="49FC198C" w:rsidR="0038055F" w:rsidRDefault="0038055F" w:rsidP="00F61E2D">
            <w:pPr>
              <w:spacing w:after="120"/>
              <w:jc w:val="both"/>
              <w:rPr>
                <w:rFonts w:ascii="Arial" w:hAnsi="Arial" w:cs="Arial"/>
                <w:sz w:val="20"/>
                <w:szCs w:val="20"/>
                <w:lang w:val="en-GB"/>
              </w:rPr>
            </w:pPr>
          </w:p>
        </w:tc>
        <w:tc>
          <w:tcPr>
            <w:tcW w:w="4956" w:type="dxa"/>
          </w:tcPr>
          <w:p w14:paraId="7BE022C2" w14:textId="385FB052" w:rsidR="0038055F" w:rsidRDefault="0038055F" w:rsidP="00F61E2D">
            <w:pPr>
              <w:spacing w:after="120"/>
              <w:jc w:val="both"/>
              <w:rPr>
                <w:rFonts w:ascii="Arial" w:hAnsi="Arial" w:cs="Arial"/>
                <w:sz w:val="20"/>
                <w:szCs w:val="20"/>
                <w:lang w:val="en-GB"/>
              </w:rPr>
            </w:pPr>
          </w:p>
        </w:tc>
      </w:tr>
      <w:tr w:rsidR="0038055F" w14:paraId="29685B47" w14:textId="77777777" w:rsidTr="005C32F3">
        <w:tc>
          <w:tcPr>
            <w:tcW w:w="1809" w:type="dxa"/>
          </w:tcPr>
          <w:p w14:paraId="500B1995" w14:textId="5B48924A" w:rsidR="0038055F" w:rsidRDefault="0038055F" w:rsidP="00F61E2D">
            <w:pPr>
              <w:spacing w:after="120"/>
              <w:jc w:val="both"/>
              <w:rPr>
                <w:rFonts w:ascii="Arial" w:hAnsi="Arial" w:cs="Arial"/>
                <w:sz w:val="20"/>
                <w:szCs w:val="20"/>
                <w:lang w:val="en-GB"/>
              </w:rPr>
            </w:pPr>
          </w:p>
        </w:tc>
        <w:tc>
          <w:tcPr>
            <w:tcW w:w="2864" w:type="dxa"/>
          </w:tcPr>
          <w:p w14:paraId="54E15660" w14:textId="75AF25C3" w:rsidR="0038055F" w:rsidRDefault="0038055F" w:rsidP="00F61E2D">
            <w:pPr>
              <w:spacing w:after="120"/>
              <w:jc w:val="both"/>
              <w:rPr>
                <w:rFonts w:ascii="Arial" w:hAnsi="Arial" w:cs="Arial"/>
                <w:sz w:val="20"/>
                <w:szCs w:val="20"/>
                <w:lang w:val="en-GB"/>
              </w:rPr>
            </w:pPr>
          </w:p>
        </w:tc>
        <w:tc>
          <w:tcPr>
            <w:tcW w:w="4956" w:type="dxa"/>
          </w:tcPr>
          <w:p w14:paraId="63BB7445" w14:textId="591780A5" w:rsidR="0038055F" w:rsidRDefault="0038055F" w:rsidP="00F61E2D">
            <w:pPr>
              <w:spacing w:after="120"/>
              <w:jc w:val="both"/>
              <w:rPr>
                <w:rFonts w:ascii="Arial" w:hAnsi="Arial" w:cs="Arial"/>
                <w:sz w:val="20"/>
                <w:szCs w:val="20"/>
                <w:lang w:val="en-GB"/>
              </w:rPr>
            </w:pPr>
          </w:p>
        </w:tc>
      </w:tr>
      <w:tr w:rsidR="0038055F" w14:paraId="6D127A77" w14:textId="77777777" w:rsidTr="005C32F3">
        <w:tc>
          <w:tcPr>
            <w:tcW w:w="1809" w:type="dxa"/>
          </w:tcPr>
          <w:p w14:paraId="23826EF6" w14:textId="558FA952" w:rsidR="0038055F" w:rsidRPr="004C6AE3" w:rsidRDefault="0038055F" w:rsidP="00F61E2D">
            <w:pPr>
              <w:spacing w:after="120"/>
              <w:jc w:val="both"/>
              <w:rPr>
                <w:rFonts w:ascii="Arial" w:eastAsia="SimSun" w:hAnsi="Arial" w:cs="Arial"/>
                <w:sz w:val="20"/>
                <w:szCs w:val="20"/>
                <w:lang w:val="en-GB" w:eastAsia="zh-CN"/>
              </w:rPr>
            </w:pPr>
          </w:p>
        </w:tc>
        <w:tc>
          <w:tcPr>
            <w:tcW w:w="2864" w:type="dxa"/>
          </w:tcPr>
          <w:p w14:paraId="5DE7A7BC" w14:textId="2F75CEEA" w:rsidR="0038055F" w:rsidRPr="004C6AE3" w:rsidRDefault="0038055F" w:rsidP="00F61E2D">
            <w:pPr>
              <w:spacing w:after="120"/>
              <w:jc w:val="both"/>
              <w:rPr>
                <w:rFonts w:ascii="Arial" w:eastAsia="SimSun" w:hAnsi="Arial" w:cs="Arial"/>
                <w:sz w:val="20"/>
                <w:szCs w:val="20"/>
                <w:lang w:val="en-GB" w:eastAsia="zh-CN"/>
              </w:rPr>
            </w:pPr>
          </w:p>
        </w:tc>
        <w:tc>
          <w:tcPr>
            <w:tcW w:w="4956" w:type="dxa"/>
          </w:tcPr>
          <w:p w14:paraId="1B1AC55E" w14:textId="0A2102D1" w:rsidR="0038055F" w:rsidRPr="004C6AE3" w:rsidRDefault="0038055F" w:rsidP="00F61E2D">
            <w:pPr>
              <w:spacing w:after="120"/>
              <w:jc w:val="both"/>
              <w:rPr>
                <w:rFonts w:ascii="Arial" w:eastAsia="SimSun" w:hAnsi="Arial" w:cs="Arial"/>
                <w:sz w:val="20"/>
                <w:szCs w:val="20"/>
                <w:lang w:val="en-GB" w:eastAsia="zh-CN"/>
              </w:rPr>
            </w:pPr>
          </w:p>
        </w:tc>
      </w:tr>
      <w:tr w:rsidR="008C6E91" w14:paraId="58692C29" w14:textId="77777777" w:rsidTr="005C32F3">
        <w:tc>
          <w:tcPr>
            <w:tcW w:w="1809" w:type="dxa"/>
          </w:tcPr>
          <w:p w14:paraId="6C53363D" w14:textId="63E6282B" w:rsidR="008C6E91" w:rsidRDefault="008C6E91" w:rsidP="00F61E2D">
            <w:pPr>
              <w:spacing w:after="120"/>
              <w:jc w:val="both"/>
              <w:rPr>
                <w:rFonts w:ascii="Arial" w:eastAsia="SimSun" w:hAnsi="Arial" w:cs="Arial"/>
                <w:sz w:val="20"/>
                <w:szCs w:val="20"/>
                <w:lang w:val="en-GB" w:eastAsia="zh-CN"/>
              </w:rPr>
            </w:pPr>
          </w:p>
        </w:tc>
        <w:tc>
          <w:tcPr>
            <w:tcW w:w="2864" w:type="dxa"/>
          </w:tcPr>
          <w:p w14:paraId="4F54B254" w14:textId="019C4A97" w:rsidR="008C6E91" w:rsidRDefault="008C6E91" w:rsidP="00F61E2D">
            <w:pPr>
              <w:spacing w:after="120"/>
              <w:jc w:val="both"/>
              <w:rPr>
                <w:rFonts w:ascii="Arial" w:eastAsia="SimSun" w:hAnsi="Arial" w:cs="Arial"/>
                <w:sz w:val="20"/>
                <w:szCs w:val="20"/>
                <w:lang w:val="en-GB" w:eastAsia="zh-CN"/>
              </w:rPr>
            </w:pPr>
          </w:p>
        </w:tc>
        <w:tc>
          <w:tcPr>
            <w:tcW w:w="4956" w:type="dxa"/>
          </w:tcPr>
          <w:p w14:paraId="7F4A1734" w14:textId="035F7F1E" w:rsidR="008C6E91" w:rsidRDefault="008C6E91" w:rsidP="00F61E2D">
            <w:pPr>
              <w:spacing w:after="120"/>
              <w:jc w:val="both"/>
              <w:rPr>
                <w:rFonts w:ascii="Arial" w:eastAsia="SimSun" w:hAnsi="Arial" w:cs="Arial"/>
                <w:sz w:val="20"/>
                <w:szCs w:val="20"/>
                <w:lang w:val="en-GB" w:eastAsia="zh-CN"/>
              </w:rPr>
            </w:pPr>
          </w:p>
        </w:tc>
      </w:tr>
      <w:tr w:rsidR="008F1321" w14:paraId="3B27F755" w14:textId="77777777" w:rsidTr="005C32F3">
        <w:tc>
          <w:tcPr>
            <w:tcW w:w="1809" w:type="dxa"/>
          </w:tcPr>
          <w:p w14:paraId="7F99A00D" w14:textId="7A8E4926" w:rsidR="008F1321" w:rsidRDefault="008F1321" w:rsidP="00F61E2D">
            <w:pPr>
              <w:spacing w:after="120"/>
              <w:jc w:val="both"/>
              <w:rPr>
                <w:rFonts w:ascii="Arial" w:eastAsia="SimSun" w:hAnsi="Arial" w:cs="Arial"/>
                <w:sz w:val="20"/>
                <w:szCs w:val="20"/>
                <w:lang w:val="en-GB" w:eastAsia="zh-CN"/>
              </w:rPr>
            </w:pPr>
          </w:p>
        </w:tc>
        <w:tc>
          <w:tcPr>
            <w:tcW w:w="2864" w:type="dxa"/>
          </w:tcPr>
          <w:p w14:paraId="439E1A1E" w14:textId="0420D4BF" w:rsidR="008F1321" w:rsidRDefault="008F1321" w:rsidP="00F61E2D">
            <w:pPr>
              <w:spacing w:after="120"/>
              <w:jc w:val="both"/>
              <w:rPr>
                <w:rFonts w:ascii="Arial" w:eastAsia="SimSun" w:hAnsi="Arial" w:cs="Arial"/>
                <w:sz w:val="20"/>
                <w:szCs w:val="20"/>
                <w:lang w:val="en-GB" w:eastAsia="zh-CN"/>
              </w:rPr>
            </w:pPr>
          </w:p>
        </w:tc>
        <w:tc>
          <w:tcPr>
            <w:tcW w:w="4956" w:type="dxa"/>
          </w:tcPr>
          <w:p w14:paraId="235CD36E" w14:textId="0F9FE4FF" w:rsidR="008F1321" w:rsidRDefault="008F1321" w:rsidP="00F61E2D">
            <w:pPr>
              <w:spacing w:after="120"/>
              <w:jc w:val="both"/>
              <w:rPr>
                <w:rFonts w:ascii="Arial" w:eastAsia="SimSun" w:hAnsi="Arial" w:cs="Arial"/>
                <w:sz w:val="20"/>
                <w:szCs w:val="20"/>
                <w:lang w:val="en-GB" w:eastAsia="zh-CN"/>
              </w:rPr>
            </w:pP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SimSun"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SimSun"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SimSun"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hint="eastAsia"/>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新細明體" w:cs="Arial"/>
        </w:rPr>
      </w:pPr>
      <w:r w:rsidRPr="009805FE">
        <w:rPr>
          <w:rFonts w:eastAsia="新細明體" w:cs="Arial"/>
        </w:rPr>
        <w:lastRenderedPageBreak/>
        <w:t>Discussion</w:t>
      </w:r>
    </w:p>
    <w:p w14:paraId="037B3751" w14:textId="202169D9" w:rsidR="00602C81" w:rsidRDefault="00667E52" w:rsidP="00667E52">
      <w:pPr>
        <w:pStyle w:val="2"/>
      </w:pPr>
      <w:r w:rsidRPr="00667E52">
        <w:t>UE behaviour for PEI in last cell</w:t>
      </w:r>
    </w:p>
    <w:p w14:paraId="3CE65FEE" w14:textId="5099E06B" w:rsidR="00667E52" w:rsidRDefault="00667E52" w:rsidP="00D4593B">
      <w:pPr>
        <w:spacing w:after="120"/>
        <w:jc w:val="both"/>
        <w:rPr>
          <w:rFonts w:ascii="Arial" w:hAnsi="Arial" w:cs="Arial" w:hint="eastAsia"/>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afc"/>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afc"/>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afc"/>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afc"/>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r w:rsidR="00E97D39" w:rsidRPr="00E97D39">
        <w:rPr>
          <w:rFonts w:ascii="Arial" w:eastAsiaTheme="minorEastAsia" w:hAnsi="Arial" w:cs="Arial"/>
          <w:i/>
          <w:iCs/>
          <w:lang w:eastAsia="zh-TW"/>
        </w:rPr>
        <w:t>RRCRelease</w:t>
      </w:r>
      <w:r w:rsidR="003371FD">
        <w:rPr>
          <w:rFonts w:ascii="Arial" w:eastAsiaTheme="minorEastAsia" w:hAnsi="Arial" w:cs="Arial"/>
          <w:lang w:eastAsia="zh-TW"/>
        </w:rPr>
        <w:t xml:space="preserve"> message for NR PEI (</w:t>
      </w:r>
      <w:r w:rsidR="00E97D39">
        <w:rPr>
          <w:rFonts w:ascii="Arial" w:eastAsiaTheme="minorEastAsia" w:hAnsi="Arial" w:cs="Arial"/>
          <w:lang w:eastAsia="zh-TW"/>
        </w:rPr>
        <w:t xml:space="preserve">similar to </w:t>
      </w:r>
      <w:r w:rsidR="00E97D39" w:rsidRPr="00E97D39">
        <w:rPr>
          <w:rFonts w:ascii="Arial" w:eastAsiaTheme="minorEastAsia" w:hAnsi="Arial" w:cs="Arial"/>
          <w:i/>
          <w:iCs/>
          <w:lang w:eastAsia="zh-TW"/>
        </w:rPr>
        <w:t>noLastCellUpdate</w:t>
      </w:r>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r w:rsidR="00E97D39" w:rsidRPr="00E97D39">
        <w:rPr>
          <w:rFonts w:ascii="Arial" w:eastAsiaTheme="minorEastAsia" w:hAnsi="Arial" w:cs="Arial"/>
          <w:i/>
          <w:iCs/>
          <w:lang w:eastAsia="zh-TW"/>
        </w:rPr>
        <w:t>RRCConnectionRelease</w:t>
      </w:r>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afc"/>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14"/>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hint="eastAsia"/>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14"/>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hint="eastAsia"/>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14"/>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hint="eastAsia"/>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r w:rsidR="000726B8" w:rsidRPr="00A979B6">
        <w:rPr>
          <w:rFonts w:ascii="Arial" w:hAnsi="Arial" w:cs="Arial"/>
          <w:b/>
          <w:bCs/>
          <w:i/>
          <w:iCs/>
          <w:sz w:val="20"/>
          <w:szCs w:val="20"/>
        </w:rPr>
        <w:t>RRCRelease</w:t>
      </w:r>
      <w:r w:rsidR="000726B8" w:rsidRPr="00A979B6">
        <w:rPr>
          <w:rFonts w:ascii="Arial" w:hAnsi="Arial" w:cs="Arial"/>
          <w:b/>
          <w:bCs/>
          <w:sz w:val="20"/>
          <w:szCs w:val="20"/>
        </w:rPr>
        <w:t xml:space="preserve"> message for NR PEI?</w:t>
      </w:r>
    </w:p>
    <w:tbl>
      <w:tblPr>
        <w:tblStyle w:val="14"/>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hint="eastAsia"/>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r w:rsidR="005C247E" w:rsidRPr="00EA2B6F">
        <w:rPr>
          <w:rFonts w:ascii="Arial" w:hAnsi="Arial" w:cs="Arial"/>
          <w:b/>
          <w:bCs/>
          <w:i/>
          <w:iCs/>
          <w:sz w:val="20"/>
          <w:szCs w:val="20"/>
        </w:rPr>
        <w:t>lastUsedCellOnly</w:t>
      </w:r>
      <w:r w:rsidR="005C247E" w:rsidRPr="00EA2B6F">
        <w:rPr>
          <w:rFonts w:ascii="Arial" w:hAnsi="Arial" w:cs="Arial"/>
          <w:b/>
          <w:bCs/>
          <w:sz w:val="20"/>
          <w:szCs w:val="20"/>
        </w:rPr>
        <w:t>?</w:t>
      </w:r>
    </w:p>
    <w:tbl>
      <w:tblPr>
        <w:tblStyle w:val="14"/>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hint="eastAsia"/>
                <w:sz w:val="20"/>
                <w:szCs w:val="20"/>
              </w:rPr>
            </w:pPr>
            <w:r w:rsidRPr="00EA2B6F">
              <w:rPr>
                <w:rFonts w:ascii="Arial" w:hAnsi="Arial" w:cs="Arial" w:hint="eastAsia"/>
                <w:sz w:val="20"/>
                <w:szCs w:val="20"/>
              </w:rPr>
              <w:lastRenderedPageBreak/>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hint="eastAsia"/>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47D045ED" w14:textId="77777777" w:rsidR="005C247E" w:rsidRPr="003D72D2" w:rsidRDefault="005C247E" w:rsidP="00FA496D">
      <w:pPr>
        <w:spacing w:after="120"/>
        <w:jc w:val="both"/>
        <w:rPr>
          <w:rFonts w:ascii="Arial" w:hAnsi="Arial" w:cs="Arial" w:hint="eastAsia"/>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14"/>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hint="eastAsia"/>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hint="eastAsia"/>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54F5663A" w14:textId="77777777" w:rsidR="00F103EF" w:rsidRDefault="00F103EF" w:rsidP="00FA496D">
      <w:pPr>
        <w:spacing w:after="120"/>
        <w:jc w:val="both"/>
        <w:rPr>
          <w:rFonts w:ascii="Arial" w:hAnsi="Arial" w:cs="Arial" w:hint="eastAsia"/>
        </w:rPr>
      </w:pPr>
    </w:p>
    <w:p w14:paraId="355356B9" w14:textId="7DF512F7" w:rsidR="00F103EF" w:rsidRDefault="00220BD9" w:rsidP="00A71214">
      <w:pPr>
        <w:pStyle w:val="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14"/>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N</w:t>
      </w:r>
      <w:r w:rsidR="0068147C" w:rsidRPr="0068147C">
        <w:rPr>
          <w:rFonts w:ascii="Arial" w:hAnsi="Arial" w:cs="Arial"/>
          <w:sz w:val="20"/>
          <w:szCs w:val="20"/>
          <w:vertAlign w:val="subscript"/>
          <w:lang w:val="en-GB"/>
        </w:rPr>
        <w:t>sg-UEID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14"/>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Then w</w:t>
            </w:r>
            <w:r w:rsidR="00FF0939">
              <w:rPr>
                <w:rFonts w:ascii="Arial" w:hAnsi="Arial" w:cs="Arial"/>
                <w:sz w:val="20"/>
                <w:szCs w:val="20"/>
              </w:rPr>
              <w:t xml:space="preserve">e need an additional rule: </w:t>
            </w:r>
            <w:r w:rsidR="00180793">
              <w:rPr>
                <w:rFonts w:ascii="Arial" w:hAnsi="Arial" w:cs="Arial"/>
                <w:sz w:val="20"/>
                <w:szCs w:val="20"/>
              </w:rPr>
              <w:t>UEs with CN-assigned subgroup</w:t>
            </w:r>
            <w:r w:rsidR="00FF0939">
              <w:rPr>
                <w:rFonts w:ascii="Arial" w:hAnsi="Arial" w:cs="Arial"/>
                <w:sz w:val="20"/>
                <w:szCs w:val="20"/>
              </w:rPr>
              <w:t xml:space="preserve"> ID </w:t>
            </w:r>
            <w:r w:rsidR="00CC7E3F">
              <w:rPr>
                <w:rFonts w:ascii="Arial" w:hAnsi="Arial" w:cs="Arial"/>
                <w:sz w:val="20"/>
                <w:szCs w:val="20"/>
              </w:rPr>
              <w:t xml:space="preserve">should derive UEID-based subgroup ID when monitoring PEI in a cell </w:t>
            </w:r>
            <w:r w:rsidR="00337233">
              <w:rPr>
                <w:rFonts w:ascii="Arial" w:hAnsi="Arial" w:cs="Arial"/>
                <w:sz w:val="20"/>
                <w:szCs w:val="20"/>
              </w:rPr>
              <w:t>supporting only UEID-based subgrouping.</w:t>
            </w: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14"/>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afa"/>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When PEI is applied with eDRX,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lastRenderedPageBreak/>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No additional handling for PEI and PO monitoring is introduced, even if certain gNB within a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RAN2 to check PEI-related signaling between AMF and UE, between AMF and gNB, and between gNBs,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afc"/>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EI configuration is included in SIBx currently proposed for TRS resource configuration.</w:t>
            </w:r>
          </w:p>
          <w:p w14:paraId="23C94626" w14:textId="2715B047" w:rsidR="00EC781A" w:rsidRPr="00F838A0" w:rsidRDefault="00C5326A" w:rsidP="00EC781A">
            <w:pPr>
              <w:pStyle w:val="afc"/>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r w:rsidR="00EC781A" w:rsidRPr="00F838A0">
              <w:rPr>
                <w:rFonts w:ascii="Arial" w:hAnsi="Arial" w:cs="Arial"/>
                <w:b/>
                <w:bCs/>
                <w:i/>
                <w:iCs/>
              </w:rPr>
              <w:t>subgroupsNumPerPO</w:t>
            </w:r>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afc"/>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Network can optionally configure a separate set of PO(s) dedicated to Rel-17 UEs with new paging capabilities.</w:t>
            </w:r>
          </w:p>
          <w:p w14:paraId="18043CA0" w14:textId="7A01DA73" w:rsidR="00EC781A" w:rsidRPr="00F838A0" w:rsidRDefault="00C5326A" w:rsidP="00EC781A">
            <w:pPr>
              <w:pStyle w:val="afc"/>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r w:rsidR="00EC781A" w:rsidRPr="00F838A0">
              <w:rPr>
                <w:rFonts w:ascii="Arial" w:hAnsi="Arial" w:cs="Arial"/>
                <w:b/>
                <w:bCs/>
                <w:i/>
                <w:iCs/>
              </w:rPr>
              <w:t>nAndPagingFrameOffset</w:t>
            </w:r>
            <w:r w:rsidR="00EC781A" w:rsidRPr="00F838A0">
              <w:rPr>
                <w:rFonts w:ascii="Arial" w:hAnsi="Arial" w:cs="Arial"/>
                <w:b/>
                <w:bCs/>
              </w:rPr>
              <w:t xml:space="preserve"> and/or </w:t>
            </w:r>
            <w:r w:rsidR="00EC781A" w:rsidRPr="00F838A0">
              <w:rPr>
                <w:rFonts w:ascii="Arial" w:hAnsi="Arial" w:cs="Arial"/>
                <w:b/>
                <w:bCs/>
                <w:i/>
                <w:iCs/>
              </w:rPr>
              <w:t>firstPDCCH-MonitoringOccasionOfPO</w:t>
            </w:r>
            <w:r w:rsidR="00EC781A" w:rsidRPr="00F838A0">
              <w:rPr>
                <w:rFonts w:ascii="Arial" w:hAnsi="Arial" w:cs="Arial"/>
                <w:b/>
                <w:bCs/>
              </w:rPr>
              <w:t xml:space="preserve"> parameters.</w:t>
            </w:r>
          </w:p>
          <w:p w14:paraId="7BA0059F" w14:textId="642E4D86" w:rsidR="00EC781A" w:rsidRDefault="00C5326A" w:rsidP="00EC781A">
            <w:pPr>
              <w:pStyle w:val="afc"/>
              <w:numPr>
                <w:ilvl w:val="1"/>
                <w:numId w:val="40"/>
              </w:numPr>
              <w:spacing w:after="120"/>
              <w:rPr>
                <w:rFonts w:ascii="Arial" w:hAnsi="Arial" w:cs="Arial" w:hint="eastAsia"/>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14"/>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afc"/>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afc"/>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afc"/>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4"/>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14"/>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hint="eastAsia"/>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bl>
    <w:p w14:paraId="272E4285" w14:textId="39682D54" w:rsidR="00663B02" w:rsidRDefault="003D72D2" w:rsidP="003D72D2">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14"/>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hint="eastAsia"/>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hint="eastAsia"/>
                <w:sz w:val="20"/>
                <w:szCs w:val="20"/>
              </w:rPr>
            </w:pPr>
            <w:r>
              <w:rPr>
                <w:rFonts w:ascii="Arial" w:hAnsi="Arial" w:cs="Arial" w:hint="eastAsia"/>
                <w:sz w:val="20"/>
                <w:szCs w:val="20"/>
              </w:rPr>
              <w:lastRenderedPageBreak/>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bl>
    <w:p w14:paraId="00D03BA0" w14:textId="77777777" w:rsidR="003D72D2" w:rsidRPr="003D72D2" w:rsidRDefault="003D72D2" w:rsidP="003D72D2">
      <w:pPr>
        <w:rPr>
          <w:rFonts w:hint="eastAsia"/>
          <w:lang w:val="en-GB"/>
        </w:rPr>
      </w:pPr>
    </w:p>
    <w:p w14:paraId="0E35054B" w14:textId="7BF79746" w:rsidR="00A07E02" w:rsidRPr="009805FE" w:rsidRDefault="00A07E02" w:rsidP="00B600AB">
      <w:pPr>
        <w:pStyle w:val="1"/>
        <w:overflowPunct w:val="0"/>
        <w:autoSpaceDE w:val="0"/>
        <w:autoSpaceDN w:val="0"/>
        <w:adjustRightInd w:val="0"/>
        <w:spacing w:before="0" w:after="120"/>
        <w:rPr>
          <w:rFonts w:eastAsia="新細明體" w:cs="Arial"/>
        </w:rPr>
      </w:pPr>
      <w:r w:rsidRPr="009805FE">
        <w:rPr>
          <w:rFonts w:eastAsia="新細明體"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1"/>
        <w:overflowPunct w:val="0"/>
        <w:autoSpaceDE w:val="0"/>
        <w:autoSpaceDN w:val="0"/>
        <w:adjustRightInd w:val="0"/>
        <w:spacing w:before="0" w:after="120"/>
        <w:rPr>
          <w:rFonts w:eastAsia="新細明體" w:cs="Arial"/>
        </w:rPr>
      </w:pPr>
      <w:r w:rsidRPr="009805FE">
        <w:rPr>
          <w:rFonts w:eastAsia="新細明體" w:cs="Arial"/>
          <w:lang w:eastAsia="zh-TW"/>
        </w:rPr>
        <w:t>R</w:t>
      </w:r>
      <w:r w:rsidR="00A07E02" w:rsidRPr="009805FE">
        <w:rPr>
          <w:rFonts w:eastAsia="新細明體"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afc"/>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560DC" w14:textId="77777777" w:rsidR="00FA700C" w:rsidRDefault="00FA700C">
      <w:pPr>
        <w:pStyle w:val="TAL"/>
      </w:pPr>
      <w:r>
        <w:separator/>
      </w:r>
    </w:p>
  </w:endnote>
  <w:endnote w:type="continuationSeparator" w:id="0">
    <w:p w14:paraId="21CA7DCB" w14:textId="77777777" w:rsidR="00FA700C" w:rsidRDefault="00FA700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0AD557AA" w:rsidR="00C258CE" w:rsidRDefault="00C258CE">
    <w:pPr>
      <w:pStyle w:val="a5"/>
    </w:pPr>
    <w:r>
      <w:fldChar w:fldCharType="begin"/>
    </w:r>
    <w:r>
      <w:instrText xml:space="preserve"> PAGE   \* MERGEFORMAT </w:instrText>
    </w:r>
    <w:r>
      <w:fldChar w:fldCharType="separate"/>
    </w:r>
    <w:r>
      <w:t>12</w:t>
    </w:r>
    <w:r>
      <w:fldChar w:fldCharType="end"/>
    </w:r>
  </w:p>
  <w:p w14:paraId="0FBB99F7" w14:textId="77777777" w:rsidR="00C258CE" w:rsidRDefault="00C25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3ABE" w14:textId="77777777" w:rsidR="00FA700C" w:rsidRDefault="00FA700C">
      <w:pPr>
        <w:pStyle w:val="TAL"/>
      </w:pPr>
      <w:r>
        <w:separator/>
      </w:r>
    </w:p>
  </w:footnote>
  <w:footnote w:type="continuationSeparator" w:id="0">
    <w:p w14:paraId="1B7397FD" w14:textId="77777777" w:rsidR="00FA700C" w:rsidRDefault="00FA700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1B8"/>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93B"/>
    <w:rsid w:val="00D45A8D"/>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fc">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목록 단락 字元,列出段落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 w:type="character" w:styleId="aff">
    <w:name w:val="Unresolved Mention"/>
    <w:basedOn w:val="a0"/>
    <w:uiPriority w:val="99"/>
    <w:semiHidden/>
    <w:unhideWhenUsed/>
    <w:rsid w:val="004E2B2D"/>
    <w:rPr>
      <w:color w:val="605E5C"/>
      <w:shd w:val="clear" w:color="auto" w:fill="E1DFDD"/>
    </w:rPr>
  </w:style>
  <w:style w:type="paragraph" w:customStyle="1" w:styleId="EmailDiscussion">
    <w:name w:val="EmailDiscussion"/>
    <w:basedOn w:val="a"/>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14">
    <w:name w:val="Grid Table 1 Light"/>
    <w:basedOn w:val="a1"/>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30C0-EFDE-4755-878B-146C9DBF7D71}">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Pages>
  <Words>1437</Words>
  <Characters>8196</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MediaTek</cp:lastModifiedBy>
  <cp:revision>30</cp:revision>
  <cp:lastPrinted>2007-12-21T04:58:00Z</cp:lastPrinted>
  <dcterms:created xsi:type="dcterms:W3CDTF">2022-02-23T15:33:00Z</dcterms:created>
  <dcterms:modified xsi:type="dcterms:W3CDTF">2022-02-23T16:17:00Z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