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宋体"/>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宋体"/>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宋体"/>
                <w:lang w:eastAsia="zh-CN"/>
              </w:rPr>
            </w:pPr>
            <w:r>
              <w:rPr>
                <w:rFonts w:eastAsia="宋体"/>
                <w:lang w:eastAsia="zh-CN"/>
              </w:rPr>
              <w:t>Yassin Awad</w:t>
            </w:r>
          </w:p>
        </w:tc>
        <w:tc>
          <w:tcPr>
            <w:tcW w:w="5523" w:type="dxa"/>
          </w:tcPr>
          <w:p w14:paraId="58059216" w14:textId="45EE8468" w:rsidR="00392F55" w:rsidRDefault="00D20B03" w:rsidP="00392F55">
            <w:pPr>
              <w:pStyle w:val="TAC"/>
              <w:spacing w:line="240" w:lineRule="auto"/>
              <w:rPr>
                <w:rFonts w:eastAsia="宋体"/>
                <w:lang w:eastAsia="zh-CN"/>
              </w:rPr>
            </w:pPr>
            <w:r>
              <w:rPr>
                <w:rFonts w:eastAsia="宋体"/>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AE6E7A" w14:paraId="15DF659A" w14:textId="77777777">
        <w:tc>
          <w:tcPr>
            <w:tcW w:w="4106" w:type="dxa"/>
          </w:tcPr>
          <w:p w14:paraId="18DED688" w14:textId="462199BB" w:rsidR="006864C9" w:rsidRPr="00D637DA" w:rsidRDefault="00A97636" w:rsidP="006864C9">
            <w:pPr>
              <w:pStyle w:val="TAC"/>
              <w:spacing w:line="240" w:lineRule="auto"/>
              <w:rPr>
                <w:rFonts w:eastAsia="宋体"/>
                <w:lang w:val="de-DE" w:eastAsia="zh-CN"/>
              </w:rPr>
            </w:pPr>
            <w:r>
              <w:rPr>
                <w:rFonts w:eastAsia="宋体"/>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宋体"/>
                <w:lang w:val="de-DE" w:eastAsia="zh-CN"/>
              </w:rPr>
            </w:pPr>
            <w:r>
              <w:rPr>
                <w:rFonts w:eastAsia="宋体"/>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宋体"/>
                <w:lang w:eastAsia="zh-CN"/>
              </w:rPr>
            </w:pPr>
            <w:r w:rsidRPr="00A9148F">
              <w:rPr>
                <w:rFonts w:eastAsia="宋体"/>
                <w:lang w:eastAsia="zh-CN"/>
              </w:rPr>
              <w:t>Jialin Zou</w:t>
            </w:r>
          </w:p>
        </w:tc>
        <w:tc>
          <w:tcPr>
            <w:tcW w:w="5523" w:type="dxa"/>
          </w:tcPr>
          <w:p w14:paraId="3CF0C9A5" w14:textId="7E8A3AB1" w:rsidR="006864C9" w:rsidRDefault="00A9148F" w:rsidP="006864C9">
            <w:pPr>
              <w:pStyle w:val="TAC"/>
              <w:spacing w:line="240" w:lineRule="auto"/>
              <w:rPr>
                <w:rFonts w:eastAsia="宋体"/>
                <w:lang w:eastAsia="zh-CN"/>
              </w:rPr>
            </w:pPr>
            <w:r>
              <w:rPr>
                <w:rFonts w:eastAsia="宋体"/>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r>
              <w:rPr>
                <w:lang w:val="en-US" w:eastAsia="ko-KR"/>
              </w:rPr>
              <w:t>Fangli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3B39C826" w:rsidR="006864C9" w:rsidRDefault="00C54A3F" w:rsidP="00C54A3F">
            <w:pPr>
              <w:pStyle w:val="TAC"/>
              <w:spacing w:line="240" w:lineRule="auto"/>
              <w:jc w:val="left"/>
              <w:rPr>
                <w:rFonts w:eastAsia="MS Mincho"/>
                <w:lang w:eastAsia="ja-JP"/>
              </w:rPr>
            </w:pPr>
            <w:r>
              <w:rPr>
                <w:rFonts w:eastAsia="MS Mincho"/>
                <w:lang w:eastAsia="ja-JP"/>
              </w:rPr>
              <w:t xml:space="preserve">                              Li</w:t>
            </w:r>
            <w:r w:rsidR="006A4BB9">
              <w:rPr>
                <w:rFonts w:eastAsia="MS Mincho"/>
                <w:lang w:eastAsia="ja-JP"/>
              </w:rPr>
              <w:t>f</w:t>
            </w:r>
            <w:r>
              <w:rPr>
                <w:rFonts w:eastAsia="MS Mincho"/>
                <w:lang w:eastAsia="ja-JP"/>
              </w:rPr>
              <w:t>eng Han</w:t>
            </w:r>
          </w:p>
        </w:tc>
        <w:tc>
          <w:tcPr>
            <w:tcW w:w="5523" w:type="dxa"/>
          </w:tcPr>
          <w:p w14:paraId="1BF87757" w14:textId="0F6E9044" w:rsidR="006864C9" w:rsidRPr="00C54A3F" w:rsidRDefault="00C54A3F" w:rsidP="006864C9">
            <w:pPr>
              <w:pStyle w:val="TAC"/>
              <w:spacing w:line="240" w:lineRule="auto"/>
              <w:rPr>
                <w:rFonts w:eastAsia="宋体"/>
                <w:lang w:eastAsia="zh-CN"/>
              </w:rPr>
            </w:pPr>
            <w:r>
              <w:rPr>
                <w:rFonts w:eastAsia="宋体"/>
                <w:lang w:eastAsia="zh-CN"/>
              </w:rPr>
              <w:t>lifeng.han@unisoc.com</w:t>
            </w:r>
          </w:p>
        </w:tc>
      </w:tr>
      <w:tr w:rsidR="006864C9" w14:paraId="6CA75A21" w14:textId="77777777">
        <w:tc>
          <w:tcPr>
            <w:tcW w:w="4106" w:type="dxa"/>
          </w:tcPr>
          <w:p w14:paraId="77D7A7B9" w14:textId="27C0C3E1" w:rsidR="006864C9" w:rsidRPr="00AE6E7A" w:rsidRDefault="00AE6E7A" w:rsidP="006864C9">
            <w:pPr>
              <w:pStyle w:val="TAC"/>
              <w:spacing w:line="240" w:lineRule="auto"/>
              <w:rPr>
                <w:rFonts w:eastAsia="宋体" w:hint="eastAsia"/>
                <w:lang w:eastAsia="zh-CN"/>
              </w:rPr>
            </w:pPr>
            <w:r>
              <w:rPr>
                <w:rFonts w:eastAsia="宋体" w:hint="eastAsia"/>
                <w:lang w:eastAsia="zh-CN"/>
              </w:rPr>
              <w:t>S</w:t>
            </w:r>
            <w:r>
              <w:rPr>
                <w:rFonts w:eastAsia="宋体"/>
                <w:lang w:eastAsia="zh-CN"/>
              </w:rPr>
              <w:t>hukun Wang(OPPO)</w:t>
            </w:r>
          </w:p>
        </w:tc>
        <w:tc>
          <w:tcPr>
            <w:tcW w:w="5523" w:type="dxa"/>
          </w:tcPr>
          <w:p w14:paraId="274A68E8" w14:textId="0272EF56" w:rsidR="006864C9" w:rsidRPr="00AE6E7A" w:rsidRDefault="00AE6E7A" w:rsidP="006864C9">
            <w:pPr>
              <w:pStyle w:val="TAC"/>
              <w:spacing w:line="240" w:lineRule="auto"/>
              <w:rPr>
                <w:rFonts w:eastAsia="宋体" w:hint="eastAsia"/>
                <w:lang w:eastAsia="zh-CN"/>
              </w:rPr>
            </w:pPr>
            <w:r>
              <w:rPr>
                <w:rFonts w:eastAsia="宋体" w:hint="eastAsia"/>
                <w:lang w:eastAsia="zh-CN"/>
              </w:rPr>
              <w:t>w</w:t>
            </w:r>
            <w:r>
              <w:rPr>
                <w:rFonts w:eastAsia="宋体"/>
                <w:lang w:eastAsia="zh-CN"/>
              </w:rPr>
              <w:t>angshukun@oppo.com</w:t>
            </w:r>
          </w:p>
        </w:tc>
      </w:tr>
      <w:tr w:rsidR="006864C9" w14:paraId="4D1B1194" w14:textId="77777777">
        <w:tc>
          <w:tcPr>
            <w:tcW w:w="4106" w:type="dxa"/>
          </w:tcPr>
          <w:p w14:paraId="6B3999A0" w14:textId="65690F50" w:rsidR="006864C9" w:rsidRDefault="006864C9" w:rsidP="006864C9">
            <w:pPr>
              <w:pStyle w:val="TAC"/>
              <w:spacing w:line="240" w:lineRule="auto"/>
              <w:rPr>
                <w:rFonts w:eastAsia="宋体"/>
                <w:lang w:eastAsia="zh-CN"/>
              </w:rPr>
            </w:pPr>
          </w:p>
        </w:tc>
        <w:tc>
          <w:tcPr>
            <w:tcW w:w="5523" w:type="dxa"/>
          </w:tcPr>
          <w:p w14:paraId="1BC76FDC" w14:textId="3827AEC8" w:rsidR="006864C9" w:rsidRDefault="006864C9" w:rsidP="006864C9">
            <w:pPr>
              <w:pStyle w:val="TAC"/>
              <w:spacing w:line="240" w:lineRule="auto"/>
              <w:rPr>
                <w:rFonts w:eastAsia="宋体"/>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3"/>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needed for camping, e.g. reception of CD SSB, paging etc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Broadcast CFR configuration or equivalent indication, to assist gNB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9"/>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supporting Case E, e.g. shall not bring the the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r w:rsidR="00D75B78" w:rsidRPr="00BC2A10">
        <w:rPr>
          <w:rFonts w:cs="Arial"/>
          <w:i/>
          <w:iCs/>
          <w:sz w:val="22"/>
          <w:szCs w:val="22"/>
          <w:lang w:eastAsia="sv-SE"/>
        </w:rPr>
        <w:t>locationAndBandwidth</w:t>
      </w:r>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SIBx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r w:rsidR="00AF7DEF" w:rsidRPr="00BC2A10">
        <w:rPr>
          <w:rFonts w:ascii="Times New Roman" w:eastAsia="宋体" w:hAnsi="Times New Roman" w:cs="Times New Roman"/>
          <w:sz w:val="22"/>
          <w:szCs w:val="22"/>
        </w:rPr>
        <w:t xml:space="preserve">SIBx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3"/>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sugget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r>
              <w:rPr>
                <w:lang w:eastAsia="zh-CN"/>
              </w:rPr>
              <w:t>Opt 1, Easier to define a BWP for MBS</w:t>
            </w:r>
          </w:p>
        </w:tc>
        <w:tc>
          <w:tcPr>
            <w:tcW w:w="6236" w:type="dxa"/>
            <w:vAlign w:val="center"/>
          </w:tcPr>
          <w:p w14:paraId="6A4E5504" w14:textId="06EDC627" w:rsidR="00392F55" w:rsidRDefault="00392F55" w:rsidP="00392F55">
            <w:pPr>
              <w:spacing w:after="0"/>
              <w:rPr>
                <w:lang w:eastAsia="zh-CN"/>
              </w:rPr>
            </w:pPr>
            <w:r>
              <w:rPr>
                <w:rStyle w:val="af6"/>
              </w:rPr>
              <w:t>CFR is just a terminology that is same as release 15 BWP. There is no need to make things unnecessarily complex in RAN2 trying to define. Thus it seems way simpler to try to keep BWP terminology as all the existing parameters refer to BWP instead of “CFR” e.g. CORESET/searchspace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r>
              <w:rPr>
                <w:rFonts w:eastAsia="宋体" w:hint="eastAsia"/>
                <w:sz w:val="22"/>
                <w:szCs w:val="22"/>
                <w:lang w:eastAsia="zh-CN"/>
              </w:rPr>
              <w:t>O</w:t>
            </w:r>
            <w:r>
              <w:rPr>
                <w:rFonts w:eastAsia="宋体"/>
                <w:sz w:val="22"/>
                <w:szCs w:val="22"/>
                <w:lang w:eastAsia="zh-CN"/>
              </w:rPr>
              <w:t xml:space="preserve">pt 1, as a </w:t>
            </w:r>
            <w:r>
              <w:rPr>
                <w:rFonts w:eastAsia="宋体"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宋体"/>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r>
              <w:rPr>
                <w:lang w:eastAsia="zh-CN"/>
              </w:rPr>
              <w:t>Opt 1, only configuring a CFR, i.e. no  Case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宋体"/>
                <w:sz w:val="22"/>
                <w:szCs w:val="22"/>
                <w:lang w:val="en-US" w:eastAsia="zh-CN"/>
              </w:rPr>
            </w:pPr>
            <w:r>
              <w:rPr>
                <w:rFonts w:eastAsia="宋体"/>
                <w:sz w:val="22"/>
                <w:szCs w:val="22"/>
                <w:lang w:val="en-US" w:eastAsia="zh-CN"/>
              </w:rPr>
              <w:t xml:space="preserve">Option 1, </w:t>
            </w:r>
            <w:r w:rsidR="00F34916">
              <w:rPr>
                <w:rFonts w:eastAsia="宋体"/>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宋体"/>
                <w:sz w:val="22"/>
                <w:szCs w:val="22"/>
                <w:lang w:eastAsia="zh-CN"/>
              </w:rPr>
            </w:pPr>
            <w:r>
              <w:rPr>
                <w:rFonts w:eastAsia="宋体"/>
                <w:sz w:val="22"/>
                <w:szCs w:val="22"/>
                <w:lang w:eastAsia="zh-CN"/>
              </w:rPr>
              <w:t>Futurewei</w:t>
            </w:r>
          </w:p>
        </w:tc>
        <w:tc>
          <w:tcPr>
            <w:tcW w:w="1684" w:type="dxa"/>
          </w:tcPr>
          <w:p w14:paraId="211142FF" w14:textId="0ACEF610" w:rsidR="006864C9" w:rsidRDefault="00122BD0" w:rsidP="006864C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w:t>
            </w:r>
            <w:r w:rsidR="00DC032D">
              <w:rPr>
                <w:rFonts w:eastAsia="宋体"/>
                <w:sz w:val="22"/>
                <w:szCs w:val="22"/>
                <w:lang w:eastAsia="zh-CN"/>
              </w:rPr>
              <w:t xml:space="preserve"> as the </w:t>
            </w:r>
            <w:r w:rsidR="00DC032D">
              <w:rPr>
                <w:rFonts w:eastAsia="宋体"/>
                <w:sz w:val="22"/>
                <w:szCs w:val="22"/>
                <w:lang w:eastAsia="zh-CN"/>
              </w:rPr>
              <w:lastRenderedPageBreak/>
              <w:t>BWP for broadcast</w:t>
            </w:r>
          </w:p>
        </w:tc>
        <w:tc>
          <w:tcPr>
            <w:tcW w:w="6236" w:type="dxa"/>
          </w:tcPr>
          <w:p w14:paraId="2E43FC3E" w14:textId="156A7326" w:rsidR="006864C9" w:rsidRDefault="00DC032D" w:rsidP="006864C9">
            <w:pPr>
              <w:spacing w:after="0"/>
              <w:rPr>
                <w:rFonts w:eastAsia="宋体"/>
                <w:sz w:val="22"/>
                <w:szCs w:val="22"/>
                <w:lang w:eastAsia="zh-CN"/>
              </w:rPr>
            </w:pPr>
            <w:r>
              <w:rPr>
                <w:rFonts w:eastAsia="宋体"/>
                <w:sz w:val="22"/>
                <w:szCs w:val="22"/>
                <w:lang w:eastAsia="zh-CN"/>
              </w:rPr>
              <w:lastRenderedPageBreak/>
              <w:t>Have the similar view as above companies. The CFR configuration should follow the RAN1 definition to make sure it</w:t>
            </w:r>
            <w:r w:rsidR="0085759F">
              <w:rPr>
                <w:rFonts w:eastAsia="宋体"/>
                <w:sz w:val="22"/>
                <w:szCs w:val="22"/>
                <w:lang w:eastAsia="zh-CN"/>
              </w:rPr>
              <w:t>s</w:t>
            </w:r>
            <w:r>
              <w:rPr>
                <w:rFonts w:eastAsia="宋体"/>
                <w:sz w:val="22"/>
                <w:szCs w:val="22"/>
                <w:lang w:eastAsia="zh-CN"/>
              </w:rPr>
              <w:t xml:space="preserve"> association with initial </w:t>
            </w:r>
            <w:r w:rsidR="00865CCB">
              <w:rPr>
                <w:rFonts w:eastAsia="宋体"/>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宋体"/>
                <w:lang w:eastAsia="zh-CN"/>
              </w:rPr>
              <w:t>We have the same understanding as Huawei</w:t>
            </w:r>
            <w:r w:rsidR="00360552">
              <w:rPr>
                <w:rFonts w:eastAsia="宋体"/>
                <w:lang w:eastAsia="zh-CN"/>
              </w:rPr>
              <w:t>.</w:t>
            </w:r>
          </w:p>
        </w:tc>
      </w:tr>
      <w:tr w:rsidR="008165E4" w14:paraId="3F67E0F9" w14:textId="77777777" w:rsidTr="00EB5D89">
        <w:trPr>
          <w:trHeight w:val="454"/>
        </w:trPr>
        <w:tc>
          <w:tcPr>
            <w:tcW w:w="1435" w:type="dxa"/>
          </w:tcPr>
          <w:p w14:paraId="0F959712" w14:textId="3BCC6136" w:rsidR="008165E4" w:rsidRDefault="008165E4" w:rsidP="00A61A89">
            <w:pPr>
              <w:spacing w:after="0"/>
              <w:jc w:val="cente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78D138EB" w14:textId="2FAFDC84" w:rsidR="008165E4" w:rsidRDefault="008165E4" w:rsidP="00A61A89">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14:paraId="0D819618" w14:textId="28B5C100" w:rsidR="008165E4" w:rsidRDefault="00FC6028" w:rsidP="00A61A89">
            <w:pPr>
              <w:spacing w:after="0"/>
              <w:rPr>
                <w:rFonts w:eastAsia="宋体"/>
                <w:lang w:eastAsia="zh-CN"/>
              </w:rPr>
            </w:pPr>
            <w:r>
              <w:rPr>
                <w:lang w:eastAsia="zh-CN"/>
              </w:rPr>
              <w:t>We also prefer to reuse the BWP terminology</w:t>
            </w:r>
            <w:r w:rsidR="00780D1E">
              <w:rPr>
                <w:lang w:eastAsia="zh-CN"/>
              </w:rPr>
              <w:t xml:space="preserve"> to make it simple</w:t>
            </w:r>
            <w:r>
              <w:rPr>
                <w:lang w:eastAsia="zh-CN"/>
              </w:rPr>
              <w:t>.</w:t>
            </w:r>
          </w:p>
        </w:tc>
      </w:tr>
      <w:tr w:rsidR="00AE6E7A" w14:paraId="6B727F34" w14:textId="77777777" w:rsidTr="00EB5D89">
        <w:trPr>
          <w:trHeight w:val="454"/>
        </w:trPr>
        <w:tc>
          <w:tcPr>
            <w:tcW w:w="1435" w:type="dxa"/>
          </w:tcPr>
          <w:p w14:paraId="7A57F779" w14:textId="5C99C4AA" w:rsidR="00AE6E7A" w:rsidRDefault="00AE6E7A" w:rsidP="00AE6E7A">
            <w:pPr>
              <w:spacing w:after="0"/>
              <w:jc w:val="cente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1BBDDE70" w14:textId="121A8D25" w:rsidR="00AE6E7A" w:rsidRDefault="00AE6E7A" w:rsidP="00AE6E7A">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14:paraId="5E0B1D5E" w14:textId="1FA580B0" w:rsidR="00AE6E7A" w:rsidRDefault="00AE6E7A" w:rsidP="00AE6E7A">
            <w:pPr>
              <w:spacing w:after="0"/>
              <w:rPr>
                <w:lang w:eastAsia="zh-CN"/>
              </w:rPr>
            </w:pPr>
            <w:r>
              <w:rPr>
                <w:rFonts w:eastAsia="宋体"/>
                <w:lang w:eastAsia="zh-CN"/>
              </w:rPr>
              <w:t>We do not understand what is the difference between BWP and CFR excpt name. we can use the BWP and no need to introduce new concept or new name in RAN2 text.</w:t>
            </w: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r w:rsidR="00A72D01" w:rsidRPr="003B7EBA">
        <w:rPr>
          <w:i/>
          <w:iCs/>
          <w:sz w:val="22"/>
          <w:szCs w:val="22"/>
          <w:lang w:eastAsia="sv-SE"/>
        </w:rPr>
        <w:t xml:space="preserve">locationAndBandwidth </w:t>
      </w:r>
      <w:r w:rsidR="00A72D01" w:rsidRPr="003B7EBA">
        <w:rPr>
          <w:iCs/>
          <w:sz w:val="22"/>
          <w:szCs w:val="22"/>
          <w:lang w:eastAsia="sv-SE"/>
        </w:rPr>
        <w:t>within</w:t>
      </w:r>
      <w:r w:rsidR="00A72D01" w:rsidRPr="003B7EBA">
        <w:rPr>
          <w:rFonts w:eastAsia="宋体"/>
          <w:iCs/>
          <w:spacing w:val="2"/>
          <w:sz w:val="22"/>
          <w:szCs w:val="22"/>
          <w:lang w:eastAsia="zh-CN"/>
        </w:rPr>
        <w:t xml:space="preserve"> SIB1,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 xml:space="preserve">having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r w:rsidR="00FD6E00" w:rsidRPr="003B7EBA">
        <w:rPr>
          <w:rFonts w:eastAsiaTheme="minorEastAsia"/>
          <w:sz w:val="22"/>
          <w:szCs w:val="22"/>
          <w:lang w:eastAsia="zh-CN"/>
        </w:rPr>
        <w:t>signaling</w:t>
      </w:r>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signaling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3"/>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r w:rsidRPr="003B7EBA">
              <w:rPr>
                <w:i/>
                <w:iCs/>
                <w:sz w:val="22"/>
                <w:szCs w:val="22"/>
                <w:lang w:eastAsia="sv-SE"/>
              </w:rPr>
              <w:t>locationAndBandwidth</w:t>
            </w:r>
            <w:r>
              <w:rPr>
                <w:iCs/>
                <w:sz w:val="22"/>
                <w:szCs w:val="22"/>
                <w:lang w:eastAsia="sv-SE"/>
              </w:rPr>
              <w:t xml:space="preserve"> for the initial BWP is already available in SIB1, but for Case E, this </w:t>
            </w:r>
            <w:r w:rsidRPr="003B7EBA">
              <w:rPr>
                <w:i/>
                <w:iCs/>
                <w:sz w:val="22"/>
                <w:szCs w:val="22"/>
                <w:lang w:eastAsia="sv-SE"/>
              </w:rPr>
              <w:t>locationAndBandwidth</w:t>
            </w:r>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r w:rsidRPr="003B7EBA">
              <w:rPr>
                <w:i/>
                <w:iCs/>
                <w:sz w:val="22"/>
                <w:szCs w:val="22"/>
                <w:lang w:eastAsia="sv-SE"/>
              </w:rPr>
              <w:t>locationAndBandwidth</w:t>
            </w:r>
            <w:r>
              <w:rPr>
                <w:rFonts w:eastAsia="宋体"/>
                <w:lang w:eastAsia="zh-CN"/>
              </w:rPr>
              <w:t xml:space="preserve">) within SIBx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or Case C,</w:t>
            </w:r>
            <w:r>
              <w:rPr>
                <w:rFonts w:eastAsia="宋体" w:hint="eastAsia"/>
                <w:sz w:val="22"/>
                <w:szCs w:val="22"/>
                <w:lang w:eastAsia="zh-CN"/>
              </w:rPr>
              <w:t>the CFR is contained in initial BWP,which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lastRenderedPageBreak/>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gridSpan w:val="2"/>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th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ot have exactly same signaling regardless of which case C/D/E is being used by network. It seems arbitrary complexity trying to make them look different. For all cases </w:t>
            </w:r>
            <w:r>
              <w:rPr>
                <w:i/>
                <w:iCs/>
                <w:lang w:eastAsia="zh-CN"/>
              </w:rPr>
              <w:t xml:space="preserve">locationAndBandwith </w:t>
            </w:r>
            <w:r>
              <w:rPr>
                <w:lang w:eastAsia="zh-CN"/>
              </w:rPr>
              <w:t xml:space="preserve">should be present for MBS– possibly absence could implicitly mean to use some other field value e.g. existing SIB1 </w:t>
            </w:r>
            <w:r>
              <w:rPr>
                <w:i/>
                <w:iCs/>
                <w:lang w:eastAsia="zh-CN"/>
              </w:rPr>
              <w:t>locationAndBandwidth.</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宋体"/>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宋体"/>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r w:rsidRPr="00D93B9B">
              <w:rPr>
                <w:i/>
                <w:iCs/>
                <w:lang w:eastAsia="sv-SE"/>
              </w:rPr>
              <w:t>locationAndBandwidth</w:t>
            </w:r>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r w:rsidRPr="003B7EBA">
              <w:rPr>
                <w:i/>
                <w:iCs/>
                <w:sz w:val="22"/>
                <w:szCs w:val="22"/>
                <w:lang w:eastAsia="sv-SE"/>
              </w:rPr>
              <w:t>locationAndBandwidth</w:t>
            </w:r>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r w:rsidRPr="00501FB5">
              <w:rPr>
                <w:i/>
                <w:iCs/>
                <w:sz w:val="22"/>
                <w:szCs w:val="22"/>
                <w:lang w:eastAsia="sv-SE"/>
              </w:rPr>
              <w:t>locationAndBandwidth</w:t>
            </w:r>
            <w:r>
              <w:rPr>
                <w:sz w:val="22"/>
                <w:szCs w:val="22"/>
                <w:lang w:eastAsia="sv-SE"/>
              </w:rPr>
              <w:t xml:space="preserve"> is already available in SIB1. A natural solution could be that when SIB1 configures the initial BWP the absence of the </w:t>
            </w:r>
            <w:r w:rsidRPr="0058147C">
              <w:rPr>
                <w:i/>
                <w:iCs/>
                <w:sz w:val="22"/>
                <w:szCs w:val="22"/>
                <w:lang w:eastAsia="sv-SE"/>
              </w:rPr>
              <w:t>locationAndBandwidth</w:t>
            </w:r>
            <w:r>
              <w:rPr>
                <w:sz w:val="22"/>
                <w:szCs w:val="22"/>
                <w:lang w:eastAsia="sv-SE"/>
              </w:rPr>
              <w:t xml:space="preserve"> in SIBx implies that Case C is used but if </w:t>
            </w:r>
            <w:r w:rsidRPr="0058147C">
              <w:rPr>
                <w:i/>
                <w:iCs/>
                <w:sz w:val="22"/>
                <w:szCs w:val="22"/>
                <w:lang w:eastAsia="sv-SE"/>
              </w:rPr>
              <w:t>locationAndBandwidth</w:t>
            </w:r>
            <w:r>
              <w:rPr>
                <w:sz w:val="22"/>
                <w:szCs w:val="22"/>
                <w:lang w:eastAsia="sv-SE"/>
              </w:rPr>
              <w:t xml:space="preserve"> is present in SIBx any Case E CFR size can be used according to </w:t>
            </w:r>
            <w:r w:rsidRPr="0058147C">
              <w:rPr>
                <w:i/>
                <w:iCs/>
                <w:sz w:val="22"/>
                <w:szCs w:val="22"/>
                <w:lang w:eastAsia="sv-SE"/>
              </w:rPr>
              <w:t>locationAndBandwidth</w:t>
            </w:r>
            <w:r>
              <w:rPr>
                <w:sz w:val="22"/>
                <w:szCs w:val="22"/>
                <w:lang w:eastAsia="sv-SE"/>
              </w:rPr>
              <w:t xml:space="preserve"> in SIBx.</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宋体"/>
                <w:sz w:val="22"/>
                <w:szCs w:val="22"/>
                <w:lang w:eastAsia="zh-CN"/>
              </w:rPr>
            </w:pPr>
            <w:r>
              <w:rPr>
                <w:rFonts w:eastAsia="宋体"/>
                <w:sz w:val="22"/>
                <w:szCs w:val="22"/>
                <w:lang w:eastAsia="zh-CN"/>
              </w:rPr>
              <w:t>Futurewei</w:t>
            </w:r>
          </w:p>
        </w:tc>
        <w:tc>
          <w:tcPr>
            <w:tcW w:w="2072" w:type="dxa"/>
          </w:tcPr>
          <w:p w14:paraId="625ED477" w14:textId="5E88CD69" w:rsidR="006864C9" w:rsidRDefault="00865CCB"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B09B3AB" w14:textId="2C48DE0C" w:rsidR="006864C9" w:rsidRDefault="00422247" w:rsidP="006864C9">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宋体"/>
                <w:sz w:val="22"/>
                <w:szCs w:val="22"/>
                <w:lang w:eastAsia="zh-CN"/>
              </w:rPr>
            </w:pPr>
            <w:r>
              <w:rPr>
                <w:rFonts w:eastAsia="宋体"/>
                <w:sz w:val="22"/>
                <w:szCs w:val="22"/>
                <w:lang w:eastAsia="zh-CN"/>
              </w:rPr>
              <w:t>Apple</w:t>
            </w:r>
          </w:p>
        </w:tc>
        <w:tc>
          <w:tcPr>
            <w:tcW w:w="2072" w:type="dxa"/>
          </w:tcPr>
          <w:p w14:paraId="0B820C65" w14:textId="0AF05EAD" w:rsidR="006864C9" w:rsidRDefault="007D4058"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r w:rsidRPr="003B7EBA">
              <w:rPr>
                <w:i/>
                <w:iCs/>
                <w:sz w:val="22"/>
                <w:szCs w:val="22"/>
                <w:lang w:eastAsia="sv-SE"/>
              </w:rPr>
              <w:t>locationAndBandwidth</w:t>
            </w:r>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or </w:t>
            </w:r>
            <w:r w:rsidR="00A20BE7">
              <w:rPr>
                <w:iCs/>
                <w:sz w:val="22"/>
                <w:szCs w:val="22"/>
                <w:lang w:eastAsia="sv-SE"/>
              </w:rPr>
              <w:t xml:space="preserve"> case C.</w:t>
            </w:r>
          </w:p>
        </w:tc>
      </w:tr>
      <w:tr w:rsidR="000261F4" w14:paraId="03EED93A" w14:textId="77777777" w:rsidTr="0019023A">
        <w:trPr>
          <w:trHeight w:val="454"/>
        </w:trPr>
        <w:tc>
          <w:tcPr>
            <w:tcW w:w="1423" w:type="dxa"/>
          </w:tcPr>
          <w:p w14:paraId="4214248D" w14:textId="0145DD1C" w:rsidR="000261F4" w:rsidRDefault="004248A6" w:rsidP="006864C9">
            <w:pPr>
              <w:spacing w:after="0"/>
              <w:jc w:val="cente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2072" w:type="dxa"/>
          </w:tcPr>
          <w:p w14:paraId="19CAFCB5" w14:textId="7C495F45" w:rsidR="000261F4" w:rsidRDefault="004248A6" w:rsidP="006864C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1B4D6A2C" w14:textId="731CEBDB" w:rsidR="000261F4" w:rsidRPr="00B26124" w:rsidRDefault="00476C1E" w:rsidP="006864C9">
            <w:pPr>
              <w:spacing w:after="0"/>
              <w:rPr>
                <w:rFonts w:eastAsia="宋体"/>
                <w:sz w:val="22"/>
                <w:szCs w:val="22"/>
                <w:lang w:eastAsia="zh-CN"/>
              </w:rPr>
            </w:pPr>
            <w:r>
              <w:rPr>
                <w:rFonts w:eastAsia="宋体"/>
                <w:sz w:val="22"/>
                <w:szCs w:val="22"/>
                <w:lang w:eastAsia="zh-CN"/>
              </w:rPr>
              <w:t>A</w:t>
            </w:r>
            <w:r w:rsidRPr="00476C1E">
              <w:rPr>
                <w:rFonts w:eastAsia="宋体"/>
                <w:sz w:val="22"/>
                <w:szCs w:val="22"/>
                <w:lang w:eastAsia="zh-CN"/>
              </w:rPr>
              <w:t xml:space="preserve"> broadcast specific</w:t>
            </w:r>
            <w:r w:rsidR="00B26124">
              <w:rPr>
                <w:rFonts w:eastAsia="宋体"/>
                <w:sz w:val="22"/>
                <w:szCs w:val="22"/>
                <w:lang w:eastAsia="zh-CN"/>
              </w:rPr>
              <w:t xml:space="preserve"> </w:t>
            </w:r>
            <w:r>
              <w:rPr>
                <w:rFonts w:eastAsia="宋体"/>
                <w:sz w:val="22"/>
                <w:szCs w:val="22"/>
                <w:lang w:eastAsia="zh-CN"/>
              </w:rPr>
              <w:t xml:space="preserve">BWP configured </w:t>
            </w:r>
            <w:r w:rsidR="00B26124">
              <w:rPr>
                <w:rFonts w:eastAsia="宋体"/>
                <w:sz w:val="22"/>
                <w:szCs w:val="22"/>
                <w:lang w:eastAsia="zh-CN"/>
              </w:rPr>
              <w:t xml:space="preserve">via SIBx can be used for all </w:t>
            </w:r>
            <w:r w:rsidR="005546AE">
              <w:rPr>
                <w:rFonts w:eastAsia="宋体"/>
                <w:sz w:val="22"/>
                <w:szCs w:val="22"/>
                <w:lang w:eastAsia="zh-CN"/>
              </w:rPr>
              <w:t xml:space="preserve">the </w:t>
            </w:r>
            <w:r w:rsidR="00B26124">
              <w:rPr>
                <w:rFonts w:eastAsia="宋体"/>
                <w:sz w:val="22"/>
                <w:szCs w:val="22"/>
                <w:lang w:eastAsia="zh-CN"/>
              </w:rPr>
              <w:t xml:space="preserve">cases. The </w:t>
            </w:r>
            <w:r w:rsidRPr="00476C1E">
              <w:rPr>
                <w:rFonts w:eastAsia="宋体"/>
                <w:sz w:val="22"/>
                <w:szCs w:val="22"/>
                <w:lang w:eastAsia="zh-CN"/>
              </w:rPr>
              <w:t>broadcast specific</w:t>
            </w:r>
            <w:r w:rsidRPr="00B26124">
              <w:rPr>
                <w:rFonts w:eastAsia="宋体"/>
                <w:sz w:val="22"/>
                <w:szCs w:val="22"/>
                <w:lang w:eastAsia="zh-CN"/>
              </w:rPr>
              <w:t xml:space="preserve"> </w:t>
            </w:r>
            <w:r w:rsidR="00B26124" w:rsidRPr="00B26124">
              <w:rPr>
                <w:rFonts w:eastAsia="宋体"/>
                <w:sz w:val="22"/>
                <w:szCs w:val="22"/>
                <w:lang w:eastAsia="zh-CN"/>
              </w:rPr>
              <w:t>BWP is identical to</w:t>
            </w:r>
            <w:r w:rsidR="00B26124">
              <w:rPr>
                <w:rFonts w:eastAsia="宋体"/>
                <w:sz w:val="22"/>
                <w:szCs w:val="22"/>
                <w:lang w:eastAsia="zh-CN"/>
              </w:rPr>
              <w:t xml:space="preserve"> </w:t>
            </w:r>
            <w:r w:rsidR="00B26124" w:rsidRPr="00B26124">
              <w:rPr>
                <w:rFonts w:eastAsia="宋体" w:hint="eastAsia"/>
                <w:sz w:val="22"/>
                <w:szCs w:val="22"/>
                <w:lang w:eastAsia="zh-CN"/>
              </w:rPr>
              <w:t>t</w:t>
            </w:r>
            <w:r w:rsidR="00B26124" w:rsidRPr="00B26124">
              <w:rPr>
                <w:rFonts w:eastAsia="宋体"/>
                <w:sz w:val="22"/>
                <w:szCs w:val="22"/>
                <w:lang w:eastAsia="zh-CN"/>
              </w:rPr>
              <w:t xml:space="preserve">he </w:t>
            </w:r>
            <w:r w:rsidR="00B26124" w:rsidRPr="00B26124">
              <w:rPr>
                <w:rFonts w:eastAsia="宋体" w:hint="eastAsia"/>
                <w:sz w:val="22"/>
                <w:szCs w:val="22"/>
                <w:lang w:eastAsia="zh-CN"/>
              </w:rPr>
              <w:t>DL</w:t>
            </w:r>
            <w:r w:rsidR="00B26124" w:rsidRPr="00B26124">
              <w:rPr>
                <w:rFonts w:eastAsia="宋体"/>
                <w:sz w:val="22"/>
                <w:szCs w:val="22"/>
                <w:lang w:eastAsia="zh-CN"/>
              </w:rPr>
              <w:t xml:space="preserve"> </w:t>
            </w:r>
            <w:r w:rsidR="00B26124" w:rsidRPr="00B26124">
              <w:rPr>
                <w:rFonts w:eastAsia="宋体" w:hint="eastAsia"/>
                <w:sz w:val="22"/>
                <w:szCs w:val="22"/>
                <w:lang w:eastAsia="zh-CN"/>
              </w:rPr>
              <w:t>initial BWP</w:t>
            </w:r>
            <w:r w:rsidR="00B26124">
              <w:rPr>
                <w:rFonts w:eastAsia="宋体"/>
                <w:sz w:val="22"/>
                <w:szCs w:val="22"/>
                <w:lang w:eastAsia="zh-CN"/>
              </w:rPr>
              <w:t xml:space="preserve"> in case C.</w:t>
            </w:r>
          </w:p>
        </w:tc>
      </w:tr>
      <w:tr w:rsidR="00AE6E7A" w14:paraId="692E90D5" w14:textId="77777777" w:rsidTr="0019023A">
        <w:trPr>
          <w:trHeight w:val="454"/>
        </w:trPr>
        <w:tc>
          <w:tcPr>
            <w:tcW w:w="1423" w:type="dxa"/>
          </w:tcPr>
          <w:p w14:paraId="0C0D30BB" w14:textId="6FE5F54D" w:rsidR="00AE6E7A" w:rsidRDefault="00AE6E7A" w:rsidP="00AE6E7A">
            <w:pPr>
              <w:spacing w:after="0"/>
              <w:jc w:val="center"/>
              <w:rPr>
                <w:rFonts w:eastAsia="宋体" w:hint="eastAsia"/>
                <w:sz w:val="22"/>
                <w:szCs w:val="22"/>
                <w:lang w:eastAsia="zh-CN"/>
              </w:rPr>
            </w:pPr>
            <w:bookmarkStart w:id="7" w:name="_GoBack" w:colFirst="0" w:colLast="0"/>
            <w:r>
              <w:rPr>
                <w:rFonts w:eastAsia="宋体" w:hint="eastAsia"/>
                <w:sz w:val="22"/>
                <w:szCs w:val="22"/>
                <w:lang w:eastAsia="zh-CN"/>
              </w:rPr>
              <w:t>O</w:t>
            </w:r>
            <w:r>
              <w:rPr>
                <w:rFonts w:eastAsia="宋体"/>
                <w:sz w:val="22"/>
                <w:szCs w:val="22"/>
                <w:lang w:eastAsia="zh-CN"/>
              </w:rPr>
              <w:t>PPO</w:t>
            </w:r>
          </w:p>
        </w:tc>
        <w:tc>
          <w:tcPr>
            <w:tcW w:w="2072" w:type="dxa"/>
          </w:tcPr>
          <w:p w14:paraId="7113219D" w14:textId="64008674" w:rsidR="00AE6E7A" w:rsidRDefault="00AE6E7A" w:rsidP="00AE6E7A">
            <w:pPr>
              <w:spacing w:after="0"/>
              <w:jc w:val="center"/>
              <w:rPr>
                <w:rFonts w:eastAsia="宋体" w:hint="eastAsia"/>
                <w:sz w:val="22"/>
                <w:szCs w:val="22"/>
                <w:lang w:eastAsia="zh-CN"/>
              </w:rPr>
            </w:pPr>
            <w:r>
              <w:rPr>
                <w:rFonts w:eastAsia="宋体"/>
                <w:sz w:val="22"/>
                <w:szCs w:val="22"/>
                <w:lang w:eastAsia="zh-CN"/>
              </w:rPr>
              <w:t xml:space="preserve">No </w:t>
            </w:r>
          </w:p>
        </w:tc>
        <w:tc>
          <w:tcPr>
            <w:tcW w:w="6134" w:type="dxa"/>
            <w:gridSpan w:val="2"/>
          </w:tcPr>
          <w:p w14:paraId="0332F72C" w14:textId="77777777" w:rsidR="00AE6E7A" w:rsidRDefault="00AE6E7A" w:rsidP="00AE6E7A">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14:paraId="05FD8045" w14:textId="5540FD18" w:rsidR="00AE6E7A" w:rsidRDefault="00AE6E7A" w:rsidP="00AE6E7A">
            <w:pPr>
              <w:spacing w:after="0"/>
              <w:rPr>
                <w:rFonts w:eastAsia="宋体"/>
                <w:sz w:val="22"/>
                <w:szCs w:val="22"/>
                <w:lang w:eastAsia="zh-CN"/>
              </w:rPr>
            </w:pPr>
            <w:r>
              <w:rPr>
                <w:rFonts w:eastAsia="宋体"/>
                <w:sz w:val="22"/>
                <w:szCs w:val="22"/>
                <w:lang w:eastAsia="zh-CN"/>
              </w:rPr>
              <w:lastRenderedPageBreak/>
              <w:t>Furthermore, UE will consider the cell as barred if the UE does not support initial BWP bandwidth. If case UE is support, how to define the UE bar behaviour?</w:t>
            </w:r>
          </w:p>
        </w:tc>
      </w:tr>
    </w:tbl>
    <w:bookmarkEnd w:id="7"/>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lastRenderedPageBreak/>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From gNB pointi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Huawei, HiSilicon</w:t>
      </w:r>
      <w:r w:rsidR="00A86B45">
        <w:rPr>
          <w:rFonts w:ascii="Times New Roman" w:hAnsi="Times New Roman" w:cs="Times New Roman"/>
          <w:sz w:val="22"/>
        </w:rPr>
        <w:t>.</w:t>
      </w:r>
    </w:p>
    <w:p w14:paraId="093F705B" w14:textId="25329DB7" w:rsidR="00590FCD" w:rsidRPr="004C5F43" w:rsidRDefault="00590FCD" w:rsidP="004C5F43">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ZTE, Sanechips</w:t>
      </w:r>
      <w:r w:rsidR="006C5AC9">
        <w:rPr>
          <w:rFonts w:ascii="Times New Roman" w:hAnsi="Times New Roman" w:cs="Times New Roman"/>
          <w:sz w:val="22"/>
        </w:rPr>
        <w:t>.</w:t>
      </w:r>
    </w:p>
    <w:p w14:paraId="48E9E8B4" w14:textId="0A8E6CF0" w:rsidR="0040578D" w:rsidRPr="003E6D24" w:rsidRDefault="0040578D" w:rsidP="003E6D24">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lastRenderedPageBreak/>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E42F" w14:textId="77777777" w:rsidR="0017117A" w:rsidRDefault="0017117A">
      <w:pPr>
        <w:spacing w:after="0" w:line="240" w:lineRule="auto"/>
      </w:pPr>
      <w:r>
        <w:separator/>
      </w:r>
    </w:p>
  </w:endnote>
  <w:endnote w:type="continuationSeparator" w:id="0">
    <w:p w14:paraId="1E2FA2B7" w14:textId="77777777" w:rsidR="0017117A" w:rsidRDefault="0017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EBFA" w14:textId="77777777" w:rsidR="0017117A" w:rsidRDefault="0017117A">
      <w:pPr>
        <w:spacing w:after="0" w:line="240" w:lineRule="auto"/>
      </w:pPr>
      <w:r>
        <w:separator/>
      </w:r>
    </w:p>
  </w:footnote>
  <w:footnote w:type="continuationSeparator" w:id="0">
    <w:p w14:paraId="53CBF4AC" w14:textId="77777777" w:rsidR="0017117A" w:rsidRDefault="0017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6F77DA8F-50B0-4114-8438-D6DBBE99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2503</Words>
  <Characters>14268</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OPPO-Shukun</cp:lastModifiedBy>
  <cp:revision>2</cp:revision>
  <cp:lastPrinted>1900-12-31T23:00:00Z</cp:lastPrinted>
  <dcterms:created xsi:type="dcterms:W3CDTF">2022-01-19T04:06:00Z</dcterms:created>
  <dcterms:modified xsi:type="dcterms:W3CDTF">2022-01-19T04:06:00Z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