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DF36F" w14:textId="1F4500D5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175810">
        <w:rPr>
          <w:sz w:val="24"/>
          <w:lang w:eastAsia="zh-CN"/>
        </w:rPr>
        <w:t>6bis</w:t>
      </w:r>
      <w:r w:rsidR="0051416A">
        <w:rPr>
          <w:sz w:val="24"/>
          <w:lang w:eastAsia="zh-CN"/>
        </w:rPr>
        <w:t>-e</w:t>
      </w:r>
      <w:r w:rsidR="004235B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BC4CE8" w:rsidRPr="00BC4CE8">
        <w:rPr>
          <w:bCs/>
          <w:noProof w:val="0"/>
          <w:sz w:val="24"/>
        </w:rPr>
        <w:t>R2-2200502</w:t>
      </w:r>
    </w:p>
    <w:p w14:paraId="2B60AF3C" w14:textId="59D9E335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175810" w:rsidRPr="00175810">
        <w:rPr>
          <w:b/>
          <w:sz w:val="24"/>
        </w:rPr>
        <w:t>17th-25th January 2022</w:t>
      </w:r>
    </w:p>
    <w:p w14:paraId="012E2D7F" w14:textId="34F52120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BF7B5E">
        <w:rPr>
          <w:rFonts w:ascii="Arial" w:hAnsi="Arial" w:cs="Arial"/>
          <w:bCs/>
          <w:sz w:val="24"/>
        </w:rPr>
        <w:t>8.6.1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5D6BE94D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8E0C44">
        <w:rPr>
          <w:rFonts w:ascii="Arial" w:hAnsi="Arial" w:cs="Arial"/>
          <w:bCs/>
          <w:sz w:val="24"/>
        </w:rPr>
        <w:t>UE capabilities for Rel-17 SDT WI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001A8E44" w14:textId="67F2DF20" w:rsidR="00EB410E" w:rsidRDefault="008E0C44" w:rsidP="00EB410E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This document </w:t>
      </w:r>
      <w:r w:rsidR="00DC3ED4">
        <w:rPr>
          <w:lang w:val="en-GB"/>
        </w:rPr>
        <w:t>discus</w:t>
      </w:r>
      <w:r w:rsidR="00B751EF">
        <w:rPr>
          <w:lang w:val="en-GB"/>
        </w:rPr>
        <w:t>se</w:t>
      </w:r>
      <w:r w:rsidR="00DC3ED4">
        <w:rPr>
          <w:lang w:val="en-GB"/>
        </w:rPr>
        <w:t xml:space="preserve">s the </w:t>
      </w:r>
      <w:r w:rsidR="00B751EF">
        <w:rPr>
          <w:lang w:val="en-GB"/>
        </w:rPr>
        <w:t xml:space="preserve">new </w:t>
      </w:r>
      <w:r w:rsidR="00DC3ED4">
        <w:rPr>
          <w:lang w:val="en-GB"/>
        </w:rPr>
        <w:t>UE</w:t>
      </w:r>
      <w:r w:rsidR="00B751EF">
        <w:rPr>
          <w:lang w:val="en-GB"/>
        </w:rPr>
        <w:t xml:space="preserve"> radio</w:t>
      </w:r>
      <w:r w:rsidR="00DC3ED4">
        <w:rPr>
          <w:lang w:val="en-GB"/>
        </w:rPr>
        <w:t xml:space="preserve"> capabilities required/desirable </w:t>
      </w:r>
      <w:r w:rsidR="00B751EF">
        <w:rPr>
          <w:lang w:val="en-GB"/>
        </w:rPr>
        <w:t>in relation to</w:t>
      </w:r>
      <w:r w:rsidR="00DC3ED4">
        <w:rPr>
          <w:lang w:val="en-GB"/>
        </w:rPr>
        <w:t xml:space="preserve"> Rel-17 SDT WI</w:t>
      </w:r>
      <w:r w:rsidR="00737985">
        <w:rPr>
          <w:lang w:val="en-GB"/>
        </w:rPr>
        <w:t xml:space="preserve"> </w:t>
      </w:r>
      <w:r w:rsidR="00737985">
        <w:rPr>
          <w:lang w:val="en-GB"/>
        </w:rPr>
        <w:fldChar w:fldCharType="begin"/>
      </w:r>
      <w:r w:rsidR="00737985">
        <w:rPr>
          <w:lang w:val="en-GB"/>
        </w:rPr>
        <w:instrText xml:space="preserve"> REF _Ref478150265 \r \h </w:instrText>
      </w:r>
      <w:r w:rsidR="00737985">
        <w:rPr>
          <w:lang w:val="en-GB"/>
        </w:rPr>
      </w:r>
      <w:r w:rsidR="00737985">
        <w:rPr>
          <w:lang w:val="en-GB"/>
        </w:rPr>
        <w:fldChar w:fldCharType="separate"/>
      </w:r>
      <w:r w:rsidR="003A6E25">
        <w:rPr>
          <w:lang w:val="en-GB"/>
        </w:rPr>
        <w:t>[1]</w:t>
      </w:r>
      <w:r w:rsidR="00737985">
        <w:rPr>
          <w:lang w:val="en-GB"/>
        </w:rPr>
        <w:fldChar w:fldCharType="end"/>
      </w:r>
      <w:r w:rsidR="00DC3ED4">
        <w:rPr>
          <w:lang w:val="en-GB"/>
        </w:rPr>
        <w:t xml:space="preserve">. 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2E50E8BA" w14:textId="619DD23F" w:rsidR="00EB410E" w:rsidRDefault="00943F3D" w:rsidP="00EB410E">
      <w:pPr>
        <w:jc w:val="both"/>
      </w:pPr>
      <w:r>
        <w:t xml:space="preserve">Rel-17 SDT WI </w:t>
      </w:r>
      <w:r w:rsidR="00F23D08">
        <w:rPr>
          <w:lang w:val="en-GB"/>
        </w:rPr>
        <w:t xml:space="preserve"> </w:t>
      </w:r>
      <w:r w:rsidR="00F23D08">
        <w:rPr>
          <w:lang w:val="en-GB"/>
        </w:rPr>
        <w:fldChar w:fldCharType="begin"/>
      </w:r>
      <w:r w:rsidR="00F23D08">
        <w:rPr>
          <w:lang w:val="en-GB"/>
        </w:rPr>
        <w:instrText xml:space="preserve"> REF _Ref478150265 \r \h </w:instrText>
      </w:r>
      <w:r w:rsidR="00F23D08">
        <w:rPr>
          <w:lang w:val="en-GB"/>
        </w:rPr>
      </w:r>
      <w:r w:rsidR="00F23D08">
        <w:rPr>
          <w:lang w:val="en-GB"/>
        </w:rPr>
        <w:fldChar w:fldCharType="separate"/>
      </w:r>
      <w:r w:rsidR="003A6E25">
        <w:rPr>
          <w:lang w:val="en-GB"/>
        </w:rPr>
        <w:t>[1]</w:t>
      </w:r>
      <w:r w:rsidR="00F23D08">
        <w:rPr>
          <w:lang w:val="en-GB"/>
        </w:rPr>
        <w:fldChar w:fldCharType="end"/>
      </w:r>
      <w:r w:rsidR="00F23D08">
        <w:rPr>
          <w:lang w:val="en-GB"/>
        </w:rPr>
        <w:t xml:space="preserve"> </w:t>
      </w:r>
      <w:r>
        <w:t>is def</w:t>
      </w:r>
      <w:r w:rsidR="003A45BB">
        <w:t xml:space="preserve">ining </w:t>
      </w:r>
      <w:r w:rsidR="00F23D08">
        <w:t xml:space="preserve">the following mechanisms </w:t>
      </w:r>
      <w:r w:rsidR="003A45BB">
        <w:t>for a UE in RRC_INACTIVE state</w:t>
      </w:r>
      <w:r w:rsidR="00F23D08">
        <w:t>:</w:t>
      </w:r>
    </w:p>
    <w:p w14:paraId="50B49E9B" w14:textId="5E6BEDB7" w:rsidR="00B67483" w:rsidRDefault="00B67483" w:rsidP="00B67483">
      <w:pPr>
        <w:pStyle w:val="ListParagraph"/>
        <w:numPr>
          <w:ilvl w:val="0"/>
          <w:numId w:val="8"/>
        </w:numPr>
        <w:spacing w:after="120"/>
        <w:contextualSpacing w:val="0"/>
        <w:jc w:val="both"/>
      </w:pPr>
      <w:r>
        <w:t>UL small data transmissions for RACH-based schemes</w:t>
      </w:r>
      <w:r w:rsidR="006A44DB">
        <w:t xml:space="preserve">, </w:t>
      </w:r>
      <w:proofErr w:type="gramStart"/>
      <w:r w:rsidR="006A44DB">
        <w:t>i.e.</w:t>
      </w:r>
      <w:proofErr w:type="gramEnd"/>
      <w:r w:rsidR="006A44DB">
        <w:t xml:space="preserve"> RA-SDT.</w:t>
      </w:r>
    </w:p>
    <w:p w14:paraId="465A9835" w14:textId="575DD753" w:rsidR="00852A9F" w:rsidRDefault="00B67483" w:rsidP="00B67483">
      <w:pPr>
        <w:pStyle w:val="ListParagraph"/>
        <w:numPr>
          <w:ilvl w:val="0"/>
          <w:numId w:val="8"/>
        </w:numPr>
        <w:spacing w:after="120"/>
        <w:contextualSpacing w:val="0"/>
        <w:jc w:val="both"/>
      </w:pPr>
      <w:r>
        <w:t>Transmission of UL data on pre-configured PUSCH resources</w:t>
      </w:r>
      <w:r w:rsidR="006A44DB">
        <w:t xml:space="preserve">, </w:t>
      </w:r>
      <w:proofErr w:type="gramStart"/>
      <w:r w:rsidR="006A44DB">
        <w:t>i.e.</w:t>
      </w:r>
      <w:proofErr w:type="gramEnd"/>
      <w:r w:rsidR="006A44DB">
        <w:t xml:space="preserve"> CG-SDT</w:t>
      </w:r>
      <w:r w:rsidR="00F23D08">
        <w:t>.</w:t>
      </w:r>
    </w:p>
    <w:p w14:paraId="1ECCA66D" w14:textId="05C1F3C9" w:rsidR="0042065E" w:rsidRDefault="00811AB0" w:rsidP="00B67483">
      <w:pPr>
        <w:jc w:val="both"/>
      </w:pPr>
      <w:r>
        <w:t>A</w:t>
      </w:r>
      <w:r w:rsidR="318B667B">
        <w:t xml:space="preserve"> </w:t>
      </w:r>
      <w:r w:rsidR="00BF7768">
        <w:t xml:space="preserve">single capability could be sufficient for UE to indicate the support of SDT feature. However, we understand that it might be preferable for a UE to indicate the support of each one </w:t>
      </w:r>
      <w:r>
        <w:t>separately with the</w:t>
      </w:r>
      <w:r w:rsidR="00A4448E">
        <w:t xml:space="preserve"> clarif</w:t>
      </w:r>
      <w:r w:rsidR="00A11DD2">
        <w:t>ication that to support Rel-17 SDT, UE has to support RA-SDT (</w:t>
      </w:r>
      <w:proofErr w:type="gramStart"/>
      <w:r w:rsidR="00A11DD2">
        <w:t>i.e.</w:t>
      </w:r>
      <w:proofErr w:type="gramEnd"/>
      <w:r w:rsidR="00A11DD2">
        <w:t xml:space="preserve"> a UE supporting CG-SDT has to always support RA-SDT).</w:t>
      </w:r>
    </w:p>
    <w:p w14:paraId="60A0A3C2" w14:textId="2DAFF87E" w:rsidR="00804A05" w:rsidRDefault="00A11DD2" w:rsidP="00852A9F">
      <w:pPr>
        <w:pStyle w:val="Proposal"/>
        <w:numPr>
          <w:ilvl w:val="0"/>
          <w:numId w:val="4"/>
        </w:numPr>
      </w:pPr>
      <w:bookmarkStart w:id="2" w:name="_Toc90892669"/>
      <w:bookmarkStart w:id="3" w:name="_Toc90892688"/>
      <w:bookmarkStart w:id="4" w:name="_Toc92398153"/>
      <w:bookmarkStart w:id="5" w:name="_Toc92482170"/>
      <w:bookmarkStart w:id="6" w:name="_Toc92717885"/>
      <w:bookmarkStart w:id="7" w:name="_Toc92719817"/>
      <w:r>
        <w:t xml:space="preserve">Two new </w:t>
      </w:r>
      <w:r w:rsidR="000508B8">
        <w:t xml:space="preserve">UE </w:t>
      </w:r>
      <w:r w:rsidR="00804A05">
        <w:t>capabilit</w:t>
      </w:r>
      <w:r w:rsidR="000508B8">
        <w:t>ies</w:t>
      </w:r>
      <w:r w:rsidR="00C25A13">
        <w:t xml:space="preserve"> </w:t>
      </w:r>
      <w:r w:rsidR="00804A05">
        <w:t>are defined</w:t>
      </w:r>
      <w:r w:rsidR="000508B8">
        <w:t xml:space="preserve"> as </w:t>
      </w:r>
      <w:r w:rsidR="000508B8" w:rsidRPr="00DE6A1D">
        <w:rPr>
          <w:rStyle w:val="normaltextrun"/>
          <w:rFonts w:eastAsia="Malgun Gothic"/>
          <w:lang w:val="en-US"/>
        </w:rPr>
        <w:t xml:space="preserve">‘optional with capability </w:t>
      </w:r>
      <w:proofErr w:type="spellStart"/>
      <w:r w:rsidR="000508B8" w:rsidRPr="00DE6A1D">
        <w:rPr>
          <w:rStyle w:val="normaltextrun"/>
          <w:rFonts w:eastAsia="Malgun Gothic"/>
          <w:lang w:val="en-US"/>
        </w:rPr>
        <w:t>signalling</w:t>
      </w:r>
      <w:proofErr w:type="spellEnd"/>
      <w:r w:rsidR="000508B8" w:rsidRPr="00DE6A1D">
        <w:rPr>
          <w:rStyle w:val="normaltextrun"/>
          <w:rFonts w:eastAsia="Malgun Gothic"/>
          <w:lang w:val="en-US"/>
        </w:rPr>
        <w:t>’</w:t>
      </w:r>
      <w:r w:rsidR="00804A05">
        <w:t xml:space="preserve"> for UE to indicate </w:t>
      </w:r>
      <w:r w:rsidR="000508B8">
        <w:t xml:space="preserve">its </w:t>
      </w:r>
      <w:r w:rsidR="00804A05">
        <w:t>support of RA-SDT and CG-SDT.</w:t>
      </w:r>
      <w:bookmarkEnd w:id="2"/>
      <w:bookmarkEnd w:id="3"/>
      <w:bookmarkEnd w:id="4"/>
      <w:bookmarkEnd w:id="5"/>
      <w:bookmarkEnd w:id="6"/>
      <w:bookmarkEnd w:id="7"/>
    </w:p>
    <w:p w14:paraId="4F961B68" w14:textId="2D1196E9" w:rsidR="00852A9F" w:rsidRDefault="00B14E6F" w:rsidP="00852A9F">
      <w:pPr>
        <w:pStyle w:val="Proposal"/>
        <w:numPr>
          <w:ilvl w:val="0"/>
          <w:numId w:val="4"/>
        </w:numPr>
      </w:pPr>
      <w:bookmarkStart w:id="8" w:name="_Toc90892670"/>
      <w:bookmarkStart w:id="9" w:name="_Toc90892689"/>
      <w:bookmarkStart w:id="10" w:name="_Toc92398154"/>
      <w:bookmarkStart w:id="11" w:name="_Toc92482171"/>
      <w:bookmarkStart w:id="12" w:name="_Toc92717886"/>
      <w:bookmarkStart w:id="13" w:name="_Toc92719818"/>
      <w:r>
        <w:t>To support Rel-17 SDT mechanism, UE shall always support RA-SDT,</w:t>
      </w:r>
      <w:r w:rsidR="00804A05">
        <w:t xml:space="preserve"> </w:t>
      </w:r>
      <w:proofErr w:type="gramStart"/>
      <w:r>
        <w:t>i.e.</w:t>
      </w:r>
      <w:proofErr w:type="gramEnd"/>
      <w:r>
        <w:t xml:space="preserve"> a UE supporting CG-SDT shall also support RA-SDT.</w:t>
      </w:r>
      <w:bookmarkEnd w:id="8"/>
      <w:bookmarkEnd w:id="9"/>
      <w:bookmarkEnd w:id="10"/>
      <w:bookmarkEnd w:id="11"/>
      <w:bookmarkEnd w:id="12"/>
      <w:bookmarkEnd w:id="13"/>
    </w:p>
    <w:p w14:paraId="0DF44E96" w14:textId="30FAACBC" w:rsidR="00852A9F" w:rsidRDefault="00B14E6F" w:rsidP="00EB410E">
      <w:pPr>
        <w:jc w:val="both"/>
      </w:pPr>
      <w:r>
        <w:t xml:space="preserve">In addition, it should be discussed whether any feature </w:t>
      </w:r>
      <w:proofErr w:type="gramStart"/>
      <w:r>
        <w:t>previous to</w:t>
      </w:r>
      <w:proofErr w:type="gramEnd"/>
      <w:r>
        <w:t xml:space="preserve"> Rel-</w:t>
      </w:r>
      <w:r w:rsidRPr="00B14E6F">
        <w:t xml:space="preserve">17 needs </w:t>
      </w:r>
      <w:r w:rsidR="00E66EFB">
        <w:t>additional/separate</w:t>
      </w:r>
      <w:r w:rsidRPr="00B14E6F">
        <w:t xml:space="preserve"> granularity </w:t>
      </w:r>
      <w:r w:rsidR="00543387">
        <w:t xml:space="preserve">in relation to UE’s capabilities when </w:t>
      </w:r>
      <w:r w:rsidR="006D53B5">
        <w:t xml:space="preserve">are </w:t>
      </w:r>
      <w:r w:rsidR="00543387">
        <w:t>combined/used with Rel-17</w:t>
      </w:r>
      <w:r w:rsidRPr="00B14E6F">
        <w:t xml:space="preserve"> SDT </w:t>
      </w:r>
      <w:r w:rsidR="00543387">
        <w:t>mechanism. For example:</w:t>
      </w:r>
    </w:p>
    <w:p w14:paraId="4E1E5708" w14:textId="52DCB96D" w:rsidR="00543387" w:rsidRDefault="00543387" w:rsidP="00543387">
      <w:pPr>
        <w:pStyle w:val="ListParagraph"/>
        <w:numPr>
          <w:ilvl w:val="0"/>
          <w:numId w:val="8"/>
        </w:numPr>
        <w:spacing w:after="120"/>
        <w:contextualSpacing w:val="0"/>
        <w:jc w:val="both"/>
      </w:pPr>
      <w:r>
        <w:t xml:space="preserve">For 2-step RACH, </w:t>
      </w:r>
      <w:proofErr w:type="gramStart"/>
      <w:r>
        <w:t>i.e.</w:t>
      </w:r>
      <w:proofErr w:type="gramEnd"/>
      <w:r>
        <w:t xml:space="preserve"> whether (a) we rely on legacy support of 2-step RACH </w:t>
      </w:r>
      <w:r w:rsidR="5DD3CFCE">
        <w:t>(</w:t>
      </w:r>
      <w:r w:rsidR="5DD3CFCE" w:rsidRPr="00AF762A">
        <w:rPr>
          <w:i/>
          <w:iCs/>
        </w:rPr>
        <w:t>twoStepRACH-r16</w:t>
      </w:r>
      <w:r w:rsidR="5DD3CFCE">
        <w:t xml:space="preserve">) </w:t>
      </w:r>
      <w:r>
        <w:t xml:space="preserve">or (b) new capabilities specific to 2-step RA-SDT is preferable (in which case we would define one for 2-step RA-SDT and another for 4-step RA-SDT). </w:t>
      </w:r>
    </w:p>
    <w:p w14:paraId="7CFDA08C" w14:textId="53730B65" w:rsidR="00543387" w:rsidRDefault="00543387" w:rsidP="00543387">
      <w:pPr>
        <w:pStyle w:val="ListParagraph"/>
        <w:numPr>
          <w:ilvl w:val="0"/>
          <w:numId w:val="8"/>
        </w:numPr>
        <w:spacing w:after="120"/>
        <w:contextualSpacing w:val="0"/>
        <w:jc w:val="both"/>
      </w:pPr>
      <w:r>
        <w:t>For SUL</w:t>
      </w:r>
      <w:r w:rsidR="009D4DC7">
        <w:t xml:space="preserve"> support for RACH</w:t>
      </w:r>
      <w:r w:rsidR="00C07384">
        <w:t>,</w:t>
      </w:r>
      <w:r>
        <w:t xml:space="preserve"> </w:t>
      </w:r>
      <w:proofErr w:type="gramStart"/>
      <w:r>
        <w:t>i.e.</w:t>
      </w:r>
      <w:proofErr w:type="gramEnd"/>
      <w:r>
        <w:t xml:space="preserve"> whether (a) we rely on legacy support of SUL</w:t>
      </w:r>
      <w:r w:rsidR="60FAECEF">
        <w:t xml:space="preserve"> (</w:t>
      </w:r>
      <w:r w:rsidR="60FAECEF" w:rsidRPr="00AF762A">
        <w:rPr>
          <w:i/>
          <w:iCs/>
        </w:rPr>
        <w:t>msgA-SUL-r16)</w:t>
      </w:r>
      <w:r>
        <w:t xml:space="preserve"> or (b) new capabilities specific to SUL for SDT is preferable. If (b) is preferable, we would need to discuss whether further differentiation is needed for SUL operation with RA-SDT and with CG-SDT.</w:t>
      </w:r>
    </w:p>
    <w:p w14:paraId="1074EFCF" w14:textId="446E6A5B" w:rsidR="00EB410E" w:rsidRDefault="00543387" w:rsidP="00EB410E">
      <w:pPr>
        <w:pStyle w:val="observ"/>
        <w:ind w:left="360"/>
      </w:pPr>
      <w:bookmarkStart w:id="14" w:name="_Toc465993148"/>
      <w:bookmarkStart w:id="15" w:name="_Toc462853490"/>
      <w:bookmarkStart w:id="16" w:name="_Toc462930826"/>
      <w:bookmarkStart w:id="17" w:name="_Toc462938408"/>
      <w:bookmarkStart w:id="18" w:name="_Toc462938714"/>
      <w:bookmarkStart w:id="19" w:name="_Toc462938967"/>
      <w:bookmarkStart w:id="20" w:name="_Toc463057435"/>
      <w:bookmarkStart w:id="21" w:name="_Toc463058225"/>
      <w:bookmarkStart w:id="22" w:name="_Toc463066583"/>
      <w:bookmarkStart w:id="23" w:name="_Toc465993149"/>
      <w:bookmarkStart w:id="24" w:name="_Toc477888237"/>
      <w:bookmarkStart w:id="25" w:name="_Toc478139319"/>
      <w:bookmarkStart w:id="26" w:name="_Toc478166233"/>
      <w:bookmarkStart w:id="27" w:name="_Toc478166344"/>
      <w:bookmarkStart w:id="28" w:name="_Toc528244345"/>
      <w:bookmarkStart w:id="29" w:name="_Toc22282240"/>
      <w:bookmarkStart w:id="30" w:name="_Toc22282242"/>
      <w:bookmarkStart w:id="31" w:name="_Toc22282353"/>
      <w:bookmarkStart w:id="32" w:name="_Toc46740186"/>
      <w:bookmarkStart w:id="33" w:name="_Toc46740241"/>
      <w:bookmarkStart w:id="34" w:name="_Toc90891061"/>
      <w:bookmarkStart w:id="35" w:name="_Toc90892662"/>
      <w:bookmarkStart w:id="36" w:name="_Toc92398208"/>
      <w:bookmarkStart w:id="37" w:name="_Toc92717882"/>
      <w:bookmarkStart w:id="38" w:name="_Toc92719816"/>
      <w:bookmarkEnd w:id="14"/>
      <w:r>
        <w:t>It is not clear whether different UE capacities might be needed for previous</w:t>
      </w:r>
      <w:r w:rsidR="004F2869">
        <w:t xml:space="preserve"> optional</w:t>
      </w:r>
      <w:r>
        <w:t xml:space="preserve"> Rel-17 features </w:t>
      </w:r>
      <w:r w:rsidR="006D53B5">
        <w:t xml:space="preserve">that can operate with Rel-17 SDT, for example for </w:t>
      </w:r>
      <w:r w:rsidR="00C657D8">
        <w:t>2-step RACH operation, or for SUL operation</w:t>
      </w:r>
      <w:r w:rsidR="00EB410E"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9967BA7" w14:textId="48EB39EB" w:rsidR="00DB01C0" w:rsidRDefault="00DB01C0" w:rsidP="00DB01C0">
      <w:pPr>
        <w:pStyle w:val="Proposal"/>
        <w:numPr>
          <w:ilvl w:val="0"/>
          <w:numId w:val="4"/>
        </w:numPr>
      </w:pPr>
      <w:bookmarkStart w:id="39" w:name="_Toc90892671"/>
      <w:bookmarkStart w:id="40" w:name="_Toc90892690"/>
      <w:bookmarkStart w:id="41" w:name="_Toc92398155"/>
      <w:bookmarkStart w:id="42" w:name="_Toc92482172"/>
      <w:bookmarkStart w:id="43" w:name="_Toc92717887"/>
      <w:bookmarkStart w:id="44" w:name="_Toc92719819"/>
      <w:r>
        <w:t xml:space="preserve">To discuss whether </w:t>
      </w:r>
      <w:r w:rsidR="002E6FDF">
        <w:t>any pre-Rel-17 features</w:t>
      </w:r>
      <w:r>
        <w:t xml:space="preserve"> </w:t>
      </w:r>
      <w:r w:rsidR="002E6FDF">
        <w:t>(</w:t>
      </w:r>
      <w:proofErr w:type="gramStart"/>
      <w:r w:rsidR="0018484B">
        <w:t>e</w:t>
      </w:r>
      <w:r w:rsidR="002E6FDF">
        <w:t>.g.</w:t>
      </w:r>
      <w:proofErr w:type="gramEnd"/>
      <w:r w:rsidR="002E6FDF">
        <w:t xml:space="preserve"> 2-step RACH or SUL) r</w:t>
      </w:r>
      <w:r w:rsidR="00823DCE">
        <w:t>equires additional/separate UE capabilities when used in combination to Rel-17 SDT mechanism</w:t>
      </w:r>
      <w:r>
        <w:t>.</w:t>
      </w:r>
      <w:bookmarkEnd w:id="39"/>
      <w:bookmarkEnd w:id="40"/>
      <w:bookmarkEnd w:id="41"/>
      <w:bookmarkEnd w:id="42"/>
      <w:bookmarkEnd w:id="43"/>
      <w:bookmarkEnd w:id="44"/>
    </w:p>
    <w:p w14:paraId="3A7DF374" w14:textId="1D8DD0EF" w:rsidR="005A0405" w:rsidRDefault="0041254F" w:rsidP="00EB410E">
      <w:pPr>
        <w:jc w:val="both"/>
        <w:rPr>
          <w:lang w:val="en-GB"/>
        </w:rPr>
      </w:pPr>
      <w:r>
        <w:rPr>
          <w:lang w:val="en-GB"/>
        </w:rPr>
        <w:t>It should also be discussed whether these new capabilities for SDT need to be different for FDD/TDD and FR1/FR2. In our view, there is no need to have this level of differentiation based on current functionality.</w:t>
      </w:r>
    </w:p>
    <w:p w14:paraId="3DBA9630" w14:textId="5AF2F9CD" w:rsidR="008E3EFA" w:rsidRDefault="008E3EFA" w:rsidP="008E3EFA">
      <w:pPr>
        <w:pStyle w:val="Proposal"/>
        <w:numPr>
          <w:ilvl w:val="0"/>
          <w:numId w:val="4"/>
        </w:numPr>
      </w:pPr>
      <w:bookmarkStart w:id="45" w:name="_Toc92398156"/>
      <w:bookmarkStart w:id="46" w:name="_Toc92482173"/>
      <w:bookmarkStart w:id="47" w:name="_Toc92717888"/>
      <w:bookmarkStart w:id="48" w:name="_Toc92719820"/>
      <w:r>
        <w:t>The new capabilities for SDT feature (</w:t>
      </w:r>
      <w:r w:rsidR="003521A3">
        <w:t>as defined in proposals 1 and 2) are</w:t>
      </w:r>
      <w:r w:rsidR="009A28C4">
        <w:t xml:space="preserve"> defined</w:t>
      </w:r>
      <w:r w:rsidR="003521A3">
        <w:t xml:space="preserve"> per UE and do not need </w:t>
      </w:r>
      <w:proofErr w:type="spellStart"/>
      <w:r w:rsidR="003521A3" w:rsidRPr="003521A3">
        <w:t>xDD</w:t>
      </w:r>
      <w:proofErr w:type="spellEnd"/>
      <w:r w:rsidR="003521A3" w:rsidRPr="003521A3">
        <w:t xml:space="preserve"> and </w:t>
      </w:r>
      <w:proofErr w:type="spellStart"/>
      <w:r w:rsidR="003521A3" w:rsidRPr="003521A3">
        <w:t>FRx</w:t>
      </w:r>
      <w:proofErr w:type="spellEnd"/>
      <w:r w:rsidR="003521A3" w:rsidRPr="003521A3">
        <w:t xml:space="preserve"> differentiation</w:t>
      </w:r>
      <w:r>
        <w:t>.</w:t>
      </w:r>
      <w:bookmarkEnd w:id="45"/>
      <w:bookmarkEnd w:id="46"/>
      <w:bookmarkEnd w:id="47"/>
      <w:bookmarkEnd w:id="48"/>
    </w:p>
    <w:p w14:paraId="2990B978" w14:textId="77777777" w:rsidR="005A0405" w:rsidRPr="00083BE4" w:rsidRDefault="005A0405" w:rsidP="00EB410E">
      <w:pPr>
        <w:jc w:val="both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lastRenderedPageBreak/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B5111CB" w14:textId="77777777" w:rsidR="00881100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881100" w:rsidRPr="00A41DF6">
        <w:rPr>
          <w:b/>
          <w:noProof/>
        </w:rPr>
        <w:t>Observation 1.</w:t>
      </w:r>
      <w:r w:rsidR="00881100">
        <w:rPr>
          <w:rFonts w:asciiTheme="minorHAnsi" w:eastAsiaTheme="minorEastAsia" w:hAnsiTheme="minorHAnsi" w:cstheme="minorBidi"/>
          <w:noProof/>
          <w:sz w:val="22"/>
        </w:rPr>
        <w:tab/>
      </w:r>
      <w:r w:rsidR="00881100">
        <w:rPr>
          <w:noProof/>
        </w:rPr>
        <w:t>It is not clear whether different UE capacities might be needed for previous optional Rel-17 features that can operate with Rel-17 SDT, for example for 2-step RACH operation, or for SUL operation.</w:t>
      </w:r>
    </w:p>
    <w:p w14:paraId="5239C8EE" w14:textId="40244268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7727190" w14:textId="77777777" w:rsidR="00881100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881100" w:rsidRPr="005C2FF2">
        <w:rPr>
          <w:b/>
          <w:noProof/>
        </w:rPr>
        <w:t>Proposal 1.</w:t>
      </w:r>
      <w:r w:rsidR="00881100">
        <w:rPr>
          <w:rFonts w:asciiTheme="minorHAnsi" w:eastAsiaTheme="minorEastAsia" w:hAnsiTheme="minorHAnsi" w:cstheme="minorBidi"/>
          <w:noProof/>
          <w:sz w:val="22"/>
        </w:rPr>
        <w:tab/>
      </w:r>
      <w:r w:rsidR="00881100">
        <w:rPr>
          <w:noProof/>
        </w:rPr>
        <w:t xml:space="preserve">Two new UE capabilities are defined as </w:t>
      </w:r>
      <w:r w:rsidR="00881100" w:rsidRPr="005C2FF2">
        <w:rPr>
          <w:rFonts w:eastAsia="Malgun Gothic"/>
          <w:noProof/>
        </w:rPr>
        <w:t>‘optional with capability signalling’</w:t>
      </w:r>
      <w:r w:rsidR="00881100">
        <w:rPr>
          <w:noProof/>
        </w:rPr>
        <w:t xml:space="preserve"> for UE to indicate its support of RA-SDT and CG-SDT.</w:t>
      </w:r>
    </w:p>
    <w:p w14:paraId="4C7B6379" w14:textId="77777777" w:rsidR="00881100" w:rsidRDefault="0088110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5C2FF2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To support Rel-17 SDT mechanism, UE shall always support RA-SDT, i.e. a UE supporting CG-SDT shall also support RA-SDT.</w:t>
      </w:r>
    </w:p>
    <w:p w14:paraId="34A401B5" w14:textId="77777777" w:rsidR="00881100" w:rsidRDefault="0088110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5C2FF2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To discuss whether any pre-Rel-17 features (e.g. 2-step RACH or SUL) requires additional/separate UE capabilities when used in combination to Rel-17 SDT mechanism.</w:t>
      </w:r>
    </w:p>
    <w:p w14:paraId="12E2540C" w14:textId="77777777" w:rsidR="00881100" w:rsidRDefault="0088110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5C2FF2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The new capabilities for SDT feature (as defined in proposals 1 and 2) are defined per UE and do not need xDD and FRx differentiation.</w:t>
      </w:r>
    </w:p>
    <w:p w14:paraId="5B182433" w14:textId="0FBF1B4A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49" w:name="_Ref434066290"/>
      <w:r>
        <w:t>Reference</w:t>
      </w:r>
      <w:bookmarkEnd w:id="49"/>
    </w:p>
    <w:p w14:paraId="355ADD30" w14:textId="3EC369BD" w:rsidR="00EB410E" w:rsidRDefault="00315074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50" w:name="_Ref478150265"/>
      <w:bookmarkEnd w:id="1"/>
      <w:r w:rsidRPr="00315074">
        <w:rPr>
          <w:rFonts w:ascii="Times New Roman" w:hAnsi="Times New Roman" w:cs="Times New Roman"/>
          <w:sz w:val="20"/>
        </w:rPr>
        <w:t>RP-212594</w:t>
      </w:r>
      <w:r>
        <w:rPr>
          <w:rFonts w:ascii="Times New Roman" w:hAnsi="Times New Roman" w:cs="Times New Roman"/>
          <w:sz w:val="20"/>
        </w:rPr>
        <w:t xml:space="preserve">, </w:t>
      </w:r>
      <w:r w:rsidR="00EF1E93" w:rsidRPr="00EF1E93">
        <w:rPr>
          <w:rFonts w:ascii="Times New Roman" w:hAnsi="Times New Roman" w:cs="Times New Roman"/>
          <w:sz w:val="20"/>
        </w:rPr>
        <w:t>Work Item on NR small data transmissions in INACTIVE state</w:t>
      </w:r>
      <w:r w:rsidR="00EF1E93">
        <w:rPr>
          <w:rFonts w:ascii="Times New Roman" w:hAnsi="Times New Roman" w:cs="Times New Roman"/>
          <w:sz w:val="20"/>
        </w:rPr>
        <w:t xml:space="preserve">, </w:t>
      </w:r>
      <w:r w:rsidR="00C5182D">
        <w:rPr>
          <w:rFonts w:ascii="Times New Roman" w:hAnsi="Times New Roman" w:cs="Times New Roman"/>
          <w:sz w:val="20"/>
        </w:rPr>
        <w:t>Rel-17</w:t>
      </w:r>
      <w:r w:rsidR="00737985">
        <w:rPr>
          <w:rFonts w:ascii="Times New Roman" w:hAnsi="Times New Roman" w:cs="Times New Roman"/>
          <w:sz w:val="20"/>
        </w:rPr>
        <w:t xml:space="preserve">, </w:t>
      </w:r>
      <w:r w:rsidR="00737985" w:rsidRPr="00737985">
        <w:rPr>
          <w:rFonts w:ascii="Times New Roman" w:hAnsi="Times New Roman" w:cs="Times New Roman"/>
          <w:sz w:val="20"/>
        </w:rPr>
        <w:t>ZTE Corporation</w:t>
      </w:r>
      <w:r w:rsidR="00EB410E">
        <w:rPr>
          <w:rFonts w:ascii="Times New Roman" w:hAnsi="Times New Roman" w:cs="Times New Roman"/>
          <w:sz w:val="20"/>
        </w:rPr>
        <w:t>.</w:t>
      </w:r>
      <w:bookmarkEnd w:id="50"/>
    </w:p>
    <w:p w14:paraId="79E4382D" w14:textId="77777777" w:rsidR="00EB410E" w:rsidRPr="00084073" w:rsidRDefault="00EB410E" w:rsidP="00EB410E">
      <w:pPr>
        <w:rPr>
          <w:lang w:val="en-GB" w:eastAsia="en-GB"/>
        </w:rPr>
      </w:pPr>
    </w:p>
    <w:p w14:paraId="434C09F6" w14:textId="77777777" w:rsidR="00A4565C" w:rsidRPr="00EB410E" w:rsidRDefault="00A4565C">
      <w:pPr>
        <w:rPr>
          <w:lang w:val="en-GB"/>
        </w:rPr>
      </w:pPr>
    </w:p>
    <w:sectPr w:rsidR="00A4565C" w:rsidRPr="00EB410E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88E1B" w14:textId="77777777" w:rsidR="00916728" w:rsidRDefault="00916728" w:rsidP="00D42362">
      <w:pPr>
        <w:spacing w:after="0"/>
      </w:pPr>
      <w:r>
        <w:separator/>
      </w:r>
    </w:p>
  </w:endnote>
  <w:endnote w:type="continuationSeparator" w:id="0">
    <w:p w14:paraId="3F79DA40" w14:textId="77777777" w:rsidR="00916728" w:rsidRDefault="00916728" w:rsidP="00D42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B8336" w14:textId="77777777" w:rsidR="00916728" w:rsidRDefault="00916728" w:rsidP="00D42362">
      <w:pPr>
        <w:spacing w:after="0"/>
      </w:pPr>
      <w:r>
        <w:separator/>
      </w:r>
    </w:p>
  </w:footnote>
  <w:footnote w:type="continuationSeparator" w:id="0">
    <w:p w14:paraId="0E7D4092" w14:textId="77777777" w:rsidR="00916728" w:rsidRDefault="00916728" w:rsidP="00D42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83270"/>
    <w:multiLevelType w:val="hybridMultilevel"/>
    <w:tmpl w:val="86504BC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707D2"/>
    <w:multiLevelType w:val="hybridMultilevel"/>
    <w:tmpl w:val="16C4D31E"/>
    <w:lvl w:ilvl="0" w:tplc="3BE04D76">
      <w:numFmt w:val="bullet"/>
      <w:lvlText w:val=""/>
      <w:lvlJc w:val="left"/>
      <w:pPr>
        <w:ind w:left="1080" w:hanging="7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508B8"/>
    <w:rsid w:val="001069E2"/>
    <w:rsid w:val="00125CE0"/>
    <w:rsid w:val="00175810"/>
    <w:rsid w:val="00183553"/>
    <w:rsid w:val="0018484B"/>
    <w:rsid w:val="001D136B"/>
    <w:rsid w:val="002E6FDF"/>
    <w:rsid w:val="002F1C7B"/>
    <w:rsid w:val="0030391C"/>
    <w:rsid w:val="00315074"/>
    <w:rsid w:val="003521A3"/>
    <w:rsid w:val="00393F1E"/>
    <w:rsid w:val="00395E4E"/>
    <w:rsid w:val="003A45BB"/>
    <w:rsid w:val="003A6AE5"/>
    <w:rsid w:val="003A6E25"/>
    <w:rsid w:val="0041254F"/>
    <w:rsid w:val="0042065E"/>
    <w:rsid w:val="0042215A"/>
    <w:rsid w:val="00422D52"/>
    <w:rsid w:val="004235BF"/>
    <w:rsid w:val="00466831"/>
    <w:rsid w:val="004A5AF1"/>
    <w:rsid w:val="004C6014"/>
    <w:rsid w:val="004F2869"/>
    <w:rsid w:val="0051416A"/>
    <w:rsid w:val="00543387"/>
    <w:rsid w:val="0054419F"/>
    <w:rsid w:val="00576836"/>
    <w:rsid w:val="005A0405"/>
    <w:rsid w:val="005C195E"/>
    <w:rsid w:val="005D11BF"/>
    <w:rsid w:val="005E5E8D"/>
    <w:rsid w:val="005F77BE"/>
    <w:rsid w:val="006A44DB"/>
    <w:rsid w:val="006C6D8B"/>
    <w:rsid w:val="006D53B5"/>
    <w:rsid w:val="006E70D7"/>
    <w:rsid w:val="00702959"/>
    <w:rsid w:val="00723F24"/>
    <w:rsid w:val="007342AA"/>
    <w:rsid w:val="00737985"/>
    <w:rsid w:val="00772B59"/>
    <w:rsid w:val="007C6038"/>
    <w:rsid w:val="007F4E67"/>
    <w:rsid w:val="00804A05"/>
    <w:rsid w:val="00811AB0"/>
    <w:rsid w:val="00822DBB"/>
    <w:rsid w:val="00823DCE"/>
    <w:rsid w:val="008359E9"/>
    <w:rsid w:val="00852485"/>
    <w:rsid w:val="00852A9F"/>
    <w:rsid w:val="00881100"/>
    <w:rsid w:val="008B56A6"/>
    <w:rsid w:val="008E0C44"/>
    <w:rsid w:val="008E3EFA"/>
    <w:rsid w:val="00916728"/>
    <w:rsid w:val="0093337F"/>
    <w:rsid w:val="00943F3D"/>
    <w:rsid w:val="00962CF9"/>
    <w:rsid w:val="009A28C4"/>
    <w:rsid w:val="009B5BFC"/>
    <w:rsid w:val="009D4DC7"/>
    <w:rsid w:val="00A11DD2"/>
    <w:rsid w:val="00A4448E"/>
    <w:rsid w:val="00A4565C"/>
    <w:rsid w:val="00A839CE"/>
    <w:rsid w:val="00AD0208"/>
    <w:rsid w:val="00AF762A"/>
    <w:rsid w:val="00B14E6F"/>
    <w:rsid w:val="00B304C9"/>
    <w:rsid w:val="00B67483"/>
    <w:rsid w:val="00B751EF"/>
    <w:rsid w:val="00BC4CE8"/>
    <w:rsid w:val="00BF7768"/>
    <w:rsid w:val="00BF7B5E"/>
    <w:rsid w:val="00C058D9"/>
    <w:rsid w:val="00C07384"/>
    <w:rsid w:val="00C25A13"/>
    <w:rsid w:val="00C5182D"/>
    <w:rsid w:val="00C643E9"/>
    <w:rsid w:val="00C657D8"/>
    <w:rsid w:val="00C67049"/>
    <w:rsid w:val="00CA4F30"/>
    <w:rsid w:val="00CD5B61"/>
    <w:rsid w:val="00D16713"/>
    <w:rsid w:val="00D42362"/>
    <w:rsid w:val="00D4630E"/>
    <w:rsid w:val="00DB01C0"/>
    <w:rsid w:val="00DB614A"/>
    <w:rsid w:val="00DC2376"/>
    <w:rsid w:val="00DC3ED4"/>
    <w:rsid w:val="00DF7E0D"/>
    <w:rsid w:val="00E367F2"/>
    <w:rsid w:val="00E66EFB"/>
    <w:rsid w:val="00EB410E"/>
    <w:rsid w:val="00ED7D99"/>
    <w:rsid w:val="00EE4BA3"/>
    <w:rsid w:val="00EF1E93"/>
    <w:rsid w:val="00EF7CDF"/>
    <w:rsid w:val="00F03C36"/>
    <w:rsid w:val="00F23D08"/>
    <w:rsid w:val="00F67062"/>
    <w:rsid w:val="00F73A55"/>
    <w:rsid w:val="00F84281"/>
    <w:rsid w:val="00FE1982"/>
    <w:rsid w:val="00FE4D83"/>
    <w:rsid w:val="015D46B4"/>
    <w:rsid w:val="097F192B"/>
    <w:rsid w:val="17542B98"/>
    <w:rsid w:val="18022D53"/>
    <w:rsid w:val="2EE97B2B"/>
    <w:rsid w:val="318B667B"/>
    <w:rsid w:val="31B1FC25"/>
    <w:rsid w:val="352F6C08"/>
    <w:rsid w:val="3F492870"/>
    <w:rsid w:val="40F14E97"/>
    <w:rsid w:val="45CECFCA"/>
    <w:rsid w:val="55D67B44"/>
    <w:rsid w:val="57B4800D"/>
    <w:rsid w:val="5DD3CFCE"/>
    <w:rsid w:val="60FAECEF"/>
    <w:rsid w:val="6D78AF90"/>
    <w:rsid w:val="7EA0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F38BCD3"/>
  <w15:chartTrackingRefBased/>
  <w15:docId w15:val="{BD48A5C3-001A-481B-B650-27254EB0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748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4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4DC7"/>
    <w:rPr>
      <w:rFonts w:ascii="Times New Roman" w:eastAsia="SimSun" w:hAnsi="Times New Roman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962C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62CF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50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BF785B-CDB7-407A-88B5-C903975DB0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4B47E6-7B23-4682-BA03-66DBE21C3FDA}">
  <ds:schemaRefs>
    <ds:schemaRef ds:uri="http://www.w3.org/XML/1998/namespace"/>
    <ds:schemaRef ds:uri="http://purl.org/dc/terms/"/>
    <ds:schemaRef ds:uri="http://schemas.microsoft.com/office/infopath/2007/PartnerControls"/>
    <ds:schemaRef ds:uri="042397af-7977-45ef-9118-11c18c8623b6"/>
    <ds:schemaRef ds:uri="http://purl.org/dc/elements/1.1/"/>
    <ds:schemaRef ds:uri="http://schemas.microsoft.com/office/2006/documentManagement/types"/>
    <ds:schemaRef ds:uri="80530660-24fd-4391-a7a1-d653900fee43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98AF8F4-A88E-46FE-B2E3-ECCE6A5A0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2AAAC7-840B-48D9-B650-B3DF93FBE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</cp:lastModifiedBy>
  <cp:revision>63</cp:revision>
  <dcterms:created xsi:type="dcterms:W3CDTF">2021-12-20T19:07:00Z</dcterms:created>
  <dcterms:modified xsi:type="dcterms:W3CDTF">2022-01-10T23:10:00Z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