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b/>
          <w:kern w:val="2"/>
          <w:sz w:val="24"/>
          <w:szCs w:val="21"/>
          <w:highlight w:val="none"/>
          <w:lang w:val="en-US" w:eastAsia="zh-CN"/>
        </w:rPr>
      </w:pPr>
      <w:bookmarkStart w:id="0" w:name="_Toc18413600"/>
      <w:bookmarkStart w:id="1" w:name="_Toc18404533"/>
      <w:bookmarkStart w:id="2" w:name="_Toc18403966"/>
      <w:r>
        <w:rPr>
          <w:rFonts w:ascii="Times New Roman" w:hAnsi="Times New Roman"/>
          <w:b/>
          <w:sz w:val="24"/>
          <w:highlight w:val="none"/>
        </w:rPr>
        <w:t>3GPP TSG-RAN WG2 Meeting #</w:t>
      </w:r>
      <w:r>
        <w:rPr>
          <w:rFonts w:ascii="Times New Roman" w:hAnsi="Times New Roman"/>
          <w:b/>
          <w:sz w:val="24"/>
          <w:highlight w:val="none"/>
          <w:lang w:eastAsia="zh-CN"/>
        </w:rPr>
        <w:t>1</w:t>
      </w:r>
      <w:r>
        <w:rPr>
          <w:rFonts w:hint="eastAsia" w:ascii="Times New Roman" w:hAnsi="Times New Roman"/>
          <w:b/>
          <w:sz w:val="24"/>
          <w:highlight w:val="none"/>
          <w:lang w:val="en-US" w:eastAsia="zh-CN"/>
        </w:rPr>
        <w:t>1</w:t>
      </w:r>
      <w:r>
        <w:rPr>
          <w:rFonts w:ascii="Times New Roman" w:hAnsi="Times New Roman"/>
          <w:b/>
          <w:sz w:val="24"/>
          <w:highlight w:val="none"/>
          <w:lang w:val="en-US" w:eastAsia="zh-CN"/>
        </w:rPr>
        <w:t>6bis</w:t>
      </w:r>
      <w:r>
        <w:rPr>
          <w:rFonts w:hint="eastAsia" w:ascii="Times New Roman" w:hAnsi="Times New Roman"/>
          <w:b/>
          <w:sz w:val="24"/>
          <w:highlight w:val="none"/>
          <w:lang w:val="en-US" w:eastAsia="zh-CN"/>
        </w:rPr>
        <w:t>-e</w:t>
      </w:r>
      <w:r>
        <w:rPr>
          <w:rFonts w:ascii="Times New Roman" w:hAnsi="Times New Roman"/>
          <w:b/>
          <w:i/>
          <w:sz w:val="24"/>
          <w:highlight w:val="none"/>
        </w:rPr>
        <w:t xml:space="preserve"> </w:t>
      </w:r>
      <w:r>
        <w:rPr>
          <w:rFonts w:ascii="Times New Roman" w:hAnsi="Times New Roman"/>
          <w:b/>
          <w:i/>
          <w:sz w:val="24"/>
          <w:highlight w:val="none"/>
          <w:lang w:val="en-US" w:eastAsia="zh-CN"/>
        </w:rPr>
        <w:t xml:space="preserve">                       </w:t>
      </w:r>
      <w:r>
        <w:rPr>
          <w:rFonts w:hint="eastAsia"/>
          <w:b/>
          <w:kern w:val="2"/>
          <w:sz w:val="24"/>
          <w:szCs w:val="21"/>
          <w:highlight w:val="none"/>
          <w:lang w:val="en-US" w:eastAsia="zh-CN"/>
        </w:rPr>
        <w:t xml:space="preserve"> R2-2200268</w:t>
      </w:r>
    </w:p>
    <w:p>
      <w:pPr>
        <w:pStyle w:val="286"/>
        <w:rPr>
          <w:rFonts w:cs="Arial"/>
          <w:bCs/>
          <w:kern w:val="0"/>
          <w:sz w:val="28"/>
          <w:szCs w:val="28"/>
          <w:highlight w:val="none"/>
        </w:rPr>
      </w:pPr>
      <w:r>
        <w:rPr>
          <w:highlight w:val="none"/>
        </w:rPr>
        <w:t xml:space="preserve">Electronic meeting, </w:t>
      </w:r>
      <w:r>
        <w:rPr>
          <w:rFonts w:hint="eastAsia"/>
          <w:highlight w:val="none"/>
          <w:lang w:val="en-US" w:eastAsia="zh-CN"/>
        </w:rPr>
        <w:t>17 Jan</w:t>
      </w:r>
      <w:r>
        <w:rPr>
          <w:highlight w:val="none"/>
        </w:rPr>
        <w:t xml:space="preserve"> – </w:t>
      </w:r>
      <w:r>
        <w:rPr>
          <w:rFonts w:hint="eastAsia" w:eastAsia="宋体"/>
          <w:highlight w:val="none"/>
          <w:lang w:val="en-US" w:eastAsia="zh-CN"/>
        </w:rPr>
        <w:t>2</w:t>
      </w:r>
      <w:r>
        <w:rPr>
          <w:rFonts w:hint="default" w:eastAsia="宋体"/>
          <w:highlight w:val="none"/>
          <w:lang w:val="en-US" w:eastAsia="zh-CN"/>
        </w:rPr>
        <w:t>5</w:t>
      </w:r>
      <w:r>
        <w:rPr>
          <w:highlight w:val="none"/>
        </w:rPr>
        <w:t xml:space="preserve"> </w:t>
      </w:r>
      <w:r>
        <w:rPr>
          <w:rFonts w:hint="eastAsia"/>
          <w:highlight w:val="none"/>
          <w:lang w:val="en-US" w:eastAsia="zh-CN"/>
        </w:rPr>
        <w:t>Jan</w:t>
      </w:r>
      <w:r>
        <w:rPr>
          <w:rFonts w:hint="eastAsia" w:eastAsia="宋体"/>
          <w:highlight w:val="none"/>
          <w:lang w:val="en-US" w:eastAsia="zh-CN"/>
        </w:rPr>
        <w:t xml:space="preserve"> </w:t>
      </w:r>
      <w:r>
        <w:rPr>
          <w:highlight w:val="none"/>
        </w:rPr>
        <w:t>202</w:t>
      </w:r>
      <w:r>
        <w:rPr>
          <w:rFonts w:hint="eastAsia"/>
          <w:highlight w:val="none"/>
          <w:lang w:val="en-US" w:eastAsia="zh-CN"/>
        </w:rPr>
        <w:t>2</w:t>
      </w:r>
      <w:r>
        <w:rPr>
          <w:rFonts w:cs="Arial"/>
          <w:bCs/>
          <w:kern w:val="0"/>
          <w:sz w:val="28"/>
          <w:szCs w:val="28"/>
          <w:highlight w:val="none"/>
        </w:rPr>
        <w:tab/>
      </w:r>
      <w:r>
        <w:rPr>
          <w:rFonts w:cs="Arial"/>
          <w:bCs/>
          <w:kern w:val="0"/>
          <w:sz w:val="28"/>
          <w:szCs w:val="28"/>
          <w:highlight w:val="none"/>
        </w:rPr>
        <w:t xml:space="preserve">      </w:t>
      </w:r>
      <w:r>
        <w:rPr>
          <w:rFonts w:cs="Arial"/>
          <w:bCs/>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b/>
          <w:sz w:val="24"/>
          <w:highlight w:val="none"/>
          <w:lang w:val="en-US"/>
        </w:rPr>
      </w:pPr>
      <w:r>
        <w:rPr>
          <w:b/>
          <w:sz w:val="24"/>
          <w:highlight w:val="none"/>
        </w:rPr>
        <w:t xml:space="preserve">Title: </w:t>
      </w:r>
      <w:r>
        <w:rPr>
          <w:b/>
          <w:sz w:val="24"/>
          <w:highlight w:val="none"/>
        </w:rPr>
        <w:tab/>
      </w:r>
      <w:bookmarkStart w:id="4" w:name="OLE_LINK2"/>
      <w:bookmarkStart w:id="5" w:name="OLE_LINK5"/>
      <w:r>
        <w:rPr>
          <w:rFonts w:hint="eastAsia"/>
          <w:b/>
          <w:sz w:val="24"/>
          <w:highlight w:val="none"/>
          <w:lang w:val="en-US" w:eastAsia="zh-CN"/>
        </w:rPr>
        <w:t>Discussion on</w:t>
      </w:r>
      <w:bookmarkEnd w:id="4"/>
      <w:bookmarkEnd w:id="5"/>
      <w:r>
        <w:rPr>
          <w:rFonts w:hint="eastAsia"/>
          <w:b/>
          <w:sz w:val="24"/>
          <w:highlight w:val="none"/>
          <w:lang w:val="en-US" w:eastAsia="zh-CN"/>
        </w:rPr>
        <w:t xml:space="preserve"> </w:t>
      </w:r>
      <w:r>
        <w:rPr>
          <w:b/>
          <w:sz w:val="24"/>
          <w:highlight w:val="none"/>
          <w:lang w:val="en-US" w:eastAsia="zh-CN"/>
        </w:rPr>
        <w:t>RAN Visible QoE</w:t>
      </w:r>
      <w:r>
        <w:rPr>
          <w:rFonts w:hint="eastAsia"/>
          <w:b/>
          <w:sz w:val="24"/>
          <w:highlight w:val="none"/>
          <w:lang w:val="en-US" w:eastAsia="zh-CN"/>
        </w:rPr>
        <w:t xml:space="preserve">  </w:t>
      </w:r>
    </w:p>
    <w:p>
      <w:pPr>
        <w:overflowPunct w:val="0"/>
        <w:autoSpaceDE w:val="0"/>
        <w:autoSpaceDN w:val="0"/>
        <w:adjustRightInd w:val="0"/>
        <w:snapToGrid w:val="0"/>
        <w:jc w:val="left"/>
        <w:textAlignment w:val="baseline"/>
        <w:rPr>
          <w:rFonts w:hint="default"/>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z w:val="24"/>
          <w:highlight w:val="none"/>
          <w:lang w:val="en-US" w:eastAsia="zh-CN"/>
        </w:rPr>
        <w:t>8.14.2</w:t>
      </w:r>
      <w:r>
        <w:rPr>
          <w:rFonts w:hint="default"/>
          <w:b/>
          <w:sz w:val="24"/>
          <w:highlight w:val="none"/>
          <w:lang w:val="en-US" w:eastAsia="zh-CN"/>
        </w:rPr>
        <w:t xml:space="preserve"> </w:t>
      </w:r>
      <w:bookmarkStart w:id="12" w:name="_GoBack"/>
      <w:bookmarkEnd w:id="12"/>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rPr>
          <w:rFonts w:eastAsia="宋体" w:cs="Arial"/>
          <w:lang w:val="en-US" w:eastAsia="zh-CN"/>
        </w:rPr>
      </w:pPr>
      <w:r>
        <w:rPr>
          <w:rFonts w:hint="eastAsia" w:eastAsia="宋体" w:cs="Arial"/>
          <w:lang w:val="en-US" w:eastAsia="zh-CN"/>
        </w:rPr>
        <w:t>Below agreements about NR QoE configuration have been made by companies in RAN2#11</w:t>
      </w:r>
      <w:r>
        <w:rPr>
          <w:rFonts w:eastAsia="宋体" w:cs="Arial"/>
          <w:lang w:val="en-US" w:eastAsia="zh-CN"/>
        </w:rPr>
        <w:t>6_</w:t>
      </w:r>
      <w:r>
        <w:rPr>
          <w:rFonts w:hint="eastAsia" w:eastAsia="宋体" w:cs="Arial"/>
          <w:lang w:val="en-US" w:eastAsia="zh-CN"/>
        </w:rPr>
        <w:t>e[1]:</w:t>
      </w:r>
    </w:p>
    <w:p>
      <w:pPr>
        <w:pBdr>
          <w:top w:val="single" w:color="auto" w:sz="4" w:space="1"/>
          <w:left w:val="single" w:color="auto" w:sz="4" w:space="4"/>
          <w:bottom w:val="single" w:color="auto" w:sz="4" w:space="1"/>
          <w:right w:val="single" w:color="auto" w:sz="4" w:space="4"/>
        </w:pBdr>
        <w:rPr>
          <w:rFonts w:eastAsia="宋体" w:cs="Arial"/>
          <w:lang w:eastAsia="zh-CN"/>
        </w:rPr>
      </w:pPr>
      <w:r>
        <w:rPr>
          <w:rFonts w:eastAsia="宋体" w:cs="Arial"/>
          <w:lang w:val="en-US" w:eastAsia="zh-CN"/>
        </w:rPr>
        <w:t>=&gt;</w:t>
      </w:r>
      <w:r>
        <w:rPr>
          <w:rFonts w:eastAsia="宋体" w:cs="Arial"/>
          <w:lang w:eastAsia="zh-CN"/>
        </w:rPr>
        <w:t>RAN2 assumes that RAN2 is responsible to define the procedure to support RVQOE configuration and reporting, and leave the definition of RAN QoE metrics and what should be included in RVQOE configuration and report to other WGs, e.g. RAN3, SA4.</w:t>
      </w:r>
    </w:p>
    <w:p>
      <w:pPr>
        <w:pBdr>
          <w:top w:val="single" w:color="auto" w:sz="4" w:space="1"/>
          <w:left w:val="single" w:color="auto" w:sz="4" w:space="4"/>
          <w:bottom w:val="single" w:color="auto" w:sz="4" w:space="1"/>
          <w:right w:val="single" w:color="auto" w:sz="4" w:space="4"/>
        </w:pBdr>
        <w:rPr>
          <w:rFonts w:eastAsia="宋体" w:cs="Arial"/>
          <w:lang w:eastAsia="zh-CN"/>
        </w:rPr>
      </w:pPr>
      <w:r>
        <w:rPr>
          <w:rFonts w:eastAsia="宋体" w:cs="Arial"/>
          <w:lang w:eastAsia="zh-CN"/>
        </w:rPr>
        <w:t>=&gt;RAN2 confirms the following is feasible from RAN2 point of view.</w:t>
      </w:r>
    </w:p>
    <w:p>
      <w:pPr>
        <w:pBdr>
          <w:top w:val="single" w:color="auto" w:sz="4" w:space="1"/>
          <w:left w:val="single" w:color="auto" w:sz="4" w:space="4"/>
          <w:bottom w:val="single" w:color="auto" w:sz="4" w:space="1"/>
          <w:right w:val="single" w:color="auto" w:sz="4" w:space="4"/>
        </w:pBdr>
        <w:rPr>
          <w:rFonts w:eastAsia="宋体" w:cs="Arial"/>
          <w:lang w:eastAsia="zh-CN"/>
        </w:rPr>
      </w:pPr>
      <w:r>
        <w:rPr>
          <w:rFonts w:eastAsia="宋体" w:cs="Arial"/>
          <w:lang w:eastAsia="zh-CN"/>
        </w:rPr>
        <w:t>It is feasible to configure RVQOE using explicit RRC IEs</w:t>
      </w:r>
    </w:p>
    <w:p>
      <w:pPr>
        <w:pBdr>
          <w:top w:val="single" w:color="auto" w:sz="4" w:space="1"/>
          <w:left w:val="single" w:color="auto" w:sz="4" w:space="4"/>
          <w:bottom w:val="single" w:color="auto" w:sz="4" w:space="1"/>
          <w:right w:val="single" w:color="auto" w:sz="4" w:space="4"/>
        </w:pBdr>
        <w:rPr>
          <w:rFonts w:eastAsia="宋体" w:cs="Arial"/>
          <w:lang w:eastAsia="zh-CN"/>
        </w:rPr>
      </w:pPr>
      <w:r>
        <w:rPr>
          <w:rFonts w:eastAsia="宋体" w:cs="Arial"/>
          <w:lang w:eastAsia="zh-CN"/>
        </w:rPr>
        <w:t>Multiple simultaneous QoE measurements can be supported for RVQOE.  Each RVQOE measurement configuration is identified by the MeasConfigAppLayerId (or change to another generic term) corresponding to the regular QoE configuration.</w:t>
      </w:r>
    </w:p>
    <w:p>
      <w:pPr>
        <w:pBdr>
          <w:top w:val="single" w:color="auto" w:sz="4" w:space="1"/>
          <w:left w:val="single" w:color="auto" w:sz="4" w:space="4"/>
          <w:bottom w:val="single" w:color="auto" w:sz="4" w:space="1"/>
          <w:right w:val="single" w:color="auto" w:sz="4" w:space="4"/>
        </w:pBdr>
        <w:rPr>
          <w:rFonts w:eastAsia="宋体" w:cs="Arial"/>
          <w:lang w:eastAsia="zh-CN"/>
        </w:rPr>
      </w:pPr>
      <w:r>
        <w:rPr>
          <w:rFonts w:eastAsia="宋体" w:cs="Arial"/>
          <w:lang w:eastAsia="zh-CN"/>
        </w:rPr>
        <w:t>UE RRC layer forwards the received RVQOE configuration to the upper (application) layer, indicating the service type.</w:t>
      </w:r>
    </w:p>
    <w:p>
      <w:pPr>
        <w:pBdr>
          <w:top w:val="single" w:color="auto" w:sz="4" w:space="1"/>
          <w:left w:val="single" w:color="auto" w:sz="4" w:space="4"/>
          <w:bottom w:val="single" w:color="auto" w:sz="4" w:space="1"/>
          <w:right w:val="single" w:color="auto" w:sz="4" w:space="4"/>
        </w:pBdr>
        <w:rPr>
          <w:rFonts w:eastAsia="宋体" w:cs="Arial"/>
          <w:lang w:eastAsia="zh-CN"/>
        </w:rPr>
      </w:pPr>
      <w:r>
        <w:rPr>
          <w:rFonts w:eastAsia="宋体" w:cs="Arial"/>
          <w:lang w:eastAsia="zh-CN"/>
        </w:rPr>
        <w:t>RAN configures the required RVQOE metrics in the RVQOE configuration for UE to report.</w:t>
      </w:r>
    </w:p>
    <w:p>
      <w:pPr>
        <w:pStyle w:val="53"/>
        <w:spacing w:before="75" w:beforeAutospacing="0" w:after="75" w:afterAutospacing="0" w:line="315" w:lineRule="atLeast"/>
        <w:rPr>
          <w:rFonts w:eastAsia="宋体" w:cs="Arial"/>
          <w:color w:val="000000"/>
          <w:sz w:val="21"/>
          <w:lang w:val="en-US" w:eastAsia="zh-CN"/>
        </w:rPr>
      </w:pPr>
      <w:r>
        <w:rPr>
          <w:rFonts w:hint="eastAsia" w:eastAsia="宋体" w:cs="Arial"/>
          <w:color w:val="000000"/>
          <w:sz w:val="21"/>
          <w:lang w:val="en-US" w:eastAsia="zh-CN"/>
        </w:rPr>
        <w:t xml:space="preserve">In addition, RAN3 also send </w:t>
      </w:r>
      <w:r>
        <w:rPr>
          <w:rFonts w:eastAsia="宋体" w:cs="Arial"/>
          <w:color w:val="000000"/>
          <w:sz w:val="21"/>
          <w:lang w:val="en-US" w:eastAsia="zh-CN"/>
        </w:rPr>
        <w:t>their agreements on the RVQoE in the received LS.</w:t>
      </w:r>
    </w:p>
    <w:p>
      <w:pPr>
        <w:pStyle w:val="53"/>
        <w:spacing w:before="75" w:beforeAutospacing="0" w:after="75" w:afterAutospacing="0" w:line="315" w:lineRule="atLeast"/>
        <w:rPr>
          <w:rFonts w:eastAsia="宋体" w:cs="Arial"/>
          <w:color w:val="000000"/>
          <w:sz w:val="21"/>
          <w:lang w:val="en-US" w:eastAsia="zh-CN"/>
        </w:rPr>
      </w:pPr>
      <w:r>
        <w:rPr>
          <w:rFonts w:hint="eastAsia" w:eastAsia="宋体" w:cs="Arial"/>
          <w:color w:val="000000"/>
          <w:sz w:val="21"/>
          <w:lang w:val="en-US" w:eastAsia="zh-CN"/>
        </w:rPr>
        <w:t xml:space="preserve">The intention of this contribution is to share our views on the </w:t>
      </w:r>
      <w:r>
        <w:rPr>
          <w:rFonts w:eastAsia="宋体" w:cs="Arial"/>
          <w:color w:val="000000"/>
          <w:sz w:val="21"/>
          <w:lang w:val="en-US" w:eastAsia="zh-CN"/>
        </w:rPr>
        <w:t>RAN Visible QoE</w:t>
      </w:r>
      <w:r>
        <w:rPr>
          <w:rFonts w:hint="eastAsia" w:eastAsia="宋体" w:cs="Arial"/>
          <w:color w:val="000000"/>
          <w:sz w:val="21"/>
          <w:lang w:val="en-US" w:eastAsia="zh-CN"/>
        </w:rPr>
        <w:t xml:space="preserve"> based on the agreements</w:t>
      </w:r>
      <w:r>
        <w:rPr>
          <w:rFonts w:eastAsia="宋体" w:cs="Arial"/>
          <w:color w:val="000000"/>
          <w:sz w:val="21"/>
          <w:lang w:val="en-US" w:eastAsia="zh-CN"/>
        </w:rPr>
        <w:t xml:space="preserve"> and RAN3 LS</w:t>
      </w:r>
      <w:r>
        <w:rPr>
          <w:rFonts w:hint="eastAsia" w:eastAsia="宋体" w:cs="Arial"/>
          <w:color w:val="000000"/>
          <w:sz w:val="21"/>
          <w:lang w:val="en-US" w:eastAsia="zh-CN"/>
        </w:rPr>
        <w:t>.</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Discussion on RVQoE Configuration</w:t>
      </w:r>
    </w:p>
    <w:p>
      <w:pPr>
        <w:rPr>
          <w:bCs/>
          <w:lang w:val="en-US" w:eastAsia="zh-CN"/>
        </w:rPr>
      </w:pPr>
      <w:r>
        <w:rPr>
          <w:bCs/>
          <w:lang w:val="en-US" w:eastAsia="zh-CN"/>
        </w:rPr>
        <w:t>I</w:t>
      </w:r>
      <w:r>
        <w:rPr>
          <w:rFonts w:hint="eastAsia"/>
          <w:bCs/>
          <w:lang w:val="en-US" w:eastAsia="zh-CN"/>
        </w:rPr>
        <w:t xml:space="preserve">n </w:t>
      </w:r>
      <w:r>
        <w:rPr>
          <w:bCs/>
          <w:lang w:val="en-US" w:eastAsia="zh-CN"/>
        </w:rPr>
        <w:t>RAN3 LS, the following agreement can be found on the RAN visible QoE configuration:</w:t>
      </w:r>
    </w:p>
    <w:p>
      <w:pPr>
        <w:rPr>
          <w:rFonts w:ascii="Calibri" w:hAnsi="Calibri" w:cs="Calibri"/>
          <w:b/>
          <w:color w:val="008000"/>
          <w:sz w:val="20"/>
          <w:szCs w:val="28"/>
          <w:lang w:eastAsia="en-US"/>
        </w:rPr>
      </w:pPr>
      <w:r>
        <w:rPr>
          <w:rFonts w:ascii="Calibri" w:hAnsi="Calibri" w:cs="Calibri"/>
          <w:b/>
          <w:color w:val="008000"/>
          <w:sz w:val="20"/>
          <w:szCs w:val="28"/>
          <w:lang w:eastAsia="en-US"/>
        </w:rPr>
        <w:t>RAN visible QoE configuration can include at least the RAN visible QoE metrics to be reported, service type and a measurement ID for the RAN visible QoE. Whether existing IEs can be reused for service type and measurement ID and the signaling design is up to RAN2</w:t>
      </w:r>
    </w:p>
    <w:p>
      <w:pPr>
        <w:rPr>
          <w:bCs/>
          <w:lang w:eastAsia="zh-CN"/>
        </w:rPr>
      </w:pPr>
      <w:r>
        <w:rPr>
          <w:bCs/>
          <w:lang w:eastAsia="zh-CN"/>
        </w:rPr>
        <w:t>B</w:t>
      </w:r>
      <w:r>
        <w:rPr>
          <w:rFonts w:hint="eastAsia"/>
          <w:bCs/>
          <w:lang w:eastAsia="zh-CN"/>
        </w:rPr>
        <w:t xml:space="preserve">ased </w:t>
      </w:r>
      <w:r>
        <w:rPr>
          <w:bCs/>
          <w:lang w:eastAsia="zh-CN"/>
        </w:rPr>
        <w:t xml:space="preserve">on our understanding, the IEs listed in the above agreement including RAN visible QoE metrics, service type, measurement ID can be used for RAN node to configure RAN visible QoE to a UE. </w:t>
      </w:r>
    </w:p>
    <w:p>
      <w:pPr>
        <w:rPr>
          <w:rFonts w:ascii="Calibri" w:eastAsia="宋体"/>
          <w:sz w:val="24"/>
          <w:szCs w:val="24"/>
          <w:lang w:val="en-US" w:eastAsia="zh-CN"/>
        </w:rPr>
      </w:pPr>
      <w:r>
        <w:rPr>
          <w:rFonts w:hint="eastAsia" w:ascii="Calibri" w:eastAsia="宋体"/>
          <w:sz w:val="24"/>
          <w:szCs w:val="24"/>
          <w:lang w:val="en-US" w:eastAsia="zh-CN"/>
        </w:rPr>
        <w:t xml:space="preserve">For clarification, measurement ID is used by UE AS </w:t>
      </w:r>
      <w:r>
        <w:rPr>
          <w:rFonts w:ascii="Calibri" w:eastAsia="宋体"/>
          <w:sz w:val="24"/>
          <w:szCs w:val="24"/>
          <w:lang w:val="en-US" w:eastAsia="zh-CN"/>
        </w:rPr>
        <w:t xml:space="preserve">layer </w:t>
      </w:r>
      <w:r>
        <w:rPr>
          <w:rFonts w:hint="eastAsia" w:ascii="Calibri" w:eastAsia="宋体"/>
          <w:sz w:val="24"/>
          <w:szCs w:val="24"/>
          <w:lang w:val="en-US" w:eastAsia="zh-CN"/>
        </w:rPr>
        <w:t xml:space="preserve">to identify the corresponding QoE measurement related to RVQoE, e.g., if legacy QoE reporting is paused, the related RVQoE may also be paused. Service type and RAN visible QoE metrics would be sent from UE AS </w:t>
      </w:r>
      <w:r>
        <w:rPr>
          <w:rFonts w:ascii="Calibri" w:eastAsia="宋体"/>
          <w:sz w:val="24"/>
          <w:szCs w:val="24"/>
          <w:lang w:val="en-US" w:eastAsia="zh-CN"/>
        </w:rPr>
        <w:t xml:space="preserve">layer </w:t>
      </w:r>
      <w:r>
        <w:rPr>
          <w:rFonts w:hint="eastAsia" w:ascii="Calibri" w:eastAsia="宋体"/>
          <w:sz w:val="24"/>
          <w:szCs w:val="24"/>
          <w:lang w:val="en-US" w:eastAsia="zh-CN"/>
        </w:rPr>
        <w:t xml:space="preserve">to UE APP </w:t>
      </w:r>
      <w:r>
        <w:rPr>
          <w:rFonts w:ascii="Calibri" w:eastAsia="宋体"/>
          <w:sz w:val="24"/>
          <w:szCs w:val="24"/>
          <w:lang w:val="en-US" w:eastAsia="zh-CN"/>
        </w:rPr>
        <w:t xml:space="preserve">layer </w:t>
      </w:r>
      <w:r>
        <w:rPr>
          <w:rFonts w:hint="eastAsia" w:ascii="Calibri" w:eastAsia="宋体"/>
          <w:sz w:val="24"/>
          <w:szCs w:val="24"/>
          <w:lang w:val="en-US" w:eastAsia="zh-CN"/>
        </w:rPr>
        <w:t xml:space="preserve">by AT command, and then UE APP </w:t>
      </w:r>
      <w:r>
        <w:rPr>
          <w:rFonts w:ascii="Calibri" w:eastAsia="宋体"/>
          <w:sz w:val="24"/>
          <w:szCs w:val="24"/>
          <w:lang w:val="en-US" w:eastAsia="zh-CN"/>
        </w:rPr>
        <w:t xml:space="preserve">layer </w:t>
      </w:r>
      <w:r>
        <w:rPr>
          <w:rFonts w:hint="eastAsia" w:ascii="Calibri" w:eastAsia="宋体"/>
          <w:sz w:val="24"/>
          <w:szCs w:val="24"/>
          <w:lang w:val="en-US" w:eastAsia="zh-CN"/>
        </w:rPr>
        <w:t>can collect the corresponding QoE measurement result for the metrics of specific service type for RAN visible QoE report.</w:t>
      </w:r>
    </w:p>
    <w:p>
      <w:pPr>
        <w:rPr>
          <w:rFonts w:ascii="Calibri" w:eastAsia="宋体"/>
          <w:b/>
          <w:bCs/>
          <w:sz w:val="24"/>
          <w:szCs w:val="24"/>
          <w:lang w:val="en-US" w:eastAsia="zh-CN"/>
        </w:rPr>
      </w:pPr>
      <w:r>
        <w:rPr>
          <w:rFonts w:hint="eastAsia" w:ascii="Calibri" w:eastAsia="宋体"/>
          <w:b/>
          <w:bCs/>
          <w:sz w:val="24"/>
          <w:szCs w:val="24"/>
          <w:lang w:val="en-US" w:eastAsia="zh-CN"/>
        </w:rPr>
        <w:t xml:space="preserve">Proposal </w:t>
      </w:r>
      <w:r>
        <w:rPr>
          <w:rFonts w:hint="default" w:ascii="Calibri" w:eastAsia="宋体"/>
          <w:b/>
          <w:bCs/>
          <w:sz w:val="24"/>
          <w:szCs w:val="24"/>
          <w:lang w:val="en-US" w:eastAsia="zh-CN"/>
        </w:rPr>
        <w:t>1</w:t>
      </w:r>
      <w:r>
        <w:rPr>
          <w:rFonts w:hint="eastAsia" w:ascii="Calibri" w:eastAsia="宋体"/>
          <w:b/>
          <w:bCs/>
          <w:sz w:val="24"/>
          <w:szCs w:val="24"/>
          <w:lang w:val="en-US" w:eastAsia="zh-CN"/>
        </w:rPr>
        <w:t>: The RAN visible QoE configuration could include a list of configuration, each configuration item inside the list include the following:</w:t>
      </w:r>
    </w:p>
    <w:p>
      <w:pPr>
        <w:rPr>
          <w:rFonts w:ascii="Calibri" w:eastAsia="宋体"/>
          <w:b/>
          <w:bCs/>
          <w:sz w:val="24"/>
          <w:szCs w:val="24"/>
          <w:lang w:val="en-US" w:eastAsia="zh-CN"/>
        </w:rPr>
      </w:pPr>
      <w:r>
        <w:rPr>
          <w:rFonts w:hint="eastAsia" w:ascii="Calibri" w:eastAsia="宋体"/>
          <w:b/>
          <w:bCs/>
          <w:sz w:val="24"/>
          <w:szCs w:val="24"/>
          <w:lang w:val="en-US" w:eastAsia="zh-CN"/>
        </w:rPr>
        <w:t xml:space="preserve"> -RAN visible QoE metrics (M)</w:t>
      </w:r>
    </w:p>
    <w:p>
      <w:pPr>
        <w:rPr>
          <w:rFonts w:ascii="Calibri" w:eastAsia="宋体"/>
          <w:b/>
          <w:bCs/>
          <w:sz w:val="24"/>
          <w:szCs w:val="24"/>
          <w:lang w:val="en-US" w:eastAsia="zh-CN"/>
        </w:rPr>
      </w:pPr>
      <w:r>
        <w:rPr>
          <w:rFonts w:hint="eastAsia" w:ascii="Calibri" w:eastAsia="宋体"/>
          <w:b/>
          <w:bCs/>
          <w:sz w:val="24"/>
          <w:szCs w:val="24"/>
          <w:lang w:val="en-US" w:eastAsia="zh-CN"/>
        </w:rPr>
        <w:t xml:space="preserve"> -service type (M)</w:t>
      </w:r>
    </w:p>
    <w:p>
      <w:pPr>
        <w:rPr>
          <w:rFonts w:ascii="Calibri" w:eastAsia="宋体"/>
          <w:b/>
          <w:bCs/>
          <w:sz w:val="24"/>
          <w:szCs w:val="24"/>
          <w:lang w:val="en-US" w:eastAsia="zh-CN"/>
        </w:rPr>
      </w:pPr>
      <w:r>
        <w:rPr>
          <w:rFonts w:hint="eastAsia" w:ascii="Calibri" w:eastAsia="宋体"/>
          <w:b/>
          <w:bCs/>
          <w:sz w:val="24"/>
          <w:szCs w:val="24"/>
          <w:lang w:val="en-US" w:eastAsia="zh-CN"/>
        </w:rPr>
        <w:t xml:space="preserve"> -measurement ID (M)</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Discussion on RVQoE Reporting</w:t>
      </w:r>
    </w:p>
    <w:p>
      <w:pPr>
        <w:rPr>
          <w:bCs/>
          <w:lang w:val="en-US" w:eastAsia="zh-CN"/>
        </w:rPr>
      </w:pPr>
      <w:r>
        <w:rPr>
          <w:rFonts w:hint="eastAsia"/>
          <w:bCs/>
          <w:lang w:val="en-US" w:eastAsia="zh-CN"/>
        </w:rPr>
        <w:t xml:space="preserve">In the received RAN3 LS, the following agreements </w:t>
      </w:r>
      <w:r>
        <w:rPr>
          <w:bCs/>
          <w:lang w:val="en-US" w:eastAsia="zh-CN"/>
        </w:rPr>
        <w:t xml:space="preserve">on the RVQoE reporting </w:t>
      </w:r>
      <w:r>
        <w:rPr>
          <w:rFonts w:hint="eastAsia"/>
          <w:bCs/>
          <w:lang w:val="en-US" w:eastAsia="zh-CN"/>
        </w:rPr>
        <w:t>can be found:</w:t>
      </w:r>
    </w:p>
    <w:p>
      <w:pPr>
        <w:rPr>
          <w:rFonts w:ascii="Calibri" w:hAnsi="Calibri" w:cs="Calibri"/>
          <w:b/>
          <w:color w:val="008000"/>
          <w:sz w:val="20"/>
          <w:szCs w:val="28"/>
          <w:lang w:eastAsia="en-US"/>
        </w:rPr>
      </w:pPr>
      <w:r>
        <w:rPr>
          <w:rFonts w:ascii="Calibri" w:hAnsi="Calibri" w:cs="Calibri"/>
          <w:b/>
          <w:color w:val="008000"/>
          <w:sz w:val="20"/>
          <w:szCs w:val="28"/>
          <w:lang w:eastAsia="en-US"/>
        </w:rPr>
        <w:t>RAN3 should discuss whether the existing identified RAN visible QoE metrics (or values if agreed) justifies the need of a separate reporting periodicity for RAN visible QoE</w:t>
      </w:r>
    </w:p>
    <w:p>
      <w:pPr>
        <w:rPr>
          <w:rFonts w:ascii="Calibri" w:hAnsi="Calibri" w:cs="Calibri"/>
          <w:b/>
          <w:color w:val="008000"/>
          <w:sz w:val="20"/>
          <w:szCs w:val="28"/>
          <w:lang w:eastAsia="en-US"/>
        </w:rPr>
      </w:pPr>
      <w:r>
        <w:rPr>
          <w:rFonts w:ascii="Calibri" w:hAnsi="Calibri" w:cs="Calibri"/>
          <w:b/>
          <w:color w:val="008000"/>
          <w:sz w:val="20"/>
          <w:szCs w:val="28"/>
          <w:lang w:eastAsia="en-US"/>
        </w:rPr>
        <w:t>RAN3’s decision on whether to have a different reporting periodicity for RAN visible QoE is independent of RAN2’s decision on which SRB to use for RAN visible QoE</w:t>
      </w:r>
    </w:p>
    <w:p>
      <w:pPr>
        <w:rPr>
          <w:lang w:val="en-US" w:eastAsia="zh-CN"/>
        </w:rPr>
      </w:pPr>
      <w:r>
        <w:rPr>
          <w:lang w:val="en-US" w:eastAsia="zh-CN"/>
        </w:rPr>
        <w:t xml:space="preserve">In previous RAN2 meeting, companies have discussed which SRB should be used for RVQoE reports transmission. A query LS has been sent to RAN3 at the end of this meeting. Based on the above RAN3 agreements and RAN2 previous sent LS, it is clear that RAN3 is discussing the RVQoE reporting periodicity issue. To avoid the duplicated discussing and save RAN2 time budget, it is proposed for RAN2 to pause the discussion on the RVQoE reporting SRB and periodicity issues, before RAN2 receives the related info from RAN3. </w:t>
      </w:r>
    </w:p>
    <w:p>
      <w:pPr>
        <w:rPr>
          <w:b/>
          <w:lang w:val="en-US" w:eastAsia="zh-CN"/>
        </w:rPr>
      </w:pPr>
      <w:r>
        <w:rPr>
          <w:b/>
          <w:lang w:val="en-US" w:eastAsia="zh-CN"/>
        </w:rPr>
        <w:t xml:space="preserve">Proposal </w:t>
      </w:r>
      <w:r>
        <w:rPr>
          <w:rFonts w:hint="default"/>
          <w:b/>
          <w:lang w:val="en-US" w:eastAsia="zh-CN"/>
        </w:rPr>
        <w:t>2</w:t>
      </w:r>
      <w:r>
        <w:rPr>
          <w:b/>
          <w:lang w:val="en-US" w:eastAsia="zh-CN"/>
        </w:rPr>
        <w:t>: RAN2 shall pause the discussion on RVQoE reporting SRB issue and periodicity issue, unless RAN2 receives more info from RAN3.</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Discussion on General Procedure for RVQoE</w:t>
      </w:r>
    </w:p>
    <w:p>
      <w:pPr>
        <w:rPr>
          <w:lang w:val="en-US" w:eastAsia="zh-CN"/>
        </w:rPr>
      </w:pPr>
      <w:r>
        <w:rPr>
          <w:rFonts w:hint="eastAsia"/>
          <w:lang w:val="en-US" w:eastAsia="zh-CN"/>
        </w:rPr>
        <w:t>Based on the agreements we made in RAN2 and received from RAN3 LS, we</w:t>
      </w:r>
      <w:r>
        <w:rPr>
          <w:lang w:val="en-US" w:eastAsia="zh-CN"/>
        </w:rPr>
        <w:t>’d like to provide  general procedures for RVQoE including the activation(configuration)/deactivation(releasing)/reporting procedure illustrated below,</w:t>
      </w:r>
    </w:p>
    <w:p>
      <w:pPr>
        <w:jc w:val="center"/>
        <w:rPr>
          <w:rFonts w:ascii="Calibri" w:eastAsia="宋体"/>
          <w:sz w:val="24"/>
          <w:szCs w:val="24"/>
          <w:lang w:val="en-US" w:eastAsia="zh-CN"/>
        </w:rPr>
      </w:pPr>
      <w:r>
        <w:rPr>
          <w:rFonts w:ascii="Calibri" w:eastAsia="宋体"/>
          <w:sz w:val="24"/>
          <w:szCs w:val="24"/>
          <w:lang w:val="en-US" w:eastAsia="zh-CN"/>
        </w:rPr>
        <w:drawing>
          <wp:inline distT="0" distB="0" distL="0" distR="0">
            <wp:extent cx="5756275" cy="2604770"/>
            <wp:effectExtent l="0" t="0" r="0" b="5080"/>
            <wp:docPr id="2" name="图片 2" descr="RVQoE configuration and repor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VQoE configuration and reporting"/>
                    <pic:cNvPicPr>
                      <a:picLocks noChangeAspect="1" noChangeArrowheads="1"/>
                    </pic:cNvPicPr>
                  </pic:nvPicPr>
                  <pic:blipFill>
                    <a:blip r:embed="rId9">
                      <a:lum contrast="30000"/>
                      <a:extLst>
                        <a:ext uri="{28A0092B-C50C-407E-A947-70E740481C1C}">
                          <a14:useLocalDpi xmlns:a14="http://schemas.microsoft.com/office/drawing/2010/main" val="0"/>
                        </a:ext>
                      </a:extLst>
                    </a:blip>
                    <a:srcRect/>
                    <a:stretch>
                      <a:fillRect/>
                    </a:stretch>
                  </pic:blipFill>
                  <pic:spPr>
                    <a:xfrm>
                      <a:off x="0" y="0"/>
                      <a:ext cx="5756275" cy="2604770"/>
                    </a:xfrm>
                    <a:prstGeom prst="rect">
                      <a:avLst/>
                    </a:prstGeom>
                    <a:noFill/>
                    <a:ln>
                      <a:noFill/>
                    </a:ln>
                  </pic:spPr>
                </pic:pic>
              </a:graphicData>
            </a:graphic>
          </wp:inline>
        </w:drawing>
      </w:r>
    </w:p>
    <w:p>
      <w:pPr>
        <w:jc w:val="center"/>
        <w:rPr>
          <w:rFonts w:ascii="Calibri" w:eastAsia="宋体"/>
          <w:sz w:val="24"/>
          <w:szCs w:val="24"/>
          <w:lang w:val="en-US" w:eastAsia="zh-CN"/>
        </w:rPr>
      </w:pPr>
      <w:r>
        <w:rPr>
          <w:rFonts w:hint="eastAsia" w:ascii="Calibri" w:eastAsia="宋体"/>
          <w:sz w:val="24"/>
          <w:szCs w:val="24"/>
          <w:lang w:val="en-US" w:eastAsia="zh-CN"/>
        </w:rPr>
        <w:t>Figure 1. Activation</w:t>
      </w:r>
      <w:r>
        <w:rPr>
          <w:rFonts w:ascii="Calibri" w:eastAsia="宋体"/>
          <w:sz w:val="24"/>
          <w:szCs w:val="24"/>
          <w:lang w:val="en-US" w:eastAsia="zh-CN"/>
        </w:rPr>
        <w:t xml:space="preserve"> (</w:t>
      </w:r>
      <w:r>
        <w:rPr>
          <w:rFonts w:hint="eastAsia" w:ascii="Calibri" w:eastAsia="宋体"/>
          <w:sz w:val="24"/>
          <w:szCs w:val="24"/>
          <w:lang w:val="en-US" w:eastAsia="zh-CN"/>
        </w:rPr>
        <w:t>configuration</w:t>
      </w:r>
      <w:r>
        <w:rPr>
          <w:rFonts w:ascii="Calibri" w:eastAsia="宋体"/>
          <w:sz w:val="24"/>
          <w:szCs w:val="24"/>
          <w:lang w:val="en-US" w:eastAsia="zh-CN"/>
        </w:rPr>
        <w:t>)</w:t>
      </w:r>
      <w:r>
        <w:rPr>
          <w:rFonts w:hint="eastAsia" w:ascii="Calibri" w:eastAsia="宋体"/>
          <w:sz w:val="24"/>
          <w:szCs w:val="24"/>
          <w:lang w:val="en-US" w:eastAsia="zh-CN"/>
        </w:rPr>
        <w:t xml:space="preserve"> and reporting procedure</w:t>
      </w:r>
    </w:p>
    <w:p>
      <w:pPr>
        <w:rPr>
          <w:rFonts w:ascii="Calibri" w:eastAsia="宋体"/>
          <w:sz w:val="24"/>
          <w:szCs w:val="24"/>
          <w:lang w:val="en-US" w:eastAsia="zh-CN"/>
        </w:rPr>
      </w:pPr>
    </w:p>
    <w:p>
      <w:pPr>
        <w:rPr>
          <w:rFonts w:ascii="Calibri" w:eastAsia="宋体"/>
          <w:sz w:val="24"/>
          <w:szCs w:val="24"/>
          <w:lang w:val="en-US" w:eastAsia="zh-CN"/>
        </w:rPr>
      </w:pPr>
      <w:r>
        <w:rPr>
          <w:rFonts w:hint="eastAsia" w:ascii="Calibri" w:eastAsia="宋体"/>
          <w:sz w:val="24"/>
          <w:szCs w:val="24"/>
          <w:lang w:val="en-US" w:eastAsia="zh-CN"/>
        </w:rPr>
        <w:t>Step 0: UE sends the capability information about QoE, including RVQoE, to RAN node.</w:t>
      </w:r>
    </w:p>
    <w:p>
      <w:pPr>
        <w:rPr>
          <w:rFonts w:ascii="Calibri" w:eastAsia="宋体"/>
          <w:sz w:val="24"/>
          <w:szCs w:val="24"/>
          <w:lang w:val="en-US" w:eastAsia="zh-CN"/>
        </w:rPr>
      </w:pPr>
      <w:r>
        <w:rPr>
          <w:rFonts w:hint="eastAsia" w:ascii="Calibri" w:eastAsia="宋体"/>
          <w:sz w:val="24"/>
          <w:szCs w:val="24"/>
          <w:lang w:val="en-US" w:eastAsia="zh-CN"/>
        </w:rPr>
        <w:t xml:space="preserve">Step 1: OAM sends a list of RAN visible QoE metrics to RAN node, and if agreed, the RVQoE value target can also be included in the information sent to RAN node. </w:t>
      </w:r>
    </w:p>
    <w:p>
      <w:pPr>
        <w:rPr>
          <w:rFonts w:ascii="Calibri" w:eastAsia="宋体"/>
          <w:sz w:val="24"/>
          <w:szCs w:val="24"/>
          <w:lang w:val="en-US" w:eastAsia="zh-CN"/>
        </w:rPr>
      </w:pPr>
      <w:r>
        <w:rPr>
          <w:rFonts w:hint="eastAsia" w:ascii="Calibri" w:eastAsia="宋体"/>
          <w:sz w:val="24"/>
          <w:szCs w:val="24"/>
          <w:lang w:val="en-US" w:eastAsia="zh-CN"/>
        </w:rPr>
        <w:t>Step 2: RAN node generates the RVQoE configuration when it needs to trigger RVQoE measurement. The RVQoE configuration includes RAN visible metrics to be reported, service type, measurement ID for RAN visible QoE, and an indication for UE to calculate and report RAN visible QoE values.</w:t>
      </w:r>
    </w:p>
    <w:p>
      <w:pPr>
        <w:rPr>
          <w:rFonts w:ascii="Calibri" w:eastAsia="宋体"/>
          <w:sz w:val="24"/>
          <w:szCs w:val="24"/>
          <w:lang w:val="en-US" w:eastAsia="zh-CN"/>
        </w:rPr>
      </w:pPr>
      <w:r>
        <w:rPr>
          <w:rFonts w:hint="eastAsia" w:ascii="Calibri" w:eastAsia="宋体"/>
          <w:sz w:val="24"/>
          <w:szCs w:val="24"/>
          <w:lang w:val="en-US" w:eastAsia="zh-CN"/>
        </w:rPr>
        <w:t xml:space="preserve">Step 3: RAN node sends the RVQoE configuration to UE AS layer via RRC message. </w:t>
      </w:r>
      <w:r>
        <w:rPr>
          <w:rFonts w:ascii="Calibri" w:eastAsia="宋体"/>
          <w:sz w:val="24"/>
          <w:szCs w:val="24"/>
          <w:lang w:val="en-US" w:eastAsia="zh-CN"/>
        </w:rPr>
        <w:t>M</w:t>
      </w:r>
      <w:r>
        <w:rPr>
          <w:rFonts w:hint="eastAsia" w:ascii="Calibri" w:eastAsia="宋体"/>
          <w:sz w:val="24"/>
          <w:szCs w:val="24"/>
          <w:lang w:val="en-US" w:eastAsia="zh-CN"/>
        </w:rPr>
        <w:t>ultiple RVQoE configuration</w:t>
      </w:r>
      <w:r>
        <w:rPr>
          <w:rFonts w:ascii="Calibri" w:eastAsia="宋体"/>
          <w:sz w:val="24"/>
          <w:szCs w:val="24"/>
          <w:lang w:val="en-US" w:eastAsia="zh-CN"/>
        </w:rPr>
        <w:t>s in one RRC message</w:t>
      </w:r>
      <w:r>
        <w:rPr>
          <w:rFonts w:hint="eastAsia" w:ascii="Calibri" w:eastAsia="宋体"/>
          <w:sz w:val="24"/>
          <w:szCs w:val="24"/>
          <w:lang w:val="en-US" w:eastAsia="zh-CN"/>
        </w:rPr>
        <w:t xml:space="preserve"> is supported, the RRC level ID for QoE configuration can be used to identify different configurations.</w:t>
      </w:r>
    </w:p>
    <w:p>
      <w:pPr>
        <w:rPr>
          <w:rFonts w:ascii="Calibri" w:eastAsia="宋体"/>
          <w:sz w:val="24"/>
          <w:szCs w:val="24"/>
          <w:lang w:val="en-US" w:eastAsia="zh-CN"/>
        </w:rPr>
      </w:pPr>
      <w:r>
        <w:rPr>
          <w:rFonts w:hint="eastAsia" w:ascii="Calibri" w:eastAsia="宋体"/>
          <w:sz w:val="24"/>
          <w:szCs w:val="24"/>
          <w:lang w:val="en-US" w:eastAsia="zh-CN"/>
        </w:rPr>
        <w:t>Step 4: UE AS layer forwards the RVQoE configuration to UE APP layer, indicating the service type, RAN visible QoE metrics, as well as the requirement for calculating and reporting RAN visible QoE values.</w:t>
      </w:r>
    </w:p>
    <w:p>
      <w:pPr>
        <w:rPr>
          <w:rFonts w:ascii="Calibri" w:eastAsia="宋体"/>
          <w:sz w:val="24"/>
          <w:szCs w:val="24"/>
          <w:lang w:val="en-US" w:eastAsia="zh-CN"/>
        </w:rPr>
      </w:pPr>
      <w:r>
        <w:rPr>
          <w:rFonts w:hint="eastAsia" w:ascii="Calibri" w:eastAsia="宋体"/>
          <w:sz w:val="24"/>
          <w:szCs w:val="24"/>
          <w:lang w:val="en-US" w:eastAsia="zh-CN"/>
        </w:rPr>
        <w:t>Step 5: UE APP layer collects the results of RAN visible QoE metrics, and calculates the RAN visible QoE values if needed.</w:t>
      </w:r>
    </w:p>
    <w:p>
      <w:pPr>
        <w:rPr>
          <w:rFonts w:ascii="Calibri" w:eastAsia="宋体"/>
          <w:sz w:val="24"/>
          <w:szCs w:val="24"/>
          <w:lang w:val="en-US" w:eastAsia="zh-CN"/>
        </w:rPr>
      </w:pPr>
      <w:r>
        <w:rPr>
          <w:rFonts w:hint="eastAsia" w:ascii="Calibri" w:eastAsia="宋体"/>
          <w:sz w:val="24"/>
          <w:szCs w:val="24"/>
          <w:lang w:val="en-US" w:eastAsia="zh-CN"/>
        </w:rPr>
        <w:t>Step 6: UE APP layer sends the RVQoE results to UE AS layer, along with the PDU session and QoS flow information, via AT command.</w:t>
      </w:r>
    </w:p>
    <w:p>
      <w:pPr>
        <w:rPr>
          <w:rFonts w:ascii="Calibri" w:eastAsia="宋体"/>
          <w:sz w:val="24"/>
          <w:szCs w:val="24"/>
          <w:lang w:val="en-US" w:eastAsia="zh-CN"/>
        </w:rPr>
      </w:pPr>
      <w:r>
        <w:rPr>
          <w:rFonts w:hint="eastAsia" w:ascii="Calibri" w:eastAsia="宋体"/>
          <w:sz w:val="24"/>
          <w:szCs w:val="24"/>
          <w:lang w:val="en-US" w:eastAsia="zh-CN"/>
        </w:rPr>
        <w:t>Step 7: UE AS layer sends the legacy QoE report together with RVQoE report to RAN node, using SRB4.</w:t>
      </w:r>
    </w:p>
    <w:p>
      <w:pPr>
        <w:rPr>
          <w:rFonts w:ascii="Calibri" w:eastAsia="宋体"/>
          <w:sz w:val="24"/>
          <w:szCs w:val="24"/>
          <w:lang w:val="en-US" w:eastAsia="zh-CN"/>
        </w:rPr>
      </w:pPr>
    </w:p>
    <w:p>
      <w:pPr>
        <w:jc w:val="center"/>
        <w:rPr>
          <w:rFonts w:ascii="Calibri" w:eastAsia="宋体"/>
          <w:sz w:val="24"/>
          <w:szCs w:val="24"/>
          <w:lang w:val="en-US" w:eastAsia="zh-CN"/>
        </w:rPr>
      </w:pPr>
      <w:r>
        <w:rPr>
          <w:rFonts w:ascii="Calibri" w:eastAsia="宋体"/>
          <w:sz w:val="24"/>
          <w:szCs w:val="24"/>
          <w:lang w:val="en-US" w:eastAsia="zh-CN"/>
        </w:rPr>
        <w:drawing>
          <wp:inline distT="0" distB="0" distL="0" distR="0">
            <wp:extent cx="5264785" cy="1821815"/>
            <wp:effectExtent l="0" t="0" r="0" b="6985"/>
            <wp:docPr id="1" name="图片 1" descr="RVQoE deactiv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RVQoE deactivation"/>
                    <pic:cNvPicPr>
                      <a:picLocks noChangeAspect="1" noChangeArrowheads="1"/>
                    </pic:cNvPicPr>
                  </pic:nvPicPr>
                  <pic:blipFill>
                    <a:blip r:embed="rId10">
                      <a:lum contrast="46000"/>
                      <a:extLst>
                        <a:ext uri="{28A0092B-C50C-407E-A947-70E740481C1C}">
                          <a14:useLocalDpi xmlns:a14="http://schemas.microsoft.com/office/drawing/2010/main" val="0"/>
                        </a:ext>
                      </a:extLst>
                    </a:blip>
                    <a:srcRect/>
                    <a:stretch>
                      <a:fillRect/>
                    </a:stretch>
                  </pic:blipFill>
                  <pic:spPr>
                    <a:xfrm>
                      <a:off x="0" y="0"/>
                      <a:ext cx="5264785" cy="1821815"/>
                    </a:xfrm>
                    <a:prstGeom prst="rect">
                      <a:avLst/>
                    </a:prstGeom>
                    <a:noFill/>
                    <a:ln>
                      <a:noFill/>
                    </a:ln>
                  </pic:spPr>
                </pic:pic>
              </a:graphicData>
            </a:graphic>
          </wp:inline>
        </w:drawing>
      </w:r>
    </w:p>
    <w:p>
      <w:pPr>
        <w:jc w:val="center"/>
        <w:rPr>
          <w:rFonts w:ascii="Calibri" w:eastAsia="宋体"/>
          <w:sz w:val="24"/>
          <w:szCs w:val="24"/>
          <w:lang w:val="en-US" w:eastAsia="zh-CN"/>
        </w:rPr>
      </w:pPr>
      <w:r>
        <w:rPr>
          <w:rFonts w:hint="eastAsia" w:ascii="Calibri" w:eastAsia="宋体"/>
          <w:sz w:val="24"/>
          <w:szCs w:val="24"/>
          <w:lang w:val="en-US" w:eastAsia="zh-CN"/>
        </w:rPr>
        <w:t>Figure 2. Deactivation</w:t>
      </w:r>
      <w:r>
        <w:rPr>
          <w:rFonts w:ascii="Calibri" w:eastAsia="宋体"/>
          <w:sz w:val="24"/>
          <w:szCs w:val="24"/>
          <w:lang w:val="en-US" w:eastAsia="zh-CN"/>
        </w:rPr>
        <w:t xml:space="preserve"> (Releasing)</w:t>
      </w:r>
      <w:r>
        <w:rPr>
          <w:rFonts w:hint="eastAsia" w:ascii="Calibri" w:eastAsia="宋体"/>
          <w:sz w:val="24"/>
          <w:szCs w:val="24"/>
          <w:lang w:val="en-US" w:eastAsia="zh-CN"/>
        </w:rPr>
        <w:t xml:space="preserve"> of RVQoE</w:t>
      </w:r>
    </w:p>
    <w:p>
      <w:pPr>
        <w:rPr>
          <w:rFonts w:ascii="Calibri" w:eastAsia="宋体"/>
          <w:sz w:val="24"/>
          <w:szCs w:val="24"/>
          <w:lang w:val="en-US" w:eastAsia="zh-CN"/>
        </w:rPr>
      </w:pPr>
    </w:p>
    <w:p>
      <w:pPr>
        <w:rPr>
          <w:rFonts w:ascii="Calibri" w:eastAsia="宋体"/>
          <w:sz w:val="24"/>
          <w:szCs w:val="24"/>
          <w:lang w:val="en-US" w:eastAsia="zh-CN"/>
        </w:rPr>
      </w:pPr>
      <w:r>
        <w:rPr>
          <w:rFonts w:hint="eastAsia" w:ascii="Calibri" w:eastAsia="宋体"/>
          <w:sz w:val="24"/>
          <w:szCs w:val="24"/>
          <w:lang w:val="en-US" w:eastAsia="zh-CN"/>
        </w:rPr>
        <w:t>Step 1: RAN node sends an RRC message to deactivate RVQoE, which includes a list of measurement ID corresponding to legacy QoE measurement.</w:t>
      </w:r>
    </w:p>
    <w:p>
      <w:pPr>
        <w:rPr>
          <w:rFonts w:ascii="Calibri" w:eastAsia="宋体"/>
          <w:sz w:val="24"/>
          <w:szCs w:val="24"/>
          <w:lang w:val="en-US" w:eastAsia="zh-CN"/>
        </w:rPr>
      </w:pPr>
      <w:r>
        <w:rPr>
          <w:rFonts w:hint="eastAsia" w:ascii="Calibri" w:eastAsia="宋体"/>
          <w:sz w:val="24"/>
          <w:szCs w:val="24"/>
          <w:lang w:val="en-US" w:eastAsia="zh-CN"/>
        </w:rPr>
        <w:t>Step 2: UE AS sends the deactivation information to UE APP via AT command, indicating the service type of the corresponding measurement.</w:t>
      </w:r>
    </w:p>
    <w:p>
      <w:pPr>
        <w:rPr>
          <w:rFonts w:ascii="Calibri" w:eastAsia="宋体"/>
          <w:sz w:val="24"/>
          <w:szCs w:val="24"/>
          <w:lang w:val="en-US" w:eastAsia="zh-CN"/>
        </w:rPr>
      </w:pPr>
      <w:r>
        <w:rPr>
          <w:rFonts w:hint="eastAsia" w:ascii="Calibri" w:eastAsia="宋体"/>
          <w:sz w:val="24"/>
          <w:szCs w:val="24"/>
          <w:lang w:val="en-US" w:eastAsia="zh-CN"/>
        </w:rPr>
        <w:t xml:space="preserve">Step 3: UE APP stops collecting and providing the corresponding RVQoE measurement results to UE AS layer. The RVQoE measurement is deactivated. </w:t>
      </w:r>
    </w:p>
    <w:p>
      <w:pPr>
        <w:rPr>
          <w:rFonts w:hint="eastAsia" w:ascii="Calibri" w:eastAsia="宋体"/>
          <w:b/>
          <w:bCs/>
          <w:sz w:val="24"/>
          <w:szCs w:val="24"/>
          <w:lang w:val="en-US" w:eastAsia="zh-CN"/>
        </w:rPr>
      </w:pPr>
      <w:r>
        <w:rPr>
          <w:rFonts w:hint="eastAsia" w:ascii="Calibri" w:eastAsia="宋体"/>
          <w:b/>
          <w:bCs/>
          <w:sz w:val="24"/>
          <w:szCs w:val="24"/>
          <w:lang w:val="en-US" w:eastAsia="zh-CN"/>
        </w:rPr>
        <w:t xml:space="preserve">Proposal </w:t>
      </w:r>
      <w:r>
        <w:rPr>
          <w:rFonts w:hint="default" w:ascii="Calibri" w:eastAsia="宋体"/>
          <w:b/>
          <w:bCs/>
          <w:sz w:val="24"/>
          <w:szCs w:val="24"/>
          <w:lang w:val="en-US" w:eastAsia="zh-CN"/>
        </w:rPr>
        <w:t>3</w:t>
      </w:r>
      <w:r>
        <w:rPr>
          <w:rFonts w:hint="eastAsia" w:ascii="Calibri" w:eastAsia="宋体"/>
          <w:b/>
          <w:bCs/>
          <w:sz w:val="24"/>
          <w:szCs w:val="24"/>
          <w:lang w:val="en-US" w:eastAsia="zh-CN"/>
        </w:rPr>
        <w:t xml:space="preserve">: Take the procedures above as the </w:t>
      </w:r>
      <w:r>
        <w:rPr>
          <w:rFonts w:ascii="Calibri" w:eastAsia="宋体"/>
          <w:b/>
          <w:bCs/>
          <w:sz w:val="24"/>
          <w:szCs w:val="24"/>
          <w:lang w:val="en-US" w:eastAsia="zh-CN"/>
        </w:rPr>
        <w:t>basic</w:t>
      </w:r>
      <w:r>
        <w:rPr>
          <w:rFonts w:hint="eastAsia" w:ascii="Calibri" w:eastAsia="宋体"/>
          <w:b/>
          <w:bCs/>
          <w:sz w:val="24"/>
          <w:szCs w:val="24"/>
          <w:lang w:val="en-US" w:eastAsia="zh-CN"/>
        </w:rPr>
        <w:t xml:space="preserve"> solution for RAN visible QoE.</w:t>
      </w:r>
      <w:r>
        <w:rPr>
          <w:rFonts w:ascii="Calibri" w:eastAsia="宋体"/>
          <w:b/>
          <w:bCs/>
          <w:sz w:val="24"/>
          <w:szCs w:val="24"/>
          <w:lang w:val="en-US" w:eastAsia="zh-CN"/>
        </w:rPr>
        <w:t xml:space="preserve"> Detail IEs can wait for RAN3 agreements.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rPr>
          <w:lang w:val="en-US" w:eastAsia="zh-CN"/>
        </w:rPr>
      </w:pPr>
      <w:r>
        <w:rPr>
          <w:rFonts w:hint="eastAsia"/>
          <w:lang w:val="en-US" w:eastAsia="zh-CN"/>
        </w:rPr>
        <w:t>Based on the discussions above, we have the following proposal.</w:t>
      </w:r>
    </w:p>
    <w:p>
      <w:pPr>
        <w:rPr>
          <w:rFonts w:ascii="Calibri" w:eastAsia="宋体"/>
          <w:b/>
          <w:bCs/>
          <w:sz w:val="24"/>
          <w:szCs w:val="24"/>
          <w:lang w:val="en-US" w:eastAsia="zh-CN"/>
        </w:rPr>
      </w:pPr>
      <w:bookmarkStart w:id="8" w:name="_Toc18404543"/>
      <w:bookmarkStart w:id="9" w:name="_Toc18403976"/>
      <w:bookmarkStart w:id="10" w:name="_Toc18413612"/>
      <w:bookmarkStart w:id="11" w:name="OLE_LINK4"/>
      <w:r>
        <w:rPr>
          <w:rFonts w:hint="eastAsia" w:ascii="Calibri" w:eastAsia="宋体"/>
          <w:b/>
          <w:bCs/>
          <w:sz w:val="24"/>
          <w:szCs w:val="24"/>
          <w:lang w:val="en-US" w:eastAsia="zh-CN"/>
        </w:rPr>
        <w:t xml:space="preserve">Proposal </w:t>
      </w:r>
      <w:r>
        <w:rPr>
          <w:rFonts w:hint="default" w:ascii="Calibri" w:eastAsia="宋体"/>
          <w:b/>
          <w:bCs/>
          <w:sz w:val="24"/>
          <w:szCs w:val="24"/>
          <w:lang w:val="en-US" w:eastAsia="zh-CN"/>
        </w:rPr>
        <w:t>1</w:t>
      </w:r>
      <w:r>
        <w:rPr>
          <w:rFonts w:hint="eastAsia" w:ascii="Calibri" w:eastAsia="宋体"/>
          <w:b/>
          <w:bCs/>
          <w:sz w:val="24"/>
          <w:szCs w:val="24"/>
          <w:lang w:val="en-US" w:eastAsia="zh-CN"/>
        </w:rPr>
        <w:t>: The RAN visible QoE configuration could include a list of configuration, each configuration item inside the list include the following:</w:t>
      </w:r>
    </w:p>
    <w:p>
      <w:pPr>
        <w:rPr>
          <w:rFonts w:ascii="Calibri" w:eastAsia="宋体"/>
          <w:b/>
          <w:bCs/>
          <w:sz w:val="24"/>
          <w:szCs w:val="24"/>
          <w:lang w:val="en-US" w:eastAsia="zh-CN"/>
        </w:rPr>
      </w:pPr>
      <w:r>
        <w:rPr>
          <w:rFonts w:hint="eastAsia" w:ascii="Calibri" w:eastAsia="宋体"/>
          <w:b/>
          <w:bCs/>
          <w:sz w:val="24"/>
          <w:szCs w:val="24"/>
          <w:lang w:val="en-US" w:eastAsia="zh-CN"/>
        </w:rPr>
        <w:t xml:space="preserve"> -RAN visible QoE metrics (M)</w:t>
      </w:r>
    </w:p>
    <w:p>
      <w:pPr>
        <w:rPr>
          <w:rFonts w:ascii="Calibri" w:eastAsia="宋体"/>
          <w:b/>
          <w:bCs/>
          <w:sz w:val="24"/>
          <w:szCs w:val="24"/>
          <w:lang w:val="en-US" w:eastAsia="zh-CN"/>
        </w:rPr>
      </w:pPr>
      <w:r>
        <w:rPr>
          <w:rFonts w:hint="eastAsia" w:ascii="Calibri" w:eastAsia="宋体"/>
          <w:b/>
          <w:bCs/>
          <w:sz w:val="24"/>
          <w:szCs w:val="24"/>
          <w:lang w:val="en-US" w:eastAsia="zh-CN"/>
        </w:rPr>
        <w:t xml:space="preserve"> -service type (M)</w:t>
      </w:r>
    </w:p>
    <w:p>
      <w:pPr>
        <w:rPr>
          <w:rFonts w:ascii="Calibri" w:eastAsia="宋体"/>
          <w:b/>
          <w:bCs/>
          <w:sz w:val="24"/>
          <w:szCs w:val="24"/>
          <w:lang w:val="en-US" w:eastAsia="zh-CN"/>
        </w:rPr>
      </w:pPr>
      <w:r>
        <w:rPr>
          <w:rFonts w:hint="eastAsia" w:ascii="Calibri" w:eastAsia="宋体"/>
          <w:b/>
          <w:bCs/>
          <w:sz w:val="24"/>
          <w:szCs w:val="24"/>
          <w:lang w:val="en-US" w:eastAsia="zh-CN"/>
        </w:rPr>
        <w:t xml:space="preserve"> -measurement ID (M)</w:t>
      </w:r>
    </w:p>
    <w:p>
      <w:pPr>
        <w:rPr>
          <w:b/>
          <w:lang w:val="en-US" w:eastAsia="zh-CN"/>
        </w:rPr>
      </w:pPr>
      <w:r>
        <w:rPr>
          <w:b/>
          <w:lang w:val="en-US" w:eastAsia="zh-CN"/>
        </w:rPr>
        <w:t xml:space="preserve">Proposal </w:t>
      </w:r>
      <w:r>
        <w:rPr>
          <w:rFonts w:hint="default"/>
          <w:b/>
          <w:lang w:val="en-US" w:eastAsia="zh-CN"/>
        </w:rPr>
        <w:t>2</w:t>
      </w:r>
      <w:r>
        <w:rPr>
          <w:b/>
          <w:lang w:val="en-US" w:eastAsia="zh-CN"/>
        </w:rPr>
        <w:t>: RAN2 shall pause the discussion on RVQoE reporting SRB issue and periodicity issue, unless RAN2 receives more info from RAN3.</w:t>
      </w:r>
    </w:p>
    <w:p>
      <w:pPr>
        <w:rPr>
          <w:rFonts w:eastAsia="宋体"/>
          <w:b/>
          <w:bCs/>
          <w:lang w:val="en-US" w:eastAsia="zh-CN"/>
        </w:rPr>
      </w:pPr>
      <w:r>
        <w:rPr>
          <w:rFonts w:hint="eastAsia" w:ascii="Calibri" w:eastAsia="宋体"/>
          <w:b/>
          <w:bCs/>
          <w:sz w:val="24"/>
          <w:szCs w:val="24"/>
          <w:lang w:val="en-US" w:eastAsia="zh-CN"/>
        </w:rPr>
        <w:t xml:space="preserve">Proposal </w:t>
      </w:r>
      <w:r>
        <w:rPr>
          <w:rFonts w:hint="default" w:ascii="Calibri" w:eastAsia="宋体"/>
          <w:b/>
          <w:bCs/>
          <w:sz w:val="24"/>
          <w:szCs w:val="24"/>
          <w:lang w:val="en-US" w:eastAsia="zh-CN"/>
        </w:rPr>
        <w:t>3</w:t>
      </w:r>
      <w:r>
        <w:rPr>
          <w:rFonts w:hint="eastAsia" w:ascii="Calibri" w:eastAsia="宋体"/>
          <w:b/>
          <w:bCs/>
          <w:sz w:val="24"/>
          <w:szCs w:val="24"/>
          <w:lang w:val="en-US" w:eastAsia="zh-CN"/>
        </w:rPr>
        <w:t xml:space="preserve">: Take the procedures above as the </w:t>
      </w:r>
      <w:r>
        <w:rPr>
          <w:rFonts w:ascii="Calibri" w:eastAsia="宋体"/>
          <w:b/>
          <w:bCs/>
          <w:sz w:val="24"/>
          <w:szCs w:val="24"/>
          <w:lang w:val="en-US" w:eastAsia="zh-CN"/>
        </w:rPr>
        <w:t>basic</w:t>
      </w:r>
      <w:r>
        <w:rPr>
          <w:rFonts w:hint="eastAsia" w:ascii="Calibri" w:eastAsia="宋体"/>
          <w:b/>
          <w:bCs/>
          <w:sz w:val="24"/>
          <w:szCs w:val="24"/>
          <w:lang w:val="en-US" w:eastAsia="zh-CN"/>
        </w:rPr>
        <w:t xml:space="preserve"> solution for RAN visible QoE.</w:t>
      </w:r>
      <w:r>
        <w:rPr>
          <w:rFonts w:ascii="Calibri" w:eastAsia="宋体"/>
          <w:b/>
          <w:bCs/>
          <w:sz w:val="24"/>
          <w:szCs w:val="24"/>
          <w:lang w:val="en-US" w:eastAsia="zh-CN"/>
        </w:rPr>
        <w:t xml:space="preserve"> Detail IEs can wait for RAN3 agreements.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bookmarkEnd w:id="11"/>
    <w:p>
      <w:pPr>
        <w:numPr>
          <w:ilvl w:val="0"/>
          <w:numId w:val="6"/>
        </w:numPr>
        <w:spacing w:line="240" w:lineRule="auto"/>
        <w:rPr>
          <w:rFonts w:cs="Arial"/>
          <w:color w:val="000000"/>
          <w:highlight w:val="none"/>
        </w:rPr>
      </w:pPr>
      <w:r>
        <w:rPr>
          <w:rFonts w:hint="eastAsia" w:eastAsia="宋体" w:cs="Arial"/>
          <w:highlight w:val="none"/>
          <w:lang w:val="en-US" w:eastAsia="zh-CN"/>
        </w:rPr>
        <w:t>Chairman note for RAN2-11</w:t>
      </w:r>
      <w:r>
        <w:rPr>
          <w:rFonts w:hint="default" w:eastAsia="宋体" w:cs="Arial"/>
          <w:highlight w:val="none"/>
          <w:lang w:val="en-US" w:eastAsia="zh-CN"/>
        </w:rPr>
        <w:t>6</w:t>
      </w:r>
      <w:r>
        <w:rPr>
          <w:rFonts w:hint="eastAsia" w:eastAsia="宋体" w:cs="Arial"/>
          <w:highlight w:val="none"/>
          <w:lang w:val="en-US" w:eastAsia="zh-CN"/>
        </w:rPr>
        <w:t>-e.</w:t>
      </w: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hyphenationZone w:val="425"/>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2BC"/>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85D"/>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1964"/>
    <w:rsid w:val="000D2BF9"/>
    <w:rsid w:val="000D2F19"/>
    <w:rsid w:val="000D46DC"/>
    <w:rsid w:val="000E0822"/>
    <w:rsid w:val="000E1125"/>
    <w:rsid w:val="000E1993"/>
    <w:rsid w:val="000E1EF3"/>
    <w:rsid w:val="000E3B8A"/>
    <w:rsid w:val="000F0A49"/>
    <w:rsid w:val="000F0A7B"/>
    <w:rsid w:val="000F4CFF"/>
    <w:rsid w:val="000F4D2A"/>
    <w:rsid w:val="000F5C94"/>
    <w:rsid w:val="00100030"/>
    <w:rsid w:val="00101A67"/>
    <w:rsid w:val="00111739"/>
    <w:rsid w:val="00111C96"/>
    <w:rsid w:val="00111CE0"/>
    <w:rsid w:val="00111DF0"/>
    <w:rsid w:val="001135C5"/>
    <w:rsid w:val="00114117"/>
    <w:rsid w:val="001147C0"/>
    <w:rsid w:val="001156DF"/>
    <w:rsid w:val="00122144"/>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5F9E"/>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7"/>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49FD"/>
    <w:rsid w:val="00335B60"/>
    <w:rsid w:val="00336046"/>
    <w:rsid w:val="00340AAF"/>
    <w:rsid w:val="003436BE"/>
    <w:rsid w:val="00344D81"/>
    <w:rsid w:val="00345FC0"/>
    <w:rsid w:val="003469FC"/>
    <w:rsid w:val="00347800"/>
    <w:rsid w:val="003504B5"/>
    <w:rsid w:val="00351234"/>
    <w:rsid w:val="00351331"/>
    <w:rsid w:val="003531C6"/>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62F8"/>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159BF"/>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B99"/>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36AE"/>
    <w:rsid w:val="004A402F"/>
    <w:rsid w:val="004A59EE"/>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366"/>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3CA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958"/>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514"/>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509"/>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E7D9C"/>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4E2"/>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C79"/>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1534"/>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56FD"/>
    <w:rsid w:val="009A618E"/>
    <w:rsid w:val="009B155B"/>
    <w:rsid w:val="009B183F"/>
    <w:rsid w:val="009B1F5B"/>
    <w:rsid w:val="009B3DB8"/>
    <w:rsid w:val="009B4769"/>
    <w:rsid w:val="009B4FF0"/>
    <w:rsid w:val="009C2086"/>
    <w:rsid w:val="009C3006"/>
    <w:rsid w:val="009C5F45"/>
    <w:rsid w:val="009C6A61"/>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A0E"/>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2BCD"/>
    <w:rsid w:val="00A53CDD"/>
    <w:rsid w:val="00A542B8"/>
    <w:rsid w:val="00A54719"/>
    <w:rsid w:val="00A5709E"/>
    <w:rsid w:val="00A612B9"/>
    <w:rsid w:val="00A648A1"/>
    <w:rsid w:val="00A66B14"/>
    <w:rsid w:val="00A66CF8"/>
    <w:rsid w:val="00A67E69"/>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74C"/>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03"/>
    <w:rsid w:val="00B94BA4"/>
    <w:rsid w:val="00B96D07"/>
    <w:rsid w:val="00B97DB5"/>
    <w:rsid w:val="00BA52AE"/>
    <w:rsid w:val="00BA5695"/>
    <w:rsid w:val="00BA7178"/>
    <w:rsid w:val="00BB1325"/>
    <w:rsid w:val="00BB156E"/>
    <w:rsid w:val="00BB3ABA"/>
    <w:rsid w:val="00BB4FEC"/>
    <w:rsid w:val="00BB65B1"/>
    <w:rsid w:val="00BB69D5"/>
    <w:rsid w:val="00BC03E1"/>
    <w:rsid w:val="00BC34F8"/>
    <w:rsid w:val="00BC4593"/>
    <w:rsid w:val="00BC6C9C"/>
    <w:rsid w:val="00BC6CA4"/>
    <w:rsid w:val="00BC7B45"/>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18C"/>
    <w:rsid w:val="00C44FC9"/>
    <w:rsid w:val="00C45167"/>
    <w:rsid w:val="00C460E8"/>
    <w:rsid w:val="00C473CE"/>
    <w:rsid w:val="00C50168"/>
    <w:rsid w:val="00C5115B"/>
    <w:rsid w:val="00C5180C"/>
    <w:rsid w:val="00C518AE"/>
    <w:rsid w:val="00C52111"/>
    <w:rsid w:val="00C523E4"/>
    <w:rsid w:val="00C52EEA"/>
    <w:rsid w:val="00C52F3A"/>
    <w:rsid w:val="00C531B7"/>
    <w:rsid w:val="00C53622"/>
    <w:rsid w:val="00C54982"/>
    <w:rsid w:val="00C54B46"/>
    <w:rsid w:val="00C55B71"/>
    <w:rsid w:val="00C56DB9"/>
    <w:rsid w:val="00C57B9E"/>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C6B1A"/>
    <w:rsid w:val="00CD229F"/>
    <w:rsid w:val="00CE2D1F"/>
    <w:rsid w:val="00CE316E"/>
    <w:rsid w:val="00CE52F0"/>
    <w:rsid w:val="00CF121A"/>
    <w:rsid w:val="00CF18A3"/>
    <w:rsid w:val="00CF356A"/>
    <w:rsid w:val="00CF4A61"/>
    <w:rsid w:val="00CF4B9A"/>
    <w:rsid w:val="00D0108B"/>
    <w:rsid w:val="00D0280F"/>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3B1"/>
    <w:rsid w:val="00D25CA2"/>
    <w:rsid w:val="00D2694E"/>
    <w:rsid w:val="00D26BCB"/>
    <w:rsid w:val="00D26C04"/>
    <w:rsid w:val="00D26CC6"/>
    <w:rsid w:val="00D275C6"/>
    <w:rsid w:val="00D27639"/>
    <w:rsid w:val="00D32D42"/>
    <w:rsid w:val="00D34AA7"/>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BC8"/>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3A8"/>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CDE"/>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67706"/>
    <w:rsid w:val="00E71B00"/>
    <w:rsid w:val="00E724C6"/>
    <w:rsid w:val="00E73C7F"/>
    <w:rsid w:val="00E73D86"/>
    <w:rsid w:val="00E740D9"/>
    <w:rsid w:val="00E7461F"/>
    <w:rsid w:val="00E76BCA"/>
    <w:rsid w:val="00E77D65"/>
    <w:rsid w:val="00E821B2"/>
    <w:rsid w:val="00E8224F"/>
    <w:rsid w:val="00E853FB"/>
    <w:rsid w:val="00E85E3C"/>
    <w:rsid w:val="00E902C7"/>
    <w:rsid w:val="00E9183D"/>
    <w:rsid w:val="00E91CD5"/>
    <w:rsid w:val="00E943EE"/>
    <w:rsid w:val="00E94456"/>
    <w:rsid w:val="00E94FE2"/>
    <w:rsid w:val="00E95E39"/>
    <w:rsid w:val="00E9650E"/>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47D14"/>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5E2C32"/>
    <w:rsid w:val="016F2955"/>
    <w:rsid w:val="01E06294"/>
    <w:rsid w:val="02090528"/>
    <w:rsid w:val="02096E03"/>
    <w:rsid w:val="021A15C5"/>
    <w:rsid w:val="0276200A"/>
    <w:rsid w:val="02852DB6"/>
    <w:rsid w:val="02AF57A1"/>
    <w:rsid w:val="02C63FE5"/>
    <w:rsid w:val="03695ACD"/>
    <w:rsid w:val="037439E2"/>
    <w:rsid w:val="03BC3684"/>
    <w:rsid w:val="0427122D"/>
    <w:rsid w:val="04405CD4"/>
    <w:rsid w:val="044F0676"/>
    <w:rsid w:val="0473134F"/>
    <w:rsid w:val="052848EA"/>
    <w:rsid w:val="05AE40A8"/>
    <w:rsid w:val="05D1293B"/>
    <w:rsid w:val="06007DD7"/>
    <w:rsid w:val="06270E5D"/>
    <w:rsid w:val="06301129"/>
    <w:rsid w:val="065A1065"/>
    <w:rsid w:val="07332E45"/>
    <w:rsid w:val="07393CB3"/>
    <w:rsid w:val="07645E7E"/>
    <w:rsid w:val="07815AA2"/>
    <w:rsid w:val="07DB31F6"/>
    <w:rsid w:val="08036844"/>
    <w:rsid w:val="083828A5"/>
    <w:rsid w:val="08634AA9"/>
    <w:rsid w:val="086A0D8F"/>
    <w:rsid w:val="08870B03"/>
    <w:rsid w:val="09253E9C"/>
    <w:rsid w:val="0929781C"/>
    <w:rsid w:val="095438C6"/>
    <w:rsid w:val="098B1EF5"/>
    <w:rsid w:val="09911B95"/>
    <w:rsid w:val="09945F3A"/>
    <w:rsid w:val="09A3638E"/>
    <w:rsid w:val="09AC5B6F"/>
    <w:rsid w:val="09CB5A6C"/>
    <w:rsid w:val="09F00BD8"/>
    <w:rsid w:val="09F318B6"/>
    <w:rsid w:val="09FD6E02"/>
    <w:rsid w:val="0A1A74F5"/>
    <w:rsid w:val="0A1D73FF"/>
    <w:rsid w:val="0A45462C"/>
    <w:rsid w:val="0A697E61"/>
    <w:rsid w:val="0A750F68"/>
    <w:rsid w:val="0AE61C59"/>
    <w:rsid w:val="0AEC356E"/>
    <w:rsid w:val="0B545B44"/>
    <w:rsid w:val="0BC81D14"/>
    <w:rsid w:val="0C34609D"/>
    <w:rsid w:val="0C4A196E"/>
    <w:rsid w:val="0CBA1583"/>
    <w:rsid w:val="0CBC415D"/>
    <w:rsid w:val="0CD249CC"/>
    <w:rsid w:val="0CE47597"/>
    <w:rsid w:val="0D9222C1"/>
    <w:rsid w:val="0DC045AB"/>
    <w:rsid w:val="0DFF7D07"/>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B5797D"/>
    <w:rsid w:val="11DD4AE3"/>
    <w:rsid w:val="11E15AE5"/>
    <w:rsid w:val="11E53E9B"/>
    <w:rsid w:val="11FC5F30"/>
    <w:rsid w:val="120048B1"/>
    <w:rsid w:val="12015140"/>
    <w:rsid w:val="12394E59"/>
    <w:rsid w:val="1299671F"/>
    <w:rsid w:val="12A742B1"/>
    <w:rsid w:val="131813A1"/>
    <w:rsid w:val="13DC640D"/>
    <w:rsid w:val="13F01C1F"/>
    <w:rsid w:val="141842FE"/>
    <w:rsid w:val="14352831"/>
    <w:rsid w:val="146B64E1"/>
    <w:rsid w:val="14993B21"/>
    <w:rsid w:val="14B77E4B"/>
    <w:rsid w:val="14D73601"/>
    <w:rsid w:val="15014A40"/>
    <w:rsid w:val="156B4B8B"/>
    <w:rsid w:val="15890495"/>
    <w:rsid w:val="15E03D6F"/>
    <w:rsid w:val="15EF5060"/>
    <w:rsid w:val="169C366A"/>
    <w:rsid w:val="16DA1E4D"/>
    <w:rsid w:val="16FB015A"/>
    <w:rsid w:val="17003574"/>
    <w:rsid w:val="17535B24"/>
    <w:rsid w:val="17A31370"/>
    <w:rsid w:val="17B06B1C"/>
    <w:rsid w:val="17D92C65"/>
    <w:rsid w:val="17F53DC6"/>
    <w:rsid w:val="180B4FFB"/>
    <w:rsid w:val="18211C57"/>
    <w:rsid w:val="1842664F"/>
    <w:rsid w:val="18543673"/>
    <w:rsid w:val="186B7D0B"/>
    <w:rsid w:val="189D065F"/>
    <w:rsid w:val="18BC6F6C"/>
    <w:rsid w:val="18F32BCE"/>
    <w:rsid w:val="18FF4ABB"/>
    <w:rsid w:val="19343406"/>
    <w:rsid w:val="195B2085"/>
    <w:rsid w:val="1991319B"/>
    <w:rsid w:val="19BF0200"/>
    <w:rsid w:val="19EE1FDA"/>
    <w:rsid w:val="1A45032B"/>
    <w:rsid w:val="1A640E62"/>
    <w:rsid w:val="1A713779"/>
    <w:rsid w:val="1A84217D"/>
    <w:rsid w:val="1A9B1F53"/>
    <w:rsid w:val="1ABB54B3"/>
    <w:rsid w:val="1AE025B8"/>
    <w:rsid w:val="1B126202"/>
    <w:rsid w:val="1B3D4012"/>
    <w:rsid w:val="1B481AFB"/>
    <w:rsid w:val="1B7A1663"/>
    <w:rsid w:val="1B8F6978"/>
    <w:rsid w:val="1BA23557"/>
    <w:rsid w:val="1BC27038"/>
    <w:rsid w:val="1BC73993"/>
    <w:rsid w:val="1BD24B16"/>
    <w:rsid w:val="1BF62321"/>
    <w:rsid w:val="1C130C67"/>
    <w:rsid w:val="1C2D5D31"/>
    <w:rsid w:val="1C5D6CC2"/>
    <w:rsid w:val="1C696E9C"/>
    <w:rsid w:val="1CBD093F"/>
    <w:rsid w:val="1CC83450"/>
    <w:rsid w:val="1CE21C50"/>
    <w:rsid w:val="1CE9601A"/>
    <w:rsid w:val="1D235F66"/>
    <w:rsid w:val="1D665A9E"/>
    <w:rsid w:val="1D667D51"/>
    <w:rsid w:val="1D8D3AB3"/>
    <w:rsid w:val="1DC566C0"/>
    <w:rsid w:val="1DE501D0"/>
    <w:rsid w:val="1DFC74E5"/>
    <w:rsid w:val="1E21472F"/>
    <w:rsid w:val="1E2804C4"/>
    <w:rsid w:val="1E2C49A1"/>
    <w:rsid w:val="1E3722FA"/>
    <w:rsid w:val="1E8146DA"/>
    <w:rsid w:val="1EA46EA2"/>
    <w:rsid w:val="1EAA39F6"/>
    <w:rsid w:val="1EB2633F"/>
    <w:rsid w:val="1EB847E9"/>
    <w:rsid w:val="1F6F2F4D"/>
    <w:rsid w:val="1F8E0455"/>
    <w:rsid w:val="1FA76059"/>
    <w:rsid w:val="1FAF272D"/>
    <w:rsid w:val="1FD0672A"/>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5B24B5"/>
    <w:rsid w:val="21D36B48"/>
    <w:rsid w:val="21D93ECC"/>
    <w:rsid w:val="221B7641"/>
    <w:rsid w:val="222E4F94"/>
    <w:rsid w:val="224F5646"/>
    <w:rsid w:val="22666B0B"/>
    <w:rsid w:val="229A0A46"/>
    <w:rsid w:val="22D5441E"/>
    <w:rsid w:val="22D61F71"/>
    <w:rsid w:val="232660FF"/>
    <w:rsid w:val="23BE01FF"/>
    <w:rsid w:val="23DF27A5"/>
    <w:rsid w:val="2410019C"/>
    <w:rsid w:val="2418652F"/>
    <w:rsid w:val="245A1846"/>
    <w:rsid w:val="248512BD"/>
    <w:rsid w:val="24E51B39"/>
    <w:rsid w:val="25173A41"/>
    <w:rsid w:val="252D5DCC"/>
    <w:rsid w:val="255B75CB"/>
    <w:rsid w:val="25841D88"/>
    <w:rsid w:val="25A45302"/>
    <w:rsid w:val="25A94E88"/>
    <w:rsid w:val="25E135DF"/>
    <w:rsid w:val="261E413F"/>
    <w:rsid w:val="263E633F"/>
    <w:rsid w:val="267E599C"/>
    <w:rsid w:val="26C17FC8"/>
    <w:rsid w:val="27B132D6"/>
    <w:rsid w:val="27FF1FDA"/>
    <w:rsid w:val="28915210"/>
    <w:rsid w:val="28937E74"/>
    <w:rsid w:val="29095102"/>
    <w:rsid w:val="293E1B9C"/>
    <w:rsid w:val="29A81AA0"/>
    <w:rsid w:val="29B32846"/>
    <w:rsid w:val="29ED63D5"/>
    <w:rsid w:val="2A275682"/>
    <w:rsid w:val="2A275D46"/>
    <w:rsid w:val="2A9376BC"/>
    <w:rsid w:val="2AA14025"/>
    <w:rsid w:val="2B2348E2"/>
    <w:rsid w:val="2B5D0645"/>
    <w:rsid w:val="2B907720"/>
    <w:rsid w:val="2BCD0751"/>
    <w:rsid w:val="2C7F2EA6"/>
    <w:rsid w:val="2C8C2358"/>
    <w:rsid w:val="2C8E4E6A"/>
    <w:rsid w:val="2C9927E7"/>
    <w:rsid w:val="2CA56F60"/>
    <w:rsid w:val="2CAF2767"/>
    <w:rsid w:val="2CBF636A"/>
    <w:rsid w:val="2CFB59F1"/>
    <w:rsid w:val="2D125EB2"/>
    <w:rsid w:val="2D1E05D5"/>
    <w:rsid w:val="2D5627A8"/>
    <w:rsid w:val="2D8D29A8"/>
    <w:rsid w:val="2D9A6090"/>
    <w:rsid w:val="2D9D4CC1"/>
    <w:rsid w:val="2DBD4FAF"/>
    <w:rsid w:val="2E09336F"/>
    <w:rsid w:val="2E615D6D"/>
    <w:rsid w:val="2EC27772"/>
    <w:rsid w:val="2ED0428B"/>
    <w:rsid w:val="2EFF20DE"/>
    <w:rsid w:val="2F263E1B"/>
    <w:rsid w:val="2F337D9E"/>
    <w:rsid w:val="300160A4"/>
    <w:rsid w:val="3003631E"/>
    <w:rsid w:val="30745F5B"/>
    <w:rsid w:val="3078124A"/>
    <w:rsid w:val="3090209F"/>
    <w:rsid w:val="30953FB5"/>
    <w:rsid w:val="31623402"/>
    <w:rsid w:val="31EB4942"/>
    <w:rsid w:val="31EC5E5F"/>
    <w:rsid w:val="32187B45"/>
    <w:rsid w:val="32362071"/>
    <w:rsid w:val="3273050E"/>
    <w:rsid w:val="32817193"/>
    <w:rsid w:val="32891F62"/>
    <w:rsid w:val="328C1583"/>
    <w:rsid w:val="32C9080C"/>
    <w:rsid w:val="32CA0CF4"/>
    <w:rsid w:val="334275F5"/>
    <w:rsid w:val="33617E72"/>
    <w:rsid w:val="33636F14"/>
    <w:rsid w:val="33670485"/>
    <w:rsid w:val="33B72E78"/>
    <w:rsid w:val="33C54618"/>
    <w:rsid w:val="34211C7C"/>
    <w:rsid w:val="34342DEB"/>
    <w:rsid w:val="344C7B1B"/>
    <w:rsid w:val="347A4EB8"/>
    <w:rsid w:val="35183D8B"/>
    <w:rsid w:val="35387D52"/>
    <w:rsid w:val="356926AE"/>
    <w:rsid w:val="35746D1B"/>
    <w:rsid w:val="357860DF"/>
    <w:rsid w:val="358E0757"/>
    <w:rsid w:val="35AE7101"/>
    <w:rsid w:val="35BB43C3"/>
    <w:rsid w:val="35F9212A"/>
    <w:rsid w:val="36281B26"/>
    <w:rsid w:val="36336C04"/>
    <w:rsid w:val="366043F8"/>
    <w:rsid w:val="366626F2"/>
    <w:rsid w:val="366F5A51"/>
    <w:rsid w:val="374F6194"/>
    <w:rsid w:val="377F6041"/>
    <w:rsid w:val="37BC7D72"/>
    <w:rsid w:val="37E15A1B"/>
    <w:rsid w:val="382E42A6"/>
    <w:rsid w:val="38626E95"/>
    <w:rsid w:val="38A75F14"/>
    <w:rsid w:val="38BD2C6C"/>
    <w:rsid w:val="38FA0996"/>
    <w:rsid w:val="39467E4B"/>
    <w:rsid w:val="396E02FE"/>
    <w:rsid w:val="3982272C"/>
    <w:rsid w:val="399133F9"/>
    <w:rsid w:val="399648C1"/>
    <w:rsid w:val="39BB3B43"/>
    <w:rsid w:val="3A156CE0"/>
    <w:rsid w:val="3A277789"/>
    <w:rsid w:val="3A2D66D3"/>
    <w:rsid w:val="3A891A0E"/>
    <w:rsid w:val="3A9620D1"/>
    <w:rsid w:val="3AA26C9B"/>
    <w:rsid w:val="3ADC5E36"/>
    <w:rsid w:val="3AFC2B33"/>
    <w:rsid w:val="3AFC41BB"/>
    <w:rsid w:val="3B7F2802"/>
    <w:rsid w:val="3B8B43E4"/>
    <w:rsid w:val="3BC33F8E"/>
    <w:rsid w:val="3BCE7F95"/>
    <w:rsid w:val="3C087392"/>
    <w:rsid w:val="3C3F7E0E"/>
    <w:rsid w:val="3C851465"/>
    <w:rsid w:val="3C893061"/>
    <w:rsid w:val="3C8C09A7"/>
    <w:rsid w:val="3CB44350"/>
    <w:rsid w:val="3CB674D9"/>
    <w:rsid w:val="3CC937E3"/>
    <w:rsid w:val="3D0F30FA"/>
    <w:rsid w:val="3D634A82"/>
    <w:rsid w:val="3D9210CE"/>
    <w:rsid w:val="3DAC0E95"/>
    <w:rsid w:val="3E08361A"/>
    <w:rsid w:val="3E7A082F"/>
    <w:rsid w:val="3E926EC3"/>
    <w:rsid w:val="3E93478A"/>
    <w:rsid w:val="3E9F10BF"/>
    <w:rsid w:val="3EC40624"/>
    <w:rsid w:val="3EC74949"/>
    <w:rsid w:val="3F0875E3"/>
    <w:rsid w:val="3F09726C"/>
    <w:rsid w:val="3F0F2BD0"/>
    <w:rsid w:val="3F1F25CF"/>
    <w:rsid w:val="3F495E7B"/>
    <w:rsid w:val="3F5B21D1"/>
    <w:rsid w:val="3FB60A94"/>
    <w:rsid w:val="3FBD74AC"/>
    <w:rsid w:val="402D7D95"/>
    <w:rsid w:val="402F67F2"/>
    <w:rsid w:val="402F7D1A"/>
    <w:rsid w:val="405E7B10"/>
    <w:rsid w:val="411531A3"/>
    <w:rsid w:val="414B0A93"/>
    <w:rsid w:val="415723A1"/>
    <w:rsid w:val="41643432"/>
    <w:rsid w:val="41CE480C"/>
    <w:rsid w:val="421B0E01"/>
    <w:rsid w:val="42481B2A"/>
    <w:rsid w:val="437906BF"/>
    <w:rsid w:val="43945CC5"/>
    <w:rsid w:val="43CE3BC6"/>
    <w:rsid w:val="43FB5AF0"/>
    <w:rsid w:val="440B4BBE"/>
    <w:rsid w:val="44211E9A"/>
    <w:rsid w:val="4454633F"/>
    <w:rsid w:val="44555A83"/>
    <w:rsid w:val="446A1C8A"/>
    <w:rsid w:val="44B04CDA"/>
    <w:rsid w:val="44C70D28"/>
    <w:rsid w:val="44EB2E62"/>
    <w:rsid w:val="44EE2D37"/>
    <w:rsid w:val="452946FD"/>
    <w:rsid w:val="45465A74"/>
    <w:rsid w:val="457210D8"/>
    <w:rsid w:val="459C31A4"/>
    <w:rsid w:val="45E30915"/>
    <w:rsid w:val="45E40321"/>
    <w:rsid w:val="4625557D"/>
    <w:rsid w:val="464F0E9C"/>
    <w:rsid w:val="465173C0"/>
    <w:rsid w:val="46540242"/>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9B4ADD"/>
    <w:rsid w:val="48BB3F94"/>
    <w:rsid w:val="48E03D9C"/>
    <w:rsid w:val="48F75F7E"/>
    <w:rsid w:val="49374149"/>
    <w:rsid w:val="49613924"/>
    <w:rsid w:val="496D0F3E"/>
    <w:rsid w:val="49E12571"/>
    <w:rsid w:val="49E378C6"/>
    <w:rsid w:val="4A834EBE"/>
    <w:rsid w:val="4A84625B"/>
    <w:rsid w:val="4AC742EB"/>
    <w:rsid w:val="4B222F19"/>
    <w:rsid w:val="4B3040AF"/>
    <w:rsid w:val="4B55574A"/>
    <w:rsid w:val="4B8B3072"/>
    <w:rsid w:val="4BA90131"/>
    <w:rsid w:val="4BB36285"/>
    <w:rsid w:val="4BD35EC5"/>
    <w:rsid w:val="4BF55CE7"/>
    <w:rsid w:val="4C1B3C0A"/>
    <w:rsid w:val="4C4846F9"/>
    <w:rsid w:val="4CA517A6"/>
    <w:rsid w:val="4CBC728A"/>
    <w:rsid w:val="4CC550D0"/>
    <w:rsid w:val="4CFB69A6"/>
    <w:rsid w:val="4D2316EA"/>
    <w:rsid w:val="4D267491"/>
    <w:rsid w:val="4D331FE6"/>
    <w:rsid w:val="4D7D1D33"/>
    <w:rsid w:val="4D830955"/>
    <w:rsid w:val="4DD76DA8"/>
    <w:rsid w:val="4DF641D3"/>
    <w:rsid w:val="4E3E017D"/>
    <w:rsid w:val="4E43407C"/>
    <w:rsid w:val="4E5F59DA"/>
    <w:rsid w:val="4EA44C2A"/>
    <w:rsid w:val="4EF23E87"/>
    <w:rsid w:val="4F2941D5"/>
    <w:rsid w:val="4FF955FD"/>
    <w:rsid w:val="4FFC0A94"/>
    <w:rsid w:val="50081059"/>
    <w:rsid w:val="504F4E51"/>
    <w:rsid w:val="509E2AE6"/>
    <w:rsid w:val="50F36CD9"/>
    <w:rsid w:val="512E641B"/>
    <w:rsid w:val="517D059D"/>
    <w:rsid w:val="51C56B39"/>
    <w:rsid w:val="51FA56D9"/>
    <w:rsid w:val="521723B7"/>
    <w:rsid w:val="523F7F97"/>
    <w:rsid w:val="53047529"/>
    <w:rsid w:val="53133561"/>
    <w:rsid w:val="535D658C"/>
    <w:rsid w:val="53B9060B"/>
    <w:rsid w:val="54107975"/>
    <w:rsid w:val="5451551D"/>
    <w:rsid w:val="548C2C0D"/>
    <w:rsid w:val="54D6790A"/>
    <w:rsid w:val="55205953"/>
    <w:rsid w:val="553A4CBA"/>
    <w:rsid w:val="557E6857"/>
    <w:rsid w:val="55E15918"/>
    <w:rsid w:val="55E65C45"/>
    <w:rsid w:val="55EA2DA9"/>
    <w:rsid w:val="55F9753C"/>
    <w:rsid w:val="55FA344A"/>
    <w:rsid w:val="5616542D"/>
    <w:rsid w:val="563A460F"/>
    <w:rsid w:val="565A7710"/>
    <w:rsid w:val="566B6C45"/>
    <w:rsid w:val="56975E59"/>
    <w:rsid w:val="569C350B"/>
    <w:rsid w:val="56BF0EA2"/>
    <w:rsid w:val="56EA3918"/>
    <w:rsid w:val="57460503"/>
    <w:rsid w:val="575272DC"/>
    <w:rsid w:val="575370FA"/>
    <w:rsid w:val="57B642BC"/>
    <w:rsid w:val="57BD0A78"/>
    <w:rsid w:val="57DC6FDD"/>
    <w:rsid w:val="57FB5F50"/>
    <w:rsid w:val="58984B29"/>
    <w:rsid w:val="589E7340"/>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BEF3BBE"/>
    <w:rsid w:val="5C991133"/>
    <w:rsid w:val="5C995E25"/>
    <w:rsid w:val="5D5144C0"/>
    <w:rsid w:val="5DFB2BCA"/>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4D1869"/>
    <w:rsid w:val="607F4912"/>
    <w:rsid w:val="60881A7C"/>
    <w:rsid w:val="609751E5"/>
    <w:rsid w:val="60C10976"/>
    <w:rsid w:val="61563C9D"/>
    <w:rsid w:val="61C16E82"/>
    <w:rsid w:val="61D81A5C"/>
    <w:rsid w:val="620D1678"/>
    <w:rsid w:val="62B8321C"/>
    <w:rsid w:val="62D625D5"/>
    <w:rsid w:val="630962B4"/>
    <w:rsid w:val="63766DF5"/>
    <w:rsid w:val="63B6206D"/>
    <w:rsid w:val="63BE6B4B"/>
    <w:rsid w:val="63E41E32"/>
    <w:rsid w:val="6406254B"/>
    <w:rsid w:val="643636FB"/>
    <w:rsid w:val="64522BD2"/>
    <w:rsid w:val="646766DC"/>
    <w:rsid w:val="64894B6D"/>
    <w:rsid w:val="64E010F2"/>
    <w:rsid w:val="6503009D"/>
    <w:rsid w:val="651E5E20"/>
    <w:rsid w:val="65535A1B"/>
    <w:rsid w:val="657E2D0B"/>
    <w:rsid w:val="65817DB1"/>
    <w:rsid w:val="65FE510C"/>
    <w:rsid w:val="660E507B"/>
    <w:rsid w:val="66373410"/>
    <w:rsid w:val="664D4AB5"/>
    <w:rsid w:val="66576902"/>
    <w:rsid w:val="668D6BED"/>
    <w:rsid w:val="669369C9"/>
    <w:rsid w:val="66943B2D"/>
    <w:rsid w:val="66CA61B4"/>
    <w:rsid w:val="67165E6D"/>
    <w:rsid w:val="675A1CF7"/>
    <w:rsid w:val="6761194F"/>
    <w:rsid w:val="677F7400"/>
    <w:rsid w:val="67A01566"/>
    <w:rsid w:val="67A63D55"/>
    <w:rsid w:val="67A84465"/>
    <w:rsid w:val="67AB3B49"/>
    <w:rsid w:val="68245422"/>
    <w:rsid w:val="68384317"/>
    <w:rsid w:val="685F312A"/>
    <w:rsid w:val="68603781"/>
    <w:rsid w:val="68CC70D7"/>
    <w:rsid w:val="69291ACC"/>
    <w:rsid w:val="6933530D"/>
    <w:rsid w:val="693F57CE"/>
    <w:rsid w:val="69433D4A"/>
    <w:rsid w:val="696B32FD"/>
    <w:rsid w:val="69797C2C"/>
    <w:rsid w:val="69AB78DD"/>
    <w:rsid w:val="69D171A3"/>
    <w:rsid w:val="69D74CDC"/>
    <w:rsid w:val="6A206938"/>
    <w:rsid w:val="6A2F1F48"/>
    <w:rsid w:val="6A6C5A40"/>
    <w:rsid w:val="6A9B47A1"/>
    <w:rsid w:val="6AFF14C0"/>
    <w:rsid w:val="6B0E13E7"/>
    <w:rsid w:val="6B1301B0"/>
    <w:rsid w:val="6B29781B"/>
    <w:rsid w:val="6B5068BA"/>
    <w:rsid w:val="6BFF0085"/>
    <w:rsid w:val="6C6D4AB7"/>
    <w:rsid w:val="6D17028B"/>
    <w:rsid w:val="6D2552D8"/>
    <w:rsid w:val="6D302D5D"/>
    <w:rsid w:val="6D3C235D"/>
    <w:rsid w:val="6D935AB0"/>
    <w:rsid w:val="6DA62403"/>
    <w:rsid w:val="6DF5498C"/>
    <w:rsid w:val="6E087119"/>
    <w:rsid w:val="6E0A3A07"/>
    <w:rsid w:val="6E372360"/>
    <w:rsid w:val="6E4F724A"/>
    <w:rsid w:val="6E60770D"/>
    <w:rsid w:val="6F037853"/>
    <w:rsid w:val="6F7B3028"/>
    <w:rsid w:val="6FA027BC"/>
    <w:rsid w:val="6FC55DFE"/>
    <w:rsid w:val="70020A66"/>
    <w:rsid w:val="700B0E5F"/>
    <w:rsid w:val="701A03F2"/>
    <w:rsid w:val="701B6FD8"/>
    <w:rsid w:val="70206DE6"/>
    <w:rsid w:val="704266E6"/>
    <w:rsid w:val="704822BF"/>
    <w:rsid w:val="706A7B0F"/>
    <w:rsid w:val="7080412D"/>
    <w:rsid w:val="7127456D"/>
    <w:rsid w:val="712914EF"/>
    <w:rsid w:val="717C199B"/>
    <w:rsid w:val="71A06A03"/>
    <w:rsid w:val="71EF2FA5"/>
    <w:rsid w:val="7210341D"/>
    <w:rsid w:val="72C12A96"/>
    <w:rsid w:val="73624F26"/>
    <w:rsid w:val="736C6888"/>
    <w:rsid w:val="737F4DAF"/>
    <w:rsid w:val="739169DE"/>
    <w:rsid w:val="739B1EBD"/>
    <w:rsid w:val="73AF18CB"/>
    <w:rsid w:val="73B9425D"/>
    <w:rsid w:val="73ED4A58"/>
    <w:rsid w:val="73F12374"/>
    <w:rsid w:val="740422B3"/>
    <w:rsid w:val="74796ABE"/>
    <w:rsid w:val="74A87093"/>
    <w:rsid w:val="74C80433"/>
    <w:rsid w:val="74E229B4"/>
    <w:rsid w:val="74E9694C"/>
    <w:rsid w:val="74EC26A7"/>
    <w:rsid w:val="75034CF7"/>
    <w:rsid w:val="756F302F"/>
    <w:rsid w:val="757946EE"/>
    <w:rsid w:val="75DF32A0"/>
    <w:rsid w:val="75ED010F"/>
    <w:rsid w:val="760A43BF"/>
    <w:rsid w:val="761321E0"/>
    <w:rsid w:val="761450E8"/>
    <w:rsid w:val="764A52E7"/>
    <w:rsid w:val="765D589D"/>
    <w:rsid w:val="76A133C0"/>
    <w:rsid w:val="76D36025"/>
    <w:rsid w:val="772F2936"/>
    <w:rsid w:val="776B6DA8"/>
    <w:rsid w:val="77930FF3"/>
    <w:rsid w:val="77AF6C41"/>
    <w:rsid w:val="77B21E06"/>
    <w:rsid w:val="780F0912"/>
    <w:rsid w:val="784F6AB7"/>
    <w:rsid w:val="78D61CB2"/>
    <w:rsid w:val="78F104FB"/>
    <w:rsid w:val="79493EB1"/>
    <w:rsid w:val="797C66CF"/>
    <w:rsid w:val="7A7550A6"/>
    <w:rsid w:val="7AAF3771"/>
    <w:rsid w:val="7AEC001A"/>
    <w:rsid w:val="7B0D7B96"/>
    <w:rsid w:val="7B475761"/>
    <w:rsid w:val="7B49298E"/>
    <w:rsid w:val="7B7B57F5"/>
    <w:rsid w:val="7B7D3C44"/>
    <w:rsid w:val="7BE208A5"/>
    <w:rsid w:val="7BE3068E"/>
    <w:rsid w:val="7C150EF5"/>
    <w:rsid w:val="7C3133CB"/>
    <w:rsid w:val="7C465BE7"/>
    <w:rsid w:val="7C665A9A"/>
    <w:rsid w:val="7C6731A8"/>
    <w:rsid w:val="7CAF51D0"/>
    <w:rsid w:val="7CAF6655"/>
    <w:rsid w:val="7D2A73BF"/>
    <w:rsid w:val="7D6E224F"/>
    <w:rsid w:val="7D850A77"/>
    <w:rsid w:val="7D87285F"/>
    <w:rsid w:val="7D9B3B81"/>
    <w:rsid w:val="7DA87B6D"/>
    <w:rsid w:val="7DA957CB"/>
    <w:rsid w:val="7DC82C31"/>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6EEE2F-8FF3-4882-9F7E-AF2D267E0A58}">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951</Words>
  <Characters>5424</Characters>
  <Lines>45</Lines>
  <Paragraphs>12</Paragraphs>
  <TotalTime>0</TotalTime>
  <ScaleCrop>false</ScaleCrop>
  <LinksUpToDate>false</LinksUpToDate>
  <CharactersWithSpaces>6363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2022-01-03T02:53:00Z</dcterms:created>
  <dc:creator>10033860</dc:creator>
  <cp:lastModifiedBy>ZTE</cp:lastModifiedBy>
  <cp:lastPrinted>2113-01-01T00:00:00Z</cp:lastPrinted>
  <dcterms:modified xsi:type="dcterms:W3CDTF">2022-01-07T03:52:03Z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