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7F97E" w14:textId="77777777" w:rsidR="009024FA" w:rsidRDefault="00D84140">
      <w:pPr>
        <w:pStyle w:val="ac"/>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14:paraId="08474B69" w14:textId="77777777" w:rsidR="009024FA" w:rsidRDefault="00D84140">
      <w:pPr>
        <w:pStyle w:val="ac"/>
        <w:tabs>
          <w:tab w:val="right" w:pos="9639"/>
        </w:tabs>
        <w:rPr>
          <w:bCs/>
          <w:sz w:val="22"/>
          <w:szCs w:val="22"/>
          <w:lang w:val="en-US" w:eastAsia="zh-CN"/>
        </w:rPr>
      </w:pPr>
      <w:r>
        <w:rPr>
          <w:bCs/>
          <w:sz w:val="22"/>
          <w:szCs w:val="22"/>
          <w:lang w:val="en-US"/>
        </w:rPr>
        <w:tab/>
      </w:r>
    </w:p>
    <w:p w14:paraId="3224B152" w14:textId="77777777" w:rsidR="009024FA" w:rsidRDefault="009024FA">
      <w:pPr>
        <w:pStyle w:val="ac"/>
        <w:rPr>
          <w:bCs/>
          <w:sz w:val="22"/>
          <w:szCs w:val="22"/>
        </w:rPr>
      </w:pPr>
    </w:p>
    <w:p w14:paraId="44B356C7" w14:textId="77777777" w:rsidR="009024FA" w:rsidRDefault="009024FA">
      <w:pPr>
        <w:pStyle w:val="ac"/>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[AT116-e][010][NR16]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af2"/>
          </w:rPr>
          <w:t>R2-2110523</w:t>
        </w:r>
      </w:hyperlink>
      <w:r>
        <w:t xml:space="preserve">, </w:t>
      </w:r>
      <w:hyperlink r:id="rId14" w:tooltip="D:Documents3GPPtsg_ranWG2TSGR2_116-eDocsR2-2110524.zip" w:history="1">
        <w:r>
          <w:rPr>
            <w:rStyle w:val="af2"/>
          </w:rPr>
          <w:t>R2-2110524</w:t>
        </w:r>
      </w:hyperlink>
      <w:r>
        <w:t xml:space="preserve">, </w:t>
      </w:r>
      <w:hyperlink r:id="rId15" w:tooltip="D:Documents3GPPtsg_ranWG2TSGR2_116-eDocsR2-2110525.zip" w:history="1">
        <w:r>
          <w:rPr>
            <w:rStyle w:val="af2"/>
          </w:rPr>
          <w:t>R2-2110525</w:t>
        </w:r>
      </w:hyperlink>
      <w:r>
        <w:t xml:space="preserve">, </w:t>
      </w:r>
      <w:hyperlink r:id="rId16" w:tooltip="D:Documents3GPPtsg_ranWG2TSGR2_116-eDocsR2-2110526.zip" w:history="1">
        <w:r>
          <w:rPr>
            <w:rStyle w:val="af2"/>
          </w:rPr>
          <w:t>R2-2110526</w:t>
        </w:r>
      </w:hyperlink>
      <w:r>
        <w:t xml:space="preserve">, </w:t>
      </w:r>
      <w:hyperlink r:id="rId17" w:tooltip="D:Documents3GPPtsg_ranWG2TSGR2_116-eDocsR2-2109346.zip" w:history="1">
        <w:r>
          <w:rPr>
            <w:rStyle w:val="af2"/>
          </w:rPr>
          <w:t>R2-2109346</w:t>
        </w:r>
      </w:hyperlink>
      <w:r>
        <w:t xml:space="preserve">, </w:t>
      </w:r>
      <w:hyperlink r:id="rId18" w:tooltip="D:Documents3GPPtsg_ranWG2TSGR2_116-eDocsR2-2110685.zip" w:history="1">
        <w:r>
          <w:rPr>
            <w:rStyle w:val="af2"/>
          </w:rPr>
          <w:t>R2-2110685</w:t>
        </w:r>
      </w:hyperlink>
      <w:r>
        <w:t xml:space="preserve">, </w:t>
      </w:r>
      <w:hyperlink r:id="rId19" w:tooltip="D:Documents3GPPtsg_ranWG2TSGR2_116-eDocsR2-2110686.zip" w:history="1">
        <w:r>
          <w:rPr>
            <w:rStyle w:val="af2"/>
          </w:rPr>
          <w:t>R2-2110686</w:t>
        </w:r>
      </w:hyperlink>
      <w:r>
        <w:t xml:space="preserve">, </w:t>
      </w:r>
      <w:hyperlink r:id="rId20" w:tooltip="D:Documents3GPPtsg_ranWG2TSGR2_116-eDocsR2-2111037.zip" w:history="1">
        <w:r>
          <w:rPr>
            <w:rStyle w:val="af2"/>
          </w:rPr>
          <w:t>R2-2111037</w:t>
        </w:r>
      </w:hyperlink>
      <w:r>
        <w:t xml:space="preserve">, </w:t>
      </w:r>
      <w:hyperlink r:id="rId21" w:tooltip="D:Documents3GPPtsg_ranWG2TSGR2_116-eDocsR2-2111200.zip" w:history="1">
        <w:r>
          <w:rPr>
            <w:rStyle w:val="af2"/>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14:paraId="72299DF6"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14:paraId="419DEA3E" w14:textId="77777777" w:rsidR="009024FA" w:rsidRDefault="00D84140">
      <w:pPr>
        <w:pStyle w:val="af4"/>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1C2F86">
            <w:pPr>
              <w:pStyle w:val="TAC"/>
              <w:spacing w:before="20" w:after="20"/>
              <w:ind w:left="57" w:right="57"/>
              <w:jc w:val="left"/>
              <w:rPr>
                <w:lang w:eastAsia="zh-CN"/>
              </w:rPr>
            </w:pPr>
            <w:hyperlink r:id="rId22" w:history="1">
              <w:r w:rsidR="00D84140">
                <w:rPr>
                  <w:rStyle w:val="af2"/>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1C2F86">
            <w:pPr>
              <w:pStyle w:val="TAC"/>
              <w:spacing w:before="20" w:after="20"/>
              <w:ind w:left="57" w:right="57"/>
              <w:jc w:val="left"/>
              <w:rPr>
                <w:lang w:eastAsia="zh-CN"/>
              </w:rPr>
            </w:pPr>
            <w:hyperlink r:id="rId23" w:history="1">
              <w:r w:rsidR="00D84140">
                <w:rPr>
                  <w:rStyle w:val="af2"/>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r>
              <w:rPr>
                <w:rFonts w:hint="eastAsia"/>
                <w:lang w:eastAsia="zh-CN"/>
              </w:rPr>
              <w:t>Jincan</w:t>
            </w:r>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1C2F86" w:rsidP="00072286">
            <w:pPr>
              <w:pStyle w:val="TAC"/>
              <w:spacing w:before="20" w:after="20"/>
              <w:ind w:left="57" w:right="57"/>
              <w:jc w:val="left"/>
            </w:pPr>
            <w:hyperlink r:id="rId24" w:history="1">
              <w:r w:rsidR="008C1438" w:rsidRPr="007F4AA8">
                <w:rPr>
                  <w:rStyle w:val="af2"/>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120A4BE8" w:rsidR="00864EA2" w:rsidRDefault="00AB3BBE" w:rsidP="00072286">
            <w:pPr>
              <w:pStyle w:val="TAC"/>
              <w:spacing w:before="20" w:after="20"/>
              <w:ind w:left="57" w:right="57"/>
              <w:jc w:val="left"/>
              <w:rPr>
                <w:rFonts w:eastAsia="Malgun Gothic"/>
                <w:lang w:eastAsia="ko-KR"/>
              </w:rPr>
            </w:pPr>
            <w:hyperlink r:id="rId25" w:history="1">
              <w:r w:rsidRPr="00EA796D">
                <w:rPr>
                  <w:rStyle w:val="af2"/>
                  <w:rFonts w:eastAsia="Malgun Gothic"/>
                  <w:lang w:eastAsia="ko-KR"/>
                </w:rPr>
                <w:t>fangli_xu@apple.com</w:t>
              </w:r>
            </w:hyperlink>
          </w:p>
        </w:tc>
      </w:tr>
      <w:tr w:rsidR="00AB3BBE" w14:paraId="62DB7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9F1B8" w14:textId="0451EECC" w:rsidR="00AB3BBE" w:rsidRPr="00AB3BBE" w:rsidRDefault="00AB3BBE" w:rsidP="00072286">
            <w:pPr>
              <w:pStyle w:val="TAC"/>
              <w:spacing w:before="20" w:after="20"/>
              <w:ind w:left="57" w:right="57"/>
              <w:jc w:val="left"/>
              <w:rPr>
                <w:rFonts w:hint="eastAsia"/>
                <w:lang w:val="en-US" w:eastAsia="zh-CN"/>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6ADB146E" w14:textId="7F7EB51A" w:rsidR="00AB3BBE" w:rsidRPr="00AB3BBE" w:rsidRDefault="00AB3BBE" w:rsidP="00072286">
            <w:pPr>
              <w:pStyle w:val="TAC"/>
              <w:spacing w:before="20" w:after="20"/>
              <w:ind w:left="57" w:right="57"/>
              <w:jc w:val="left"/>
              <w:rPr>
                <w:rFonts w:hint="eastAsia"/>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1ABB213" w14:textId="56FD7373" w:rsidR="00AB3BBE" w:rsidRPr="00AB3BBE" w:rsidRDefault="00AB3BBE" w:rsidP="00072286">
            <w:pPr>
              <w:pStyle w:val="TAC"/>
              <w:spacing w:before="20" w:after="20"/>
              <w:ind w:left="57" w:right="57"/>
              <w:jc w:val="left"/>
              <w:rPr>
                <w:rFonts w:hint="eastAsia"/>
                <w:lang w:eastAsia="zh-CN"/>
              </w:rPr>
            </w:pPr>
            <w:hyperlink r:id="rId26" w:history="1">
              <w:r w:rsidRPr="00EA796D">
                <w:rPr>
                  <w:rStyle w:val="af2"/>
                  <w:rFonts w:hint="eastAsia"/>
                  <w:lang w:eastAsia="zh-CN"/>
                </w:rPr>
                <w:t>d</w:t>
              </w:r>
              <w:r w:rsidRPr="00EA796D">
                <w:rPr>
                  <w:rStyle w:val="af2"/>
                  <w:lang w:eastAsia="zh-CN"/>
                </w:rPr>
                <w:t>uzhongda@oppo.com</w:t>
              </w:r>
            </w:hyperlink>
          </w:p>
        </w:tc>
      </w:tr>
      <w:tr w:rsidR="00AB3BBE" w14:paraId="18FC0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45BF1" w14:textId="737B16D9" w:rsidR="00AB3BBE" w:rsidRDefault="00AB3BBE" w:rsidP="0007228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377F635" w14:textId="3EBFD61F" w:rsidR="00AB3BBE" w:rsidRDefault="00AB3BBE" w:rsidP="00072286">
            <w:pPr>
              <w:pStyle w:val="TAC"/>
              <w:spacing w:before="20" w:after="20"/>
              <w:ind w:left="57" w:right="57"/>
              <w:jc w:val="left"/>
              <w:rPr>
                <w:rFonts w:hint="eastAsia"/>
                <w:lang w:eastAsia="zh-CN"/>
              </w:rPr>
            </w:pPr>
            <w:r>
              <w:rPr>
                <w:lang w:eastAsia="zh-CN"/>
              </w:rPr>
              <w:t>Boyuan Zhang</w:t>
            </w:r>
          </w:p>
        </w:tc>
        <w:tc>
          <w:tcPr>
            <w:tcW w:w="4391" w:type="dxa"/>
            <w:tcBorders>
              <w:top w:val="single" w:sz="4" w:space="0" w:color="auto"/>
              <w:left w:val="single" w:sz="4" w:space="0" w:color="auto"/>
              <w:bottom w:val="single" w:sz="4" w:space="0" w:color="auto"/>
              <w:right w:val="single" w:sz="4" w:space="0" w:color="auto"/>
            </w:tcBorders>
          </w:tcPr>
          <w:p w14:paraId="6C2D17EF" w14:textId="2A86DA16" w:rsidR="00AB3BBE" w:rsidRDefault="00AB3BBE" w:rsidP="00072286">
            <w:pPr>
              <w:pStyle w:val="TAC"/>
              <w:spacing w:before="20" w:after="20"/>
              <w:ind w:left="57" w:right="57"/>
              <w:jc w:val="left"/>
              <w:rPr>
                <w:lang w:eastAsia="zh-CN"/>
              </w:rPr>
            </w:pPr>
            <w:r>
              <w:rPr>
                <w:rFonts w:hint="eastAsia"/>
                <w:lang w:eastAsia="zh-CN"/>
              </w:rPr>
              <w:t>z</w:t>
            </w:r>
            <w:r>
              <w:rPr>
                <w:lang w:eastAsia="zh-CN"/>
              </w:rPr>
              <w:t>hangboyuan@oppo.com</w:t>
            </w:r>
          </w:p>
        </w:tc>
      </w:tr>
    </w:tbl>
    <w:p w14:paraId="46CF9EE3" w14:textId="77777777" w:rsidR="009024FA" w:rsidRDefault="00D84140">
      <w:pPr>
        <w:pStyle w:val="1"/>
        <w:ind w:left="0" w:firstLine="0"/>
      </w:pPr>
      <w:r>
        <w:t>3</w:t>
      </w:r>
      <w:r>
        <w:tab/>
        <w:t xml:space="preserve">Discussion </w:t>
      </w:r>
    </w:p>
    <w:p w14:paraId="260F3DA3" w14:textId="77777777" w:rsidR="009024FA" w:rsidRDefault="00D84140">
      <w:pPr>
        <w:pStyle w:val="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50989F14"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0A1B948A"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5F1E368A" w14:textId="77777777" w:rsidR="009024FA" w:rsidRDefault="00D84140">
      <w:pPr>
        <w:jc w:val="both"/>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 xml:space="preserve">NR_newRAT-Core </w:t>
      </w:r>
    </w:p>
    <w:p w14:paraId="251F461E" w14:textId="77777777"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a8"/>
          <w:rFonts w:ascii="Times New Roman" w:hAnsi="Times New Roman"/>
        </w:rPr>
      </w:pPr>
      <w:r>
        <w:rPr>
          <w:rStyle w:val="a8"/>
          <w:rFonts w:ascii="Times New Roman" w:hAnsi="Times New Roman"/>
          <w:b/>
        </w:rPr>
        <w:t>Option 1</w:t>
      </w:r>
      <w:r>
        <w:rPr>
          <w:rStyle w:val="a8"/>
          <w:rFonts w:ascii="Times New Roman" w:hAnsi="Times New Roman"/>
        </w:rPr>
        <w:t xml:space="preserve">: The target NR PSCell SMTC configuration is provided through </w:t>
      </w:r>
      <w:r>
        <w:rPr>
          <w:rStyle w:val="a8"/>
          <w:rFonts w:ascii="Times New Roman" w:hAnsi="Times New Roman"/>
          <w:i/>
          <w:iCs/>
        </w:rPr>
        <w:t>MobilityFromNRCommand</w:t>
      </w:r>
      <w:r>
        <w:rPr>
          <w:rStyle w:val="a8"/>
          <w:rFonts w:ascii="Times New Roman" w:hAnsi="Times New Roman"/>
        </w:rPr>
        <w:t xml:space="preserve"> based on the timing reference of source NR PCell;</w:t>
      </w:r>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a8"/>
          <w:rFonts w:ascii="Times New Roman" w:hAnsi="Times New Roman"/>
          <w:b/>
        </w:rPr>
        <w:t>Option 2</w:t>
      </w:r>
      <w:r>
        <w:rPr>
          <w:rStyle w:val="a8"/>
          <w:rFonts w:ascii="Times New Roman" w:hAnsi="Times New Roman"/>
        </w:rPr>
        <w:t>: The target NR PSCell SMTC configuration is provided through</w:t>
      </w:r>
      <w:r>
        <w:rPr>
          <w:rFonts w:eastAsia="等线"/>
          <w:b/>
          <w:bCs/>
          <w:i/>
          <w:iCs/>
        </w:rPr>
        <w:t xml:space="preserve"> </w:t>
      </w:r>
      <w:r>
        <w:rPr>
          <w:rFonts w:eastAsia="等线"/>
          <w:i/>
          <w:iCs/>
        </w:rPr>
        <w:t>targetRAT-MessageContainer</w:t>
      </w:r>
      <w:r>
        <w:rPr>
          <w:rStyle w:val="a8"/>
          <w:rFonts w:ascii="Times New Roman" w:hAnsi="Times New Roman"/>
        </w:rPr>
        <w:t xml:space="preserve"> based on the timing reference of target EUTRA PCell.</w:t>
      </w:r>
    </w:p>
    <w:p w14:paraId="6490E873" w14:textId="77777777" w:rsidR="009024FA" w:rsidRDefault="00D84140">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af4"/>
        <w:numPr>
          <w:ilvl w:val="0"/>
          <w:numId w:val="6"/>
        </w:numPr>
        <w:rPr>
          <w:lang w:eastAsia="zh-CN"/>
        </w:rPr>
      </w:pPr>
      <w:r>
        <w:rPr>
          <w:lang w:eastAsia="zh-CN"/>
        </w:rPr>
        <w:t>Option 1: based on the timing reference of source NR PCell;</w:t>
      </w:r>
    </w:p>
    <w:p w14:paraId="76B3F741" w14:textId="77777777" w:rsidR="009024FA" w:rsidRDefault="00D84140">
      <w:pPr>
        <w:pStyle w:val="af4"/>
        <w:numPr>
          <w:ilvl w:val="0"/>
          <w:numId w:val="6"/>
        </w:numPr>
        <w:rPr>
          <w:lang w:eastAsia="zh-CN"/>
        </w:rPr>
      </w:pPr>
      <w:r>
        <w:rPr>
          <w:lang w:eastAsia="zh-CN"/>
        </w:rPr>
        <w:t>Option 2: based on the timing reference of target EUTRA PCell;</w:t>
      </w:r>
    </w:p>
    <w:p w14:paraId="712179B6" w14:textId="77777777" w:rsidR="009024FA" w:rsidRDefault="00D84140">
      <w:pPr>
        <w:pStyle w:val="af4"/>
        <w:numPr>
          <w:ilvl w:val="0"/>
          <w:numId w:val="6"/>
        </w:numPr>
        <w:rPr>
          <w:lang w:eastAsia="zh-CN"/>
        </w:rPr>
      </w:pPr>
      <w:r>
        <w:rPr>
          <w:rFonts w:hint="eastAsia"/>
          <w:lang w:eastAsia="zh-CN"/>
        </w:rPr>
        <w:t>B</w:t>
      </w:r>
      <w:r>
        <w:rPr>
          <w:lang w:eastAsia="zh-CN"/>
        </w:rPr>
        <w:t>oth Option 1 and Option 2;</w:t>
      </w:r>
    </w:p>
    <w:p w14:paraId="2C473A1F" w14:textId="77777777" w:rsidR="009024FA" w:rsidRDefault="00D84140">
      <w:pPr>
        <w:pStyle w:val="af4"/>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FD6A021"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one shot Handover, i.e. HO to PCell (LTE) and PSCell (NR) Target is expected to be executed simultenously, it makes sense to use the source Pcell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PCell is acquired before initiating the PSCell addition, </w:t>
            </w:r>
            <w:r>
              <w:rPr>
                <w:b/>
                <w:bCs/>
                <w:u w:val="single"/>
                <w:lang w:eastAsia="zh-CN"/>
              </w:rPr>
              <w:t>which is a suboptimal behavior</w:t>
            </w:r>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ince the target EUTRA PCell decides on SN addition, the target NR PSCell SMTC configuration should be based on the timing reference of target EUTRA PCell.</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5F0EBA6" w14:textId="77777777" w:rsidR="008C1438" w:rsidRPr="008C1438" w:rsidRDefault="008C1438" w:rsidP="00A30F45">
            <w:pPr>
              <w:pStyle w:val="TAC"/>
              <w:spacing w:before="20" w:after="20"/>
              <w:ind w:right="57"/>
              <w:jc w:val="left"/>
              <w:rPr>
                <w:rFonts w:eastAsia="Malgun Gothic"/>
                <w:lang w:eastAsia="ko-KR"/>
              </w:rPr>
            </w:pPr>
            <w:r>
              <w:rPr>
                <w:rFonts w:eastAsia="Malgun Gothic" w:hint="eastAsia"/>
                <w:lang w:eastAsia="ko-KR"/>
              </w:rPr>
              <w:t>Similar to NR-DC, it makes more sense to apply PSCell SMTC configuration based on the timing reference of target EUTRA P</w:t>
            </w:r>
            <w:r>
              <w:rPr>
                <w:rFonts w:eastAsia="Malgun Gothic"/>
                <w:lang w:eastAsia="ko-KR"/>
              </w:rPr>
              <w:t>c</w:t>
            </w:r>
            <w:r>
              <w:rPr>
                <w:rFonts w:eastAsia="Malgun Gothic" w:hint="eastAsia"/>
                <w:lang w:eastAsia="ko-KR"/>
              </w:rPr>
              <w:t>ell.</w:t>
            </w:r>
            <w:r>
              <w:rPr>
                <w:rFonts w:eastAsia="Malgun Gothic"/>
                <w:lang w:eastAsia="ko-KR"/>
              </w:rPr>
              <w:t xml:space="preserve"> </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It is based on timing reference of EUTRA PCell.</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noProof/>
                <w:lang w:val="en-US" w:eastAsia="zh-CN"/>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31945" cy="471170"/>
                          </a:xfrm>
                          <a:prstGeom prst="rect">
                            <a:avLst/>
                          </a:prstGeom>
                        </pic:spPr>
                      </pic:pic>
                    </a:graphicData>
                  </a:graphic>
                </wp:inline>
              </w:drawing>
            </w:r>
          </w:p>
        </w:tc>
      </w:tr>
      <w:tr w:rsidR="00AB3BBE" w14:paraId="3B05DE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CD175" w14:textId="255AA780" w:rsidR="00AB3BBE" w:rsidRDefault="00AB3BBE" w:rsidP="00AB3BBE">
            <w:pPr>
              <w:pStyle w:val="TAC"/>
              <w:spacing w:before="20" w:after="20"/>
              <w:ind w:left="57" w:right="57"/>
              <w:jc w:val="left"/>
              <w:rPr>
                <w:rFonts w:eastAsia="Malgun Gothic"/>
                <w:lang w:val="en-US"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18C45C0" w14:textId="21D8A04F" w:rsidR="00AB3BBE" w:rsidRDefault="00AB3BBE" w:rsidP="00AB3BBE">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D5CC533" w14:textId="0E8AC321" w:rsidR="00AB3BBE" w:rsidRDefault="00AB3BBE" w:rsidP="00AB3BBE">
            <w:pPr>
              <w:pStyle w:val="TAC"/>
              <w:spacing w:before="20" w:after="20"/>
              <w:ind w:right="57"/>
              <w:jc w:val="left"/>
              <w:rPr>
                <w:rFonts w:eastAsia="Malgun Gothic"/>
                <w:lang w:eastAsia="ko-KR"/>
              </w:rPr>
            </w:pPr>
            <w:r>
              <w:rPr>
                <w:lang w:eastAsia="zh-CN"/>
              </w:rPr>
              <w:t>But with the assumption that source NR PCell and target EUTRA PCell is SFN/subframe synchronized i.e. the same note for case between source and target EUTRA can be also applied here.</w:t>
            </w:r>
          </w:p>
        </w:tc>
      </w:tr>
    </w:tbl>
    <w:p w14:paraId="0BDCCB35" w14:textId="77777777" w:rsidR="009024FA" w:rsidRDefault="009024FA"/>
    <w:p w14:paraId="306C5D23" w14:textId="77777777"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a8"/>
          <w:rFonts w:ascii="Times New Roman" w:hAnsi="Times New Roman"/>
          <w:b/>
        </w:rPr>
        <w:t xml:space="preserve">clarify that </w:t>
      </w:r>
      <w:r>
        <w:rPr>
          <w:b/>
          <w:bCs/>
        </w:rPr>
        <w:t>the target NR PSCell SMTC configuration</w:t>
      </w:r>
      <w:r>
        <w:rPr>
          <w:rStyle w:val="a8"/>
          <w:rFonts w:ascii="Times New Roman" w:hAnsi="Times New Roman"/>
          <w:b/>
          <w:bCs/>
          <w:lang w:eastAsia="en-US"/>
        </w:rPr>
        <w:t xml:space="preserve"> </w:t>
      </w:r>
      <w:r>
        <w:rPr>
          <w:rStyle w:val="a8"/>
          <w:rFonts w:ascii="Times New Roman" w:hAnsi="Times New Roman"/>
          <w:b/>
        </w:rPr>
        <w:t xml:space="preserve">through </w:t>
      </w:r>
      <w:r>
        <w:rPr>
          <w:rStyle w:val="a8"/>
          <w:rFonts w:ascii="Times New Roman" w:hAnsi="Times New Roman"/>
          <w:b/>
          <w:i/>
          <w:iCs/>
        </w:rPr>
        <w:t>MobilityFromNRCommand</w:t>
      </w:r>
      <w:r>
        <w:rPr>
          <w:rStyle w:val="a8"/>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9024F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A3926F"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9024FA" w:rsidRDefault="009024F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0"/>
    </w:tbl>
    <w:p w14:paraId="06A37697" w14:textId="77777777" w:rsidR="009024FA" w:rsidRDefault="009024FA"/>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9024F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77BA76"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9024FA" w:rsidRDefault="009024F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77777777" w:rsidR="009024FA" w:rsidRDefault="009024FA"/>
    <w:p w14:paraId="3B97A66A" w14:textId="77777777" w:rsidR="009024FA" w:rsidRDefault="00D84140">
      <w:pPr>
        <w:outlineLvl w:val="2"/>
        <w:rPr>
          <w:b/>
          <w:bCs/>
        </w:rPr>
      </w:pPr>
      <w:r>
        <w:rPr>
          <w:b/>
          <w:bCs/>
        </w:rPr>
        <w:lastRenderedPageBreak/>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等线"/>
          <w:b/>
          <w:bCs/>
          <w:iCs/>
        </w:rPr>
        <w:t xml:space="preserve">he target NR PSCell SMTC configuration through </w:t>
      </w:r>
      <w:r>
        <w:rPr>
          <w:rFonts w:eastAsia="等线"/>
          <w:b/>
          <w:bCs/>
          <w:i/>
          <w:iCs/>
        </w:rPr>
        <w:t>targetRAT-MessageContainer</w:t>
      </w:r>
      <w:r>
        <w:rPr>
          <w:rFonts w:eastAsia="等线"/>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Going with the description of smtc in TS 36.331. smtc. Entry into EN-DC and NR PSCell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PSCell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for the case of EN-DC handover with PSCell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f companies wouldl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r w:rsidR="00AB3BBE" w14:paraId="4FA02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EC68E" w14:textId="621834F5"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240802" w14:textId="5461223B" w:rsidR="00AB3BBE" w:rsidRDefault="00AB3BBE" w:rsidP="00AB3BBE">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41540713" w14:textId="55B491FE" w:rsidR="00AB3BBE" w:rsidRDefault="00AB3BBE" w:rsidP="00AB3BBE">
            <w:pPr>
              <w:pStyle w:val="TAC"/>
              <w:spacing w:before="20" w:after="20"/>
              <w:ind w:left="57" w:right="57"/>
              <w:jc w:val="left"/>
              <w:rPr>
                <w:rFonts w:eastAsia="Malgun Gothic"/>
                <w:lang w:val="en-US" w:eastAsia="ko-KR"/>
              </w:rPr>
            </w:pPr>
            <w:r>
              <w:rPr>
                <w:lang w:eastAsia="zh-CN"/>
              </w:rPr>
              <w:t>We think the Note2 should be applicable for the concerned case and corresponding calrification is needed.</w:t>
            </w:r>
          </w:p>
        </w:tc>
      </w:tr>
    </w:tbl>
    <w:p w14:paraId="1A94B133" w14:textId="77777777" w:rsidR="009024FA" w:rsidRDefault="009024FA"/>
    <w:p w14:paraId="555EA6A7" w14:textId="77777777" w:rsidR="009024FA" w:rsidRDefault="00D84140">
      <w:pPr>
        <w:pStyle w:val="2"/>
        <w:ind w:left="0" w:firstLine="0"/>
      </w:pPr>
      <w:r>
        <w:t>3.2 UP security policy update</w:t>
      </w:r>
      <w:r>
        <w:tab/>
      </w:r>
    </w:p>
    <w:p w14:paraId="2B2C2631" w14:textId="77777777" w:rsidR="009024FA" w:rsidRDefault="00D84140">
      <w:pPr>
        <w:spacing w:beforeLines="50" w:before="120" w:afterLines="50" w:after="120"/>
        <w:jc w:val="both"/>
        <w:rPr>
          <w:rFonts w:eastAsia="等线"/>
          <w:lang w:eastAsia="zh-CN"/>
        </w:rPr>
      </w:pPr>
      <w:r>
        <w:rPr>
          <w:rFonts w:eastAsia="等线"/>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等线"/>
          <w:lang w:eastAsia="zh-CN"/>
        </w:rPr>
      </w:pPr>
      <w:r>
        <w:rPr>
          <w:rFonts w:eastAsia="等线"/>
          <w:lang w:eastAsia="zh-CN"/>
        </w:rPr>
        <w:t>There are several contributions related to this issue as follows.</w:t>
      </w:r>
    </w:p>
    <w:p w14:paraId="316EEDA2"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016F78BF"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MS Mincho"/>
          <w:lang w:eastAsia="en-GB"/>
        </w:rPr>
      </w:pPr>
      <w:r>
        <w:rPr>
          <w:rFonts w:eastAsia="MS Mincho"/>
          <w:lang w:eastAsia="en-GB"/>
        </w:rPr>
        <w:lastRenderedPageBreak/>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r>
        <w:rPr>
          <w:i/>
          <w:iCs/>
        </w:rPr>
        <w:t>RRCReconfiguration</w:t>
      </w:r>
      <w:r>
        <w:t xml:space="preserve"> message according to the TS 38.331 clause 5.3.5.3. </w:t>
      </w:r>
    </w:p>
    <w:p w14:paraId="34FC1C20" w14:textId="77777777"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4"/>
            </w:pPr>
            <w:bookmarkStart w:id="1" w:name="_Toc83739693"/>
            <w:bookmarkStart w:id="2" w:name="_Toc60776738"/>
            <w:r>
              <w:t>5.3.1.2</w:t>
            </w:r>
            <w:r>
              <w:tab/>
              <w:t>AS Security</w:t>
            </w:r>
            <w:bookmarkEnd w:id="1"/>
            <w:bookmarkEnd w:id="2"/>
          </w:p>
          <w:p w14:paraId="219B75B9" w14:textId="77777777"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r>
              <w:rPr>
                <w:lang w:eastAsia="zh-CN"/>
              </w:rPr>
              <w:t>And also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r>
              <w:rPr>
                <w:rFonts w:hint="eastAsia"/>
                <w:lang w:eastAsia="zh-CN"/>
              </w:rPr>
              <w:t>Yes,but</w:t>
            </w:r>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e think both ways are feasible,it is up to gNB implementation on which way(i.e. reconfiguration with sync,DRB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If only the security policy of one DRB is changed,maybe DRB release/setup is more suitable,as it may avoid impact to other DRBs.For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 xml:space="preserve">s question was discussed in Rel-15. And the agreement/conclusion was captured in TS38.331,clause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intergrity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Same view as Huawei i.e. it can be done by release/additi</w:t>
            </w:r>
            <w:r>
              <w:rPr>
                <w:rFonts w:eastAsia="Malgun Gothic"/>
                <w:lang w:eastAsia="ko-KR"/>
              </w:rPr>
              <w:t xml:space="preserve">on of the DRB. </w:t>
            </w:r>
            <w:r>
              <w:rPr>
                <w:rFonts w:eastAsia="Malgun Gothic"/>
                <w:lang w:eastAsia="ko-KR"/>
              </w:rPr>
              <w:lastRenderedPageBreak/>
              <w:t>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lang w:eastAsia="ko-KR"/>
              </w:rPr>
            </w:pPr>
            <w:r>
              <w:rPr>
                <w:rFonts w:eastAsia="Malgun Gothic"/>
                <w:lang w:eastAsia="ko-KR"/>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lang w:eastAsia="ko-KR"/>
              </w:rPr>
            </w:pPr>
            <w:r>
              <w:rPr>
                <w:rFonts w:eastAsia="Malgun Gothic"/>
                <w:lang w:eastAsia="ko-KR"/>
              </w:rPr>
              <w:t xml:space="preserve">We have same view as Huawei. </w:t>
            </w:r>
          </w:p>
        </w:tc>
      </w:tr>
      <w:tr w:rsidR="00AB3BBE" w14:paraId="64EB0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29B3" w14:textId="175B8451"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r w:rsidR="00303767">
              <w:rPr>
                <w:lang w:eastAsia="zh-CN"/>
              </w:rPr>
              <w:t>(Boyuan</w:t>
            </w:r>
            <w:bookmarkStart w:id="3" w:name="_GoBack"/>
            <w:bookmarkEnd w:id="3"/>
            <w:r w:rsidR="00303767">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E80A93F" w14:textId="15FF1546" w:rsidR="00AB3BBE" w:rsidRDefault="00AB3BBE" w:rsidP="00AB3BBE">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E99AF8" w14:textId="75DFE276" w:rsidR="00AB3BBE" w:rsidRDefault="00AB3BBE" w:rsidP="00AB3BBE">
            <w:pPr>
              <w:pStyle w:val="TAC"/>
              <w:spacing w:before="20" w:after="20" w:line="240" w:lineRule="auto"/>
              <w:ind w:right="57"/>
              <w:jc w:val="left"/>
              <w:rPr>
                <w:rFonts w:eastAsia="Malgun Gothic"/>
                <w:lang w:eastAsia="ko-KR"/>
              </w:rPr>
            </w:pPr>
            <w:r>
              <w:rPr>
                <w:rFonts w:hint="eastAsia"/>
                <w:lang w:eastAsia="zh-CN"/>
              </w:rPr>
              <w:t>T</w:t>
            </w:r>
            <w:r>
              <w:rPr>
                <w:lang w:eastAsia="zh-CN"/>
              </w:rPr>
              <w:t>he DRB add and release is natural with single reconfiguration message to carry the enabling/disabling of ciphering or integrity protection. But we think RAN3’s intention is focused on only the enabling/disabling of ciphering or integrity protection rather than the change of integrity protection and ciphering algrithhm. Therefore, we do not need to use reconfiguration with sync.</w:t>
            </w:r>
          </w:p>
        </w:tc>
      </w:tr>
    </w:tbl>
    <w:p w14:paraId="45A1D8D7" w14:textId="77777777" w:rsidR="009024FA" w:rsidRDefault="00D84140">
      <w:pPr>
        <w:pStyle w:val="1"/>
        <w:ind w:left="0" w:firstLine="0"/>
      </w:pPr>
      <w:r>
        <w:t>4 Conclusion</w:t>
      </w:r>
    </w:p>
    <w:p w14:paraId="6D088FDD" w14:textId="77777777" w:rsidR="009024FA" w:rsidRDefault="00D84140">
      <w:r>
        <w:t>TBD.</w:t>
      </w:r>
    </w:p>
    <w:p w14:paraId="7C83F05E" w14:textId="77777777"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32229D4B"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74F90B41"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1131A19F" w14:textId="77777777"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14:paraId="3811FE8B" w14:textId="77777777"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14:paraId="255EF3AA"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61762961"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3E70F" w14:textId="77777777" w:rsidR="001C2F86" w:rsidRDefault="001C2F86" w:rsidP="00F1029B">
      <w:pPr>
        <w:spacing w:after="0" w:line="240" w:lineRule="auto"/>
      </w:pPr>
      <w:r>
        <w:separator/>
      </w:r>
    </w:p>
  </w:endnote>
  <w:endnote w:type="continuationSeparator" w:id="0">
    <w:p w14:paraId="2ECBC896" w14:textId="77777777" w:rsidR="001C2F86" w:rsidRDefault="001C2F86"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14DA" w14:textId="77777777" w:rsidR="001C2F86" w:rsidRDefault="001C2F86" w:rsidP="00F1029B">
      <w:pPr>
        <w:spacing w:after="0" w:line="240" w:lineRule="auto"/>
      </w:pPr>
      <w:r>
        <w:separator/>
      </w:r>
    </w:p>
  </w:footnote>
  <w:footnote w:type="continuationSeparator" w:id="0">
    <w:p w14:paraId="73A94BEE" w14:textId="77777777" w:rsidR="001C2F86" w:rsidRDefault="001C2F86"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2F86"/>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3767"/>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3BBE"/>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565B6"/>
    <w:rsid w:val="00B6138A"/>
    <w:rsid w:val="00B6330A"/>
    <w:rsid w:val="00B67F99"/>
    <w:rsid w:val="00B70D35"/>
    <w:rsid w:val="00B827A7"/>
    <w:rsid w:val="00B8403B"/>
    <w:rsid w:val="00B84247"/>
    <w:rsid w:val="00B84DB2"/>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1748"/>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578D"/>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5B01"/>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5EF6"/>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5E40"/>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paragraph" w:customStyle="1" w:styleId="Revision1">
    <w:name w:val="Revision1"/>
    <w:hidden/>
    <w:uiPriority w:val="99"/>
    <w:semiHidden/>
    <w:qFormat/>
    <w:rPr>
      <w:lang w:val="en-GB" w:eastAsia="en-US"/>
    </w:rPr>
  </w:style>
  <w:style w:type="character" w:customStyle="1" w:styleId="40">
    <w:name w:val="标题 4 字符"/>
    <w:basedOn w:val="a0"/>
    <w:link w:val="4"/>
    <w:qFormat/>
    <w:rPr>
      <w:rFonts w:ascii="Arial" w:hAnsi="Arial"/>
      <w:sz w:val="24"/>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hyperlink" Target="mailto:duzhongda@oppo.com"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2491</Words>
  <Characters>14205</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OPPO(Zhongda)</cp:lastModifiedBy>
  <cp:revision>4</cp:revision>
  <dcterms:created xsi:type="dcterms:W3CDTF">2021-11-03T09:18:00Z</dcterms:created>
  <dcterms:modified xsi:type="dcterms:W3CDTF">2021-11-03T09:21:00Z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