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af5"/>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5"/>
          <w:highlight w:val="yellow"/>
        </w:rPr>
        <w:t>R2-210</w:t>
      </w:r>
      <w:r>
        <w:rPr>
          <w:rStyle w:val="af5"/>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5"/>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1"/>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10"/>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1"/>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8"/>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8"/>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8"/>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8"/>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8"/>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8"/>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8"/>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8"/>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8"/>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8"/>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8"/>
              <w:numPr>
                <w:ilvl w:val="3"/>
                <w:numId w:val="16"/>
              </w:numPr>
              <w:jc w:val="both"/>
              <w:rPr>
                <w:lang w:val="en-GB"/>
              </w:rPr>
            </w:pPr>
            <w:r>
              <w:rPr>
                <w:i/>
                <w:lang w:eastAsia="zh-CN"/>
              </w:rPr>
              <w:t>No, (ZTE, )</w:t>
            </w:r>
          </w:p>
          <w:p w14:paraId="766E39A0" w14:textId="77777777" w:rsidR="00260293" w:rsidRDefault="00260293" w:rsidP="00260293">
            <w:pPr>
              <w:pStyle w:val="af8"/>
              <w:numPr>
                <w:ilvl w:val="3"/>
                <w:numId w:val="16"/>
              </w:numPr>
              <w:jc w:val="both"/>
              <w:rPr>
                <w:lang w:val="en-GB"/>
              </w:rPr>
            </w:pPr>
            <w:r>
              <w:rPr>
                <w:i/>
                <w:lang w:eastAsia="zh-CN"/>
              </w:rPr>
              <w:t>FFS (China Unicom)</w:t>
            </w:r>
          </w:p>
          <w:p w14:paraId="7DA596BF" w14:textId="77777777" w:rsidR="00260293" w:rsidRDefault="00260293" w:rsidP="00260293">
            <w:pPr>
              <w:pStyle w:val="af8"/>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8"/>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8"/>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af8"/>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8"/>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The option is supported by 8 companies (Apple, Spreadtrum, Lenovo, China Unicom, vivo, Sharp, China Telecom, LGE )</w:t>
            </w:r>
          </w:p>
          <w:p w14:paraId="64CB5E7C"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8"/>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1"/>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8"/>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8"/>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8"/>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af8"/>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8"/>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8"/>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8"/>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8"/>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8"/>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8"/>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8"/>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8"/>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8"/>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8"/>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1"/>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587097">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(probably with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5A4C5B">
        <w:tc>
          <w:tcPr>
            <w:tcW w:w="1938" w:type="dxa"/>
          </w:tcPr>
          <w:p w14:paraId="740B3157" w14:textId="613BBDCB" w:rsidR="00971A4B" w:rsidRDefault="00971A4B" w:rsidP="00DD001B">
            <w:pPr>
              <w:spacing w:after="0"/>
              <w:rPr>
                <w:sz w:val="20"/>
                <w:szCs w:val="20"/>
                <w:lang w:eastAsia="zh-CN"/>
              </w:rPr>
            </w:pPr>
            <w:r>
              <w:rPr>
                <w:sz w:val="20"/>
                <w:szCs w:val="20"/>
                <w:lang w:eastAsia="zh-CN"/>
              </w:rPr>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af8"/>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af8"/>
              <w:numPr>
                <w:ilvl w:val="0"/>
                <w:numId w:val="52"/>
              </w:numPr>
              <w:spacing w:after="0"/>
              <w:rPr>
                <w:lang w:eastAsia="ja-JP"/>
              </w:rPr>
            </w:pPr>
            <w:r>
              <w:rPr>
                <w:lang w:eastAsia="ja-JP"/>
              </w:rPr>
              <w:t xml:space="preserve">Whether </w:t>
            </w:r>
            <w:r>
              <w:rPr>
                <w:rFonts w:hint="eastAsia"/>
                <w:i/>
                <w:iCs/>
                <w:lang w:eastAsia="ko-KR"/>
              </w:rPr>
              <w:t>scalingFactor</w:t>
            </w:r>
            <w:r>
              <w:rPr>
                <w:rFonts w:hint="eastAsia"/>
                <w:lang w:eastAsia="ko-KR"/>
              </w:rPr>
              <w:t xml:space="preserve"> and</w:t>
            </w:r>
            <w:r>
              <w:rPr>
                <w:lang w:eastAsia="ko-KR"/>
              </w:rPr>
              <w:t xml:space="preserve"> </w:t>
            </w:r>
            <w:r>
              <w:rPr>
                <w:rFonts w:hint="eastAsia"/>
                <w:i/>
                <w:iCs/>
                <w:lang w:eastAsia="zh-CN"/>
              </w:rPr>
              <w:t>supportedModulationOrderDL</w:t>
            </w:r>
            <w:r>
              <w:rPr>
                <w:rFonts w:hint="eastAsia"/>
                <w:lang w:eastAsia="zh-CN"/>
              </w:rPr>
              <w:t>/</w:t>
            </w:r>
            <w:r>
              <w:rPr>
                <w:rFonts w:hint="eastAsia"/>
                <w:i/>
                <w:iCs/>
                <w:lang w:eastAsia="zh-CN"/>
              </w:rPr>
              <w:t>supportedModulationOrderUL</w:t>
            </w:r>
            <w:r>
              <w:rPr>
                <w:lang w:eastAsia="zh-CN"/>
              </w:rPr>
              <w:t xml:space="preserve"> can jointly provide enough flexibility already to support L2 buffer size reduction for RedCap UEs (with relatively low max data requirements)</w:t>
            </w:r>
            <w:r w:rsidR="00D1435C">
              <w:rPr>
                <w:lang w:eastAsia="zh-CN"/>
              </w:rPr>
              <w:t>. That is, Option 3.</w:t>
            </w:r>
          </w:p>
          <w:p w14:paraId="39CD735A" w14:textId="77777777" w:rsidR="002A4747" w:rsidRDefault="00971A4B" w:rsidP="002A4747">
            <w:pPr>
              <w:pStyle w:val="af8"/>
              <w:numPr>
                <w:ilvl w:val="0"/>
                <w:numId w:val="52"/>
              </w:numPr>
              <w:spacing w:after="0"/>
              <w:rPr>
                <w:lang w:eastAsia="ja-JP"/>
              </w:rPr>
            </w:pPr>
            <w:r>
              <w:rPr>
                <w:lang w:eastAsia="ja-JP"/>
              </w:rPr>
              <w:t>Whether removal/relaxation of the constraint would impact the reception of SI/paging messages, which can be common to both RedCap and non-RedCap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5A4C5B">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tr w:rsidR="002D3AA0" w14:paraId="24E31D97" w14:textId="77777777" w:rsidTr="005A4C5B">
        <w:tc>
          <w:tcPr>
            <w:tcW w:w="1938" w:type="dxa"/>
          </w:tcPr>
          <w:p w14:paraId="60180297" w14:textId="61B1871C" w:rsidR="002D3AA0" w:rsidRDefault="002D3AA0" w:rsidP="002D3AA0">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14283C44" w14:textId="72992BD7" w:rsidR="002D3AA0" w:rsidRDefault="002D3AA0" w:rsidP="002D3AA0">
            <w:pPr>
              <w:rPr>
                <w:sz w:val="20"/>
                <w:szCs w:val="20"/>
                <w:lang w:eastAsia="zh-CN"/>
              </w:rPr>
            </w:pPr>
            <w:r>
              <w:rPr>
                <w:rFonts w:eastAsiaTheme="minorEastAsia" w:hint="eastAsia"/>
                <w:sz w:val="20"/>
                <w:szCs w:val="20"/>
                <w:lang w:eastAsia="ja-JP"/>
              </w:rPr>
              <w:t>O</w:t>
            </w:r>
            <w:r>
              <w:rPr>
                <w:rFonts w:eastAsiaTheme="minorEastAsia"/>
                <w:sz w:val="20"/>
                <w:szCs w:val="20"/>
                <w:lang w:eastAsia="ja-JP"/>
              </w:rPr>
              <w:t>ption 2.1</w:t>
            </w:r>
          </w:p>
        </w:tc>
        <w:tc>
          <w:tcPr>
            <w:tcW w:w="6006" w:type="dxa"/>
          </w:tcPr>
          <w:p w14:paraId="669CB546" w14:textId="7933BBCE" w:rsidR="002D3AA0" w:rsidRDefault="002D3AA0" w:rsidP="002D3AA0">
            <w:pPr>
              <w:spacing w:after="0"/>
              <w:rPr>
                <w:sz w:val="20"/>
                <w:szCs w:val="20"/>
                <w:lang w:eastAsia="zh-CN"/>
              </w:rPr>
            </w:pPr>
            <w:r>
              <w:rPr>
                <w:rFonts w:eastAsiaTheme="minorEastAsia"/>
                <w:sz w:val="20"/>
                <w:szCs w:val="20"/>
                <w:lang w:eastAsia="ja-JP"/>
              </w:rPr>
              <w:t>We guess all aspects on data rate reduction should be discussed in one place,  i.e. RAN1. As per explanation from Spreadtrum, it would be useful to have some conclusion or assumption from RAN2 point of view.</w:t>
            </w:r>
          </w:p>
        </w:tc>
      </w:tr>
      <w:tr w:rsidR="00E4681B" w14:paraId="274E90B0" w14:textId="77777777" w:rsidTr="005A4C5B">
        <w:tc>
          <w:tcPr>
            <w:tcW w:w="1938" w:type="dxa"/>
          </w:tcPr>
          <w:p w14:paraId="78942AF6" w14:textId="07E04389" w:rsidR="00E4681B" w:rsidRDefault="00E4681B" w:rsidP="002D3AA0">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74119DF" w14:textId="418BA0A2" w:rsidR="00E4681B" w:rsidRDefault="00E4681B" w:rsidP="002D3AA0">
            <w:pPr>
              <w:rPr>
                <w:rFonts w:eastAsiaTheme="minorEastAsia"/>
                <w:sz w:val="20"/>
                <w:szCs w:val="20"/>
                <w:lang w:eastAsia="ja-JP"/>
              </w:rPr>
            </w:pPr>
            <w:r>
              <w:rPr>
                <w:rFonts w:eastAsiaTheme="minorEastAsia"/>
                <w:sz w:val="20"/>
                <w:szCs w:val="20"/>
                <w:lang w:eastAsia="ja-JP"/>
              </w:rPr>
              <w:t>Option 3</w:t>
            </w:r>
          </w:p>
        </w:tc>
        <w:tc>
          <w:tcPr>
            <w:tcW w:w="6006" w:type="dxa"/>
          </w:tcPr>
          <w:p w14:paraId="478A7F9D" w14:textId="77929E0D" w:rsidR="00E4681B" w:rsidRDefault="00E4681B" w:rsidP="002D3AA0">
            <w:pPr>
              <w:spacing w:after="0"/>
              <w:rPr>
                <w:rFonts w:eastAsiaTheme="minorEastAsia"/>
                <w:sz w:val="20"/>
                <w:szCs w:val="20"/>
                <w:lang w:eastAsia="ja-JP"/>
              </w:rPr>
            </w:pPr>
            <w:r>
              <w:rPr>
                <w:rFonts w:eastAsiaTheme="minorEastAsia"/>
                <w:sz w:val="20"/>
                <w:szCs w:val="20"/>
                <w:lang w:eastAsia="ja-JP"/>
              </w:rPr>
              <w:t>We do not see a strong need to change the L2 buffer size definition</w:t>
            </w:r>
          </w:p>
        </w:tc>
      </w:tr>
      <w:tr w:rsidR="00C9042B" w14:paraId="27ECF4AC" w14:textId="77777777" w:rsidTr="005A4C5B">
        <w:tc>
          <w:tcPr>
            <w:tcW w:w="1938" w:type="dxa"/>
          </w:tcPr>
          <w:p w14:paraId="0C1183F0" w14:textId="3DF1758B" w:rsidR="00C9042B" w:rsidRDefault="00C9042B" w:rsidP="00C9042B">
            <w:pPr>
              <w:spacing w:after="0"/>
              <w:rPr>
                <w:rFonts w:eastAsiaTheme="minorEastAsia"/>
                <w:sz w:val="20"/>
                <w:szCs w:val="20"/>
                <w:lang w:eastAsia="ja-JP"/>
              </w:rPr>
            </w:pPr>
            <w:r>
              <w:rPr>
                <w:rFonts w:eastAsia="맑은 고딕" w:hint="eastAsia"/>
                <w:sz w:val="20"/>
                <w:szCs w:val="20"/>
                <w:lang w:eastAsia="ko-KR"/>
              </w:rPr>
              <w:t>LGE</w:t>
            </w:r>
          </w:p>
        </w:tc>
        <w:tc>
          <w:tcPr>
            <w:tcW w:w="1288" w:type="dxa"/>
          </w:tcPr>
          <w:p w14:paraId="16FF330E" w14:textId="73372957" w:rsidR="00C9042B" w:rsidRDefault="00C9042B" w:rsidP="00C9042B">
            <w:pPr>
              <w:rPr>
                <w:rFonts w:eastAsiaTheme="minorEastAsia"/>
                <w:sz w:val="20"/>
                <w:szCs w:val="20"/>
                <w:lang w:eastAsia="ja-JP"/>
              </w:rPr>
            </w:pPr>
            <w:r>
              <w:rPr>
                <w:rFonts w:eastAsia="맑은 고딕" w:hint="eastAsia"/>
                <w:sz w:val="20"/>
                <w:szCs w:val="20"/>
                <w:lang w:eastAsia="ko-KR"/>
              </w:rPr>
              <w:t>Option 3</w:t>
            </w:r>
          </w:p>
        </w:tc>
        <w:tc>
          <w:tcPr>
            <w:tcW w:w="6006" w:type="dxa"/>
          </w:tcPr>
          <w:p w14:paraId="575661A6" w14:textId="2639D243" w:rsidR="00C9042B" w:rsidRDefault="00C9042B" w:rsidP="00C9042B">
            <w:pPr>
              <w:spacing w:after="0"/>
              <w:rPr>
                <w:rFonts w:eastAsiaTheme="minorEastAsia"/>
                <w:sz w:val="20"/>
                <w:szCs w:val="20"/>
                <w:lang w:eastAsia="ja-JP"/>
              </w:rPr>
            </w:pPr>
            <w:r>
              <w:rPr>
                <w:rFonts w:eastAsia="맑은 고딕"/>
                <w:sz w:val="20"/>
                <w:szCs w:val="20"/>
                <w:lang w:eastAsia="ko-KR"/>
              </w:rPr>
              <w:t xml:space="preserve">In our understanding, majority of RAN1 do not think spec change is not needed. As this issue is mainly RAN1 scope, we prefer Option 3. </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1"/>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8"/>
              <w:numPr>
                <w:ilvl w:val="0"/>
                <w:numId w:val="17"/>
              </w:numPr>
              <w:spacing w:after="60"/>
              <w:contextualSpacing w:val="0"/>
              <w:jc w:val="both"/>
              <w:rPr>
                <w:lang w:val="en-GB"/>
              </w:rPr>
            </w:pPr>
            <w:r w:rsidRPr="00DB5B83">
              <w:rPr>
                <w:b/>
              </w:rPr>
              <w:lastRenderedPageBreak/>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8"/>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8"/>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8"/>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8"/>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af8"/>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8"/>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8"/>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8"/>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8"/>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8"/>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lastRenderedPageBreak/>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1"/>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587097">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RedCap. </w:t>
            </w:r>
          </w:p>
        </w:tc>
      </w:tr>
      <w:tr w:rsidR="00DD001B" w14:paraId="472B8B75" w14:textId="77777777" w:rsidTr="005A4C5B">
        <w:tc>
          <w:tcPr>
            <w:tcW w:w="1938" w:type="dxa"/>
          </w:tcPr>
          <w:p w14:paraId="1C937B65" w14:textId="7D0F04B9" w:rsidR="00DD001B" w:rsidRDefault="00DD001B" w:rsidP="00DD001B">
            <w:pPr>
              <w:spacing w:after="0"/>
              <w:rPr>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5A4C5B">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e.g. tied in to “RedCap capability” or separately signaled as a new capability. </w:t>
            </w:r>
          </w:p>
        </w:tc>
      </w:tr>
      <w:tr w:rsidR="00CD5A46" w14:paraId="764F4158" w14:textId="77777777" w:rsidTr="005A4C5B">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5A4C5B">
        <w:tc>
          <w:tcPr>
            <w:tcW w:w="1938" w:type="dxa"/>
          </w:tcPr>
          <w:p w14:paraId="1D02DB77" w14:textId="2031AB2E" w:rsidR="00A442F4" w:rsidRDefault="00A442F4" w:rsidP="003355AD">
            <w:pPr>
              <w:spacing w:after="0"/>
              <w:rPr>
                <w:sz w:val="20"/>
                <w:szCs w:val="20"/>
                <w:lang w:eastAsia="zh-CN"/>
              </w:rPr>
            </w:pPr>
            <w:r>
              <w:rPr>
                <w:sz w:val="20"/>
                <w:szCs w:val="20"/>
                <w:lang w:eastAsia="zh-CN"/>
              </w:rPr>
              <w:lastRenderedPageBreak/>
              <w:t>Turkcell</w:t>
            </w:r>
          </w:p>
        </w:tc>
        <w:tc>
          <w:tcPr>
            <w:tcW w:w="1288" w:type="dxa"/>
          </w:tcPr>
          <w:p w14:paraId="11AA16BC" w14:textId="2C80C19A" w:rsidR="00A442F4" w:rsidRDefault="00A442F4" w:rsidP="003355AD">
            <w:pPr>
              <w:spacing w:after="0"/>
              <w:rPr>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r w:rsidR="00F84CA5" w14:paraId="74B12210" w14:textId="77777777" w:rsidTr="005A4C5B">
        <w:tc>
          <w:tcPr>
            <w:tcW w:w="1938" w:type="dxa"/>
          </w:tcPr>
          <w:p w14:paraId="240EB98A" w14:textId="04A766E0"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3F09CFA" w14:textId="252240B8" w:rsidR="00F84CA5" w:rsidRDefault="00F84CA5" w:rsidP="00F84CA5">
            <w:pPr>
              <w:spacing w:after="0"/>
              <w:rPr>
                <w:sz w:val="20"/>
                <w:szCs w:val="20"/>
                <w:lang w:eastAsia="zh-CN"/>
              </w:rPr>
            </w:pPr>
            <w:r>
              <w:rPr>
                <w:rFonts w:eastAsiaTheme="minorEastAsia" w:hint="eastAsia"/>
                <w:sz w:val="20"/>
                <w:szCs w:val="20"/>
                <w:lang w:eastAsia="ja-JP"/>
              </w:rPr>
              <w:t>8</w:t>
            </w:r>
          </w:p>
        </w:tc>
        <w:tc>
          <w:tcPr>
            <w:tcW w:w="6006" w:type="dxa"/>
          </w:tcPr>
          <w:p w14:paraId="20C3055A" w14:textId="77777777" w:rsidR="00F84CA5" w:rsidRDefault="00F84CA5" w:rsidP="00F84CA5">
            <w:pPr>
              <w:spacing w:after="0"/>
              <w:rPr>
                <w:sz w:val="20"/>
                <w:szCs w:val="20"/>
                <w:lang w:eastAsia="ja-JP"/>
              </w:rPr>
            </w:pPr>
          </w:p>
        </w:tc>
      </w:tr>
      <w:tr w:rsidR="00E4681B" w14:paraId="1AEB3C4D" w14:textId="77777777" w:rsidTr="005A4C5B">
        <w:tc>
          <w:tcPr>
            <w:tcW w:w="1938" w:type="dxa"/>
          </w:tcPr>
          <w:p w14:paraId="7F9ED4DA" w14:textId="596961AA"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58B073" w14:textId="3AD49DEF" w:rsidR="00E4681B" w:rsidRDefault="00E4681B" w:rsidP="00F84CA5">
            <w:pPr>
              <w:spacing w:after="0"/>
              <w:rPr>
                <w:rFonts w:eastAsiaTheme="minorEastAsia"/>
                <w:sz w:val="20"/>
                <w:szCs w:val="20"/>
                <w:lang w:eastAsia="ja-JP"/>
              </w:rPr>
            </w:pPr>
            <w:r>
              <w:rPr>
                <w:rFonts w:eastAsiaTheme="minorEastAsia"/>
                <w:sz w:val="20"/>
                <w:szCs w:val="20"/>
                <w:lang w:eastAsia="ja-JP"/>
              </w:rPr>
              <w:t>8</w:t>
            </w:r>
          </w:p>
        </w:tc>
        <w:tc>
          <w:tcPr>
            <w:tcW w:w="6006" w:type="dxa"/>
          </w:tcPr>
          <w:p w14:paraId="6475EBFD" w14:textId="77777777" w:rsidR="00E4681B" w:rsidRDefault="00E4681B" w:rsidP="00F84CA5">
            <w:pPr>
              <w:spacing w:after="0"/>
              <w:rPr>
                <w:sz w:val="20"/>
                <w:szCs w:val="20"/>
                <w:lang w:eastAsia="ja-JP"/>
              </w:rPr>
            </w:pPr>
          </w:p>
        </w:tc>
      </w:tr>
      <w:tr w:rsidR="00C9042B" w14:paraId="4185CE47" w14:textId="77777777" w:rsidTr="005A4C5B">
        <w:tc>
          <w:tcPr>
            <w:tcW w:w="1938" w:type="dxa"/>
          </w:tcPr>
          <w:p w14:paraId="4D752552" w14:textId="7D7F51ED" w:rsidR="00C9042B" w:rsidRDefault="00C9042B" w:rsidP="00C9042B">
            <w:pPr>
              <w:spacing w:after="0"/>
              <w:rPr>
                <w:rFonts w:eastAsiaTheme="minorEastAsia"/>
                <w:sz w:val="20"/>
                <w:szCs w:val="20"/>
                <w:lang w:eastAsia="ja-JP"/>
              </w:rPr>
            </w:pPr>
            <w:r>
              <w:rPr>
                <w:rFonts w:eastAsia="맑은 고딕" w:hint="eastAsia"/>
                <w:sz w:val="20"/>
                <w:szCs w:val="20"/>
                <w:lang w:eastAsia="ko-KR"/>
              </w:rPr>
              <w:t>LGE</w:t>
            </w:r>
          </w:p>
        </w:tc>
        <w:tc>
          <w:tcPr>
            <w:tcW w:w="1288" w:type="dxa"/>
          </w:tcPr>
          <w:p w14:paraId="2225A258" w14:textId="1876DA86" w:rsidR="00C9042B" w:rsidRDefault="00C9042B" w:rsidP="00C9042B">
            <w:pPr>
              <w:spacing w:after="0"/>
              <w:rPr>
                <w:rFonts w:eastAsiaTheme="minorEastAsia"/>
                <w:sz w:val="20"/>
                <w:szCs w:val="20"/>
                <w:lang w:eastAsia="ja-JP"/>
              </w:rPr>
            </w:pPr>
            <w:r>
              <w:rPr>
                <w:rFonts w:eastAsia="맑은 고딕"/>
                <w:sz w:val="20"/>
                <w:szCs w:val="20"/>
                <w:lang w:eastAsia="ko-KR"/>
              </w:rPr>
              <w:t>8 see comment</w:t>
            </w:r>
          </w:p>
        </w:tc>
        <w:tc>
          <w:tcPr>
            <w:tcW w:w="6006" w:type="dxa"/>
          </w:tcPr>
          <w:p w14:paraId="18D1BE7F" w14:textId="22AA1009" w:rsidR="00C9042B" w:rsidRDefault="00C9042B" w:rsidP="00C9042B">
            <w:pPr>
              <w:spacing w:after="0"/>
              <w:rPr>
                <w:sz w:val="20"/>
                <w:szCs w:val="20"/>
                <w:lang w:eastAsia="ja-JP"/>
              </w:rPr>
            </w:pPr>
            <w:r>
              <w:rPr>
                <w:rFonts w:eastAsia="맑은 고딕" w:hint="eastAsia"/>
                <w:sz w:val="20"/>
                <w:szCs w:val="20"/>
                <w:lang w:eastAsia="ko-KR"/>
              </w:rPr>
              <w:t xml:space="preserve">If 2.1.2-2 is agreed, 4 is also fine. </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587097">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r w:rsidR="009D5FDE">
              <w:rPr>
                <w:sz w:val="20"/>
                <w:szCs w:val="20"/>
                <w:lang w:eastAsia="ja-JP"/>
              </w:rPr>
              <w:t>edcap</w:t>
            </w:r>
            <w:r>
              <w:rPr>
                <w:sz w:val="20"/>
                <w:szCs w:val="20"/>
                <w:lang w:eastAsia="ja-JP"/>
              </w:rPr>
              <w:t xml:space="preserve"> U</w:t>
            </w:r>
            <w:r w:rsidR="00CD5A46">
              <w:rPr>
                <w:sz w:val="20"/>
                <w:szCs w:val="20"/>
                <w:lang w:eastAsia="ja-JP"/>
              </w:rPr>
              <w:t>e</w:t>
            </w:r>
            <w:r>
              <w:rPr>
                <w:sz w:val="20"/>
                <w:szCs w:val="20"/>
                <w:lang w:eastAsia="ja-JP"/>
              </w:rPr>
              <w:t>s, the usecases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e.g. high end cases. </w:t>
            </w:r>
          </w:p>
        </w:tc>
      </w:tr>
      <w:tr w:rsidR="00DD001B" w14:paraId="3F11EBD7" w14:textId="77777777" w:rsidTr="005A4C5B">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RedCap has very varied use cases, which would be better addressed by several possible values.</w:t>
            </w:r>
          </w:p>
        </w:tc>
      </w:tr>
      <w:tr w:rsidR="00011040" w14:paraId="26DDB1C2" w14:textId="77777777" w:rsidTr="005A4C5B">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5A4C5B">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5A4C5B">
        <w:tc>
          <w:tcPr>
            <w:tcW w:w="1938" w:type="dxa"/>
          </w:tcPr>
          <w:p w14:paraId="56731D2D" w14:textId="379AFD77" w:rsidR="00A442F4" w:rsidRDefault="00A442F4" w:rsidP="00011040">
            <w:pPr>
              <w:spacing w:after="0"/>
              <w:rPr>
                <w:sz w:val="20"/>
                <w:szCs w:val="20"/>
                <w:lang w:eastAsia="zh-CN"/>
              </w:rPr>
            </w:pPr>
            <w:r>
              <w:rPr>
                <w:sz w:val="20"/>
                <w:szCs w:val="20"/>
                <w:lang w:eastAsia="zh-CN"/>
              </w:rPr>
              <w:t>Turkcell</w:t>
            </w:r>
          </w:p>
        </w:tc>
        <w:tc>
          <w:tcPr>
            <w:tcW w:w="1288" w:type="dxa"/>
          </w:tcPr>
          <w:p w14:paraId="19332071" w14:textId="2AF874EF" w:rsidR="00A442F4" w:rsidRDefault="00A442F4" w:rsidP="00011040">
            <w:pPr>
              <w:spacing w:after="0"/>
              <w:rPr>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r w:rsidR="00F84CA5" w14:paraId="7289FC14" w14:textId="77777777" w:rsidTr="005A4C5B">
        <w:tc>
          <w:tcPr>
            <w:tcW w:w="1938" w:type="dxa"/>
          </w:tcPr>
          <w:p w14:paraId="6A819473" w14:textId="5C9EA8D7"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0828EE13" w14:textId="4DC014EC" w:rsidR="00F84CA5" w:rsidRDefault="00F84CA5" w:rsidP="00F84CA5">
            <w:pPr>
              <w:spacing w:after="0"/>
              <w:rPr>
                <w:sz w:val="20"/>
                <w:szCs w:val="20"/>
                <w:lang w:eastAsia="zh-CN"/>
              </w:rPr>
            </w:pPr>
            <w:r>
              <w:rPr>
                <w:rFonts w:eastAsiaTheme="minorEastAsia" w:hint="eastAsia"/>
                <w:sz w:val="20"/>
                <w:szCs w:val="20"/>
                <w:lang w:eastAsia="ja-JP"/>
              </w:rPr>
              <w:t>No</w:t>
            </w:r>
          </w:p>
        </w:tc>
        <w:tc>
          <w:tcPr>
            <w:tcW w:w="6006" w:type="dxa"/>
          </w:tcPr>
          <w:p w14:paraId="254210C4" w14:textId="5CEF9340" w:rsidR="00F84CA5" w:rsidRDefault="00F84CA5" w:rsidP="00F84CA5">
            <w:pPr>
              <w:spacing w:after="0"/>
              <w:rPr>
                <w:sz w:val="20"/>
                <w:szCs w:val="20"/>
                <w:lang w:eastAsia="ja-JP"/>
              </w:rPr>
            </w:pPr>
            <w:r>
              <w:rPr>
                <w:rFonts w:eastAsiaTheme="minorEastAsia" w:hint="eastAsia"/>
                <w:sz w:val="20"/>
                <w:szCs w:val="20"/>
                <w:lang w:eastAsia="ja-JP"/>
              </w:rPr>
              <w:t xml:space="preserve">agree with Intel </w:t>
            </w:r>
          </w:p>
        </w:tc>
      </w:tr>
      <w:tr w:rsidR="00E4681B" w14:paraId="639E06FC" w14:textId="77777777" w:rsidTr="005A4C5B">
        <w:tc>
          <w:tcPr>
            <w:tcW w:w="1938" w:type="dxa"/>
          </w:tcPr>
          <w:p w14:paraId="0181AA4B" w14:textId="50968703"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66EBF7F" w14:textId="07EEC53C" w:rsidR="00E4681B" w:rsidRDefault="00E4681B" w:rsidP="00F84CA5">
            <w:pPr>
              <w:spacing w:after="0"/>
              <w:rPr>
                <w:rFonts w:eastAsiaTheme="minorEastAsia"/>
                <w:sz w:val="20"/>
                <w:szCs w:val="20"/>
                <w:lang w:eastAsia="ja-JP"/>
              </w:rPr>
            </w:pPr>
            <w:r>
              <w:rPr>
                <w:rFonts w:eastAsiaTheme="minorEastAsia"/>
                <w:sz w:val="20"/>
                <w:szCs w:val="20"/>
                <w:lang w:eastAsia="ja-JP"/>
              </w:rPr>
              <w:t>Yes</w:t>
            </w:r>
          </w:p>
        </w:tc>
        <w:tc>
          <w:tcPr>
            <w:tcW w:w="6006" w:type="dxa"/>
          </w:tcPr>
          <w:p w14:paraId="41B54ED5" w14:textId="63B6C70C" w:rsidR="00E4681B" w:rsidRDefault="00E4681B" w:rsidP="00F84CA5">
            <w:pPr>
              <w:spacing w:after="0"/>
              <w:rPr>
                <w:rFonts w:eastAsiaTheme="minorEastAsia"/>
                <w:sz w:val="20"/>
                <w:szCs w:val="20"/>
                <w:lang w:eastAsia="ja-JP"/>
              </w:rPr>
            </w:pPr>
            <w:r>
              <w:rPr>
                <w:rFonts w:eastAsiaTheme="minorEastAsia"/>
                <w:sz w:val="20"/>
                <w:szCs w:val="20"/>
                <w:lang w:eastAsia="ja-JP"/>
              </w:rPr>
              <w:t>Agree with Apple that we cannot generalize all RedCap UEs</w:t>
            </w:r>
          </w:p>
        </w:tc>
      </w:tr>
      <w:tr w:rsidR="00C9042B" w14:paraId="56B8E9C9" w14:textId="77777777" w:rsidTr="005A4C5B">
        <w:tc>
          <w:tcPr>
            <w:tcW w:w="1938" w:type="dxa"/>
          </w:tcPr>
          <w:p w14:paraId="407EE7EF" w14:textId="5B2310A2" w:rsidR="00C9042B" w:rsidRDefault="00C9042B" w:rsidP="00C9042B">
            <w:pPr>
              <w:spacing w:after="0"/>
              <w:rPr>
                <w:rFonts w:eastAsiaTheme="minorEastAsia"/>
                <w:sz w:val="20"/>
                <w:szCs w:val="20"/>
                <w:lang w:eastAsia="ja-JP"/>
              </w:rPr>
            </w:pPr>
            <w:r>
              <w:rPr>
                <w:rFonts w:eastAsia="맑은 고딕" w:hint="eastAsia"/>
                <w:sz w:val="20"/>
                <w:szCs w:val="20"/>
                <w:lang w:eastAsia="ko-KR"/>
              </w:rPr>
              <w:t>LGE</w:t>
            </w:r>
          </w:p>
        </w:tc>
        <w:tc>
          <w:tcPr>
            <w:tcW w:w="1288" w:type="dxa"/>
          </w:tcPr>
          <w:p w14:paraId="5F94955D" w14:textId="6B41FD34" w:rsidR="00C9042B" w:rsidRDefault="00C9042B" w:rsidP="00C9042B">
            <w:pPr>
              <w:spacing w:after="0"/>
              <w:rPr>
                <w:rFonts w:eastAsiaTheme="minorEastAsia"/>
                <w:sz w:val="20"/>
                <w:szCs w:val="20"/>
                <w:lang w:eastAsia="ja-JP"/>
              </w:rPr>
            </w:pPr>
            <w:r>
              <w:rPr>
                <w:rFonts w:eastAsia="맑은 고딕"/>
                <w:sz w:val="20"/>
                <w:szCs w:val="20"/>
                <w:lang w:eastAsia="ko-KR"/>
              </w:rPr>
              <w:t>Yes</w:t>
            </w:r>
          </w:p>
        </w:tc>
        <w:tc>
          <w:tcPr>
            <w:tcW w:w="6006" w:type="dxa"/>
          </w:tcPr>
          <w:p w14:paraId="6232ECF2" w14:textId="5D9B9260" w:rsidR="00C9042B" w:rsidRDefault="00C9042B" w:rsidP="00C9042B">
            <w:pPr>
              <w:spacing w:after="0"/>
              <w:rPr>
                <w:rFonts w:eastAsiaTheme="minorEastAsia"/>
                <w:sz w:val="20"/>
                <w:szCs w:val="20"/>
                <w:lang w:eastAsia="ja-JP"/>
              </w:rPr>
            </w:pPr>
            <w:r>
              <w:rPr>
                <w:rFonts w:eastAsia="맑은 고딕" w:hint="eastAsia"/>
                <w:sz w:val="20"/>
                <w:szCs w:val="20"/>
                <w:lang w:eastAsia="ko-KR"/>
              </w:rPr>
              <w:t xml:space="preserve">Considering </w:t>
            </w:r>
            <w:r>
              <w:rPr>
                <w:rFonts w:eastAsia="맑은 고딕"/>
                <w:sz w:val="20"/>
                <w:szCs w:val="20"/>
                <w:lang w:eastAsia="ko-KR"/>
              </w:rPr>
              <w:t>variable</w:t>
            </w:r>
            <w:r>
              <w:rPr>
                <w:rFonts w:eastAsia="맑은 고딕" w:hint="eastAsia"/>
                <w:sz w:val="20"/>
                <w:szCs w:val="20"/>
                <w:lang w:eastAsia="ko-KR"/>
              </w:rPr>
              <w:t xml:space="preserve"> </w:t>
            </w:r>
            <w:r>
              <w:rPr>
                <w:rFonts w:eastAsia="맑은 고딕"/>
                <w:sz w:val="20"/>
                <w:szCs w:val="20"/>
                <w:lang w:eastAsia="ko-KR"/>
              </w:rPr>
              <w:t xml:space="preserve">use cases, support optional capabilities seem useful. </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1"/>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8"/>
              <w:tabs>
                <w:tab w:val="left" w:pos="1327"/>
              </w:tabs>
              <w:spacing w:after="60"/>
              <w:jc w:val="both"/>
              <w:rPr>
                <w:lang w:val="en-GB"/>
              </w:rPr>
            </w:pPr>
          </w:p>
          <w:p w14:paraId="3603A48E" w14:textId="77777777" w:rsidR="00AF401A" w:rsidRPr="0032041E" w:rsidRDefault="00AF401A" w:rsidP="00AF401A">
            <w:pPr>
              <w:pStyle w:val="af8"/>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587097">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gNB can have </w:t>
            </w:r>
            <w:r w:rsidR="00227148">
              <w:rPr>
                <w:sz w:val="20"/>
                <w:szCs w:val="20"/>
                <w:lang w:eastAsia="ja-JP"/>
              </w:rPr>
              <w:pgNum/>
            </w:r>
            <w:r w:rsidR="00227148">
              <w:rPr>
                <w:sz w:val="20"/>
                <w:szCs w:val="20"/>
                <w:lang w:eastAsia="ja-JP"/>
              </w:rPr>
              <w:t>edcap</w:t>
            </w:r>
            <w:r>
              <w:rPr>
                <w:sz w:val="20"/>
                <w:szCs w:val="20"/>
                <w:lang w:eastAsia="ja-JP"/>
              </w:rPr>
              <w:t xml:space="preserve"> extensions and the this can be found out through OAM as well  or if the parent gNB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donot see need for RedCap UE to </w:t>
            </w:r>
            <w:r w:rsidR="0080615B">
              <w:rPr>
                <w:sz w:val="20"/>
                <w:szCs w:val="20"/>
                <w:lang w:eastAsia="zh-CN"/>
              </w:rPr>
              <w:lastRenderedPageBreak/>
              <w:t xml:space="preserve">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5A4C5B">
        <w:tc>
          <w:tcPr>
            <w:tcW w:w="1938" w:type="dxa"/>
          </w:tcPr>
          <w:p w14:paraId="338A86A9" w14:textId="053F9134"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Agree with HW. This is not closing the door on ANR from RedCap UEs. UE vendors understand the importance of ANR to the operators and it is taken into account when defining the products. However, it will allow RedCap UEs which otherwise may not be viable to exist in at least certain environments.</w:t>
            </w:r>
          </w:p>
        </w:tc>
      </w:tr>
      <w:tr w:rsidR="009D418D" w14:paraId="6B1742F8" w14:textId="77777777" w:rsidTr="005A4C5B">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r w:rsidR="009D418D">
              <w:rPr>
                <w:sz w:val="20"/>
                <w:szCs w:val="20"/>
                <w:lang w:eastAsia="ja-JP"/>
              </w:rPr>
              <w:t xml:space="preserve">RedCap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5A4C5B">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t>As discussed during online session this highly depends on the scenario and requirement. So it would be meaningful to hear their views.</w:t>
            </w:r>
          </w:p>
        </w:tc>
      </w:tr>
      <w:tr w:rsidR="00A442F4" w14:paraId="74DBF5B5" w14:textId="77777777" w:rsidTr="005A4C5B">
        <w:tc>
          <w:tcPr>
            <w:tcW w:w="1938" w:type="dxa"/>
          </w:tcPr>
          <w:p w14:paraId="0B207807" w14:textId="50A13E85" w:rsidR="00A442F4" w:rsidRDefault="00A442F4" w:rsidP="00DD001B">
            <w:pPr>
              <w:spacing w:after="0"/>
              <w:rPr>
                <w:sz w:val="20"/>
                <w:szCs w:val="20"/>
                <w:lang w:eastAsia="zh-CN"/>
              </w:rPr>
            </w:pPr>
            <w:r>
              <w:rPr>
                <w:sz w:val="20"/>
                <w:szCs w:val="20"/>
                <w:lang w:eastAsia="zh-CN"/>
              </w:rPr>
              <w:t>Turkcell</w:t>
            </w:r>
          </w:p>
        </w:tc>
        <w:tc>
          <w:tcPr>
            <w:tcW w:w="1288" w:type="dxa"/>
          </w:tcPr>
          <w:p w14:paraId="77A95D8F" w14:textId="71C886A5" w:rsidR="00A442F4" w:rsidRDefault="00A442F4" w:rsidP="00DD001B">
            <w:pPr>
              <w:spacing w:after="0"/>
              <w:rPr>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sz w:val="20"/>
                <w:szCs w:val="20"/>
                <w:lang w:eastAsia="zh-CN"/>
              </w:rPr>
            </w:pPr>
            <w:r>
              <w:rPr>
                <w:sz w:val="20"/>
                <w:szCs w:val="20"/>
                <w:lang w:eastAsia="zh-CN"/>
              </w:rPr>
              <w:t xml:space="preserve">Agree with BT. ANR is key feature for us. </w:t>
            </w:r>
          </w:p>
        </w:tc>
      </w:tr>
      <w:tr w:rsidR="008D70D5" w14:paraId="33326951" w14:textId="77777777" w:rsidTr="005A4C5B">
        <w:tc>
          <w:tcPr>
            <w:tcW w:w="1938" w:type="dxa"/>
          </w:tcPr>
          <w:p w14:paraId="2C492859" w14:textId="675B4E38" w:rsidR="008D70D5" w:rsidRDefault="008D70D5" w:rsidP="008D70D5">
            <w:pPr>
              <w:spacing w:after="0"/>
              <w:rPr>
                <w:sz w:val="20"/>
                <w:szCs w:val="20"/>
                <w:lang w:eastAsia="zh-CN"/>
              </w:rPr>
            </w:pPr>
            <w:r>
              <w:rPr>
                <w:rFonts w:eastAsiaTheme="minorEastAsia" w:hint="eastAsia"/>
                <w:sz w:val="20"/>
                <w:szCs w:val="20"/>
                <w:lang w:eastAsia="ja-JP"/>
              </w:rPr>
              <w:t>NEC</w:t>
            </w:r>
          </w:p>
        </w:tc>
        <w:tc>
          <w:tcPr>
            <w:tcW w:w="1288" w:type="dxa"/>
          </w:tcPr>
          <w:p w14:paraId="0D9DA0F2" w14:textId="34D4B5AD" w:rsidR="008D70D5" w:rsidRDefault="008D70D5" w:rsidP="008D70D5">
            <w:pPr>
              <w:spacing w:after="0"/>
              <w:rPr>
                <w:sz w:val="20"/>
                <w:szCs w:val="20"/>
                <w:lang w:eastAsia="zh-CN"/>
              </w:rPr>
            </w:pPr>
            <w:r>
              <w:rPr>
                <w:rFonts w:eastAsiaTheme="minorEastAsia"/>
                <w:sz w:val="20"/>
                <w:szCs w:val="20"/>
                <w:lang w:eastAsia="ja-JP"/>
              </w:rPr>
              <w:t>No strong view</w:t>
            </w:r>
          </w:p>
        </w:tc>
        <w:tc>
          <w:tcPr>
            <w:tcW w:w="6006" w:type="dxa"/>
          </w:tcPr>
          <w:p w14:paraId="733429BF" w14:textId="5F4A86F0" w:rsidR="008D70D5" w:rsidRDefault="008D70D5" w:rsidP="008D70D5">
            <w:pPr>
              <w:spacing w:after="0"/>
              <w:rPr>
                <w:sz w:val="20"/>
                <w:szCs w:val="20"/>
                <w:lang w:eastAsia="zh-CN"/>
              </w:rPr>
            </w:pPr>
            <w:r>
              <w:rPr>
                <w:rFonts w:eastAsiaTheme="minorEastAsia"/>
                <w:sz w:val="20"/>
                <w:szCs w:val="20"/>
                <w:lang w:eastAsia="ja-JP"/>
              </w:rPr>
              <w:t>If not (i.e. to be mandatory), w</w:t>
            </w:r>
            <w:r>
              <w:rPr>
                <w:rFonts w:eastAsiaTheme="minorEastAsia" w:hint="eastAsia"/>
                <w:sz w:val="20"/>
                <w:szCs w:val="20"/>
                <w:lang w:eastAsia="ja-JP"/>
              </w:rPr>
              <w:t>e need clear requirement</w:t>
            </w:r>
            <w:r>
              <w:rPr>
                <w:rFonts w:eastAsiaTheme="minorEastAsia"/>
                <w:sz w:val="20"/>
                <w:szCs w:val="20"/>
                <w:lang w:eastAsia="ja-JP"/>
              </w:rPr>
              <w:t>s</w:t>
            </w:r>
            <w:r>
              <w:rPr>
                <w:rFonts w:eastAsiaTheme="minorEastAsia" w:hint="eastAsia"/>
                <w:sz w:val="20"/>
                <w:szCs w:val="20"/>
                <w:lang w:eastAsia="ja-JP"/>
              </w:rPr>
              <w:t xml:space="preserve"> or deployment assumption from operators (but not just one</w:t>
            </w:r>
            <w:r>
              <w:rPr>
                <w:rFonts w:eastAsiaTheme="minorEastAsia"/>
                <w:sz w:val="20"/>
                <w:szCs w:val="20"/>
                <w:lang w:eastAsia="ja-JP"/>
              </w:rPr>
              <w:t xml:space="preserve"> or two</w:t>
            </w:r>
            <w:r>
              <w:rPr>
                <w:rFonts w:eastAsiaTheme="minorEastAsia" w:hint="eastAsia"/>
                <w:sz w:val="20"/>
                <w:szCs w:val="20"/>
                <w:lang w:eastAsia="ja-JP"/>
              </w:rPr>
              <w:t>)</w:t>
            </w:r>
            <w:r>
              <w:rPr>
                <w:rFonts w:eastAsiaTheme="minorEastAsia"/>
                <w:sz w:val="20"/>
                <w:szCs w:val="20"/>
                <w:lang w:eastAsia="ja-JP"/>
              </w:rPr>
              <w:t>, which may also impact on decision for other functions</w:t>
            </w:r>
          </w:p>
        </w:tc>
      </w:tr>
      <w:tr w:rsidR="00E4681B" w14:paraId="10A03BB8" w14:textId="77777777" w:rsidTr="005A4C5B">
        <w:tc>
          <w:tcPr>
            <w:tcW w:w="1938" w:type="dxa"/>
          </w:tcPr>
          <w:p w14:paraId="04C4C103" w14:textId="60852FF4" w:rsidR="00E4681B" w:rsidRDefault="00E4681B" w:rsidP="008D70D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2D352F" w14:textId="708D91A2" w:rsidR="00E4681B" w:rsidRDefault="00E4681B" w:rsidP="008D70D5">
            <w:pPr>
              <w:spacing w:after="0"/>
              <w:rPr>
                <w:rFonts w:eastAsiaTheme="minorEastAsia"/>
                <w:sz w:val="20"/>
                <w:szCs w:val="20"/>
                <w:lang w:eastAsia="ja-JP"/>
              </w:rPr>
            </w:pPr>
            <w:r>
              <w:rPr>
                <w:rFonts w:eastAsiaTheme="minorEastAsia"/>
                <w:sz w:val="20"/>
                <w:szCs w:val="20"/>
                <w:lang w:eastAsia="ja-JP"/>
              </w:rPr>
              <w:t>Yes</w:t>
            </w:r>
          </w:p>
        </w:tc>
        <w:tc>
          <w:tcPr>
            <w:tcW w:w="6006" w:type="dxa"/>
          </w:tcPr>
          <w:p w14:paraId="605DFC2D" w14:textId="1052261D" w:rsidR="00E4681B" w:rsidRDefault="00E4681B" w:rsidP="008D70D5">
            <w:pPr>
              <w:spacing w:after="0"/>
              <w:rPr>
                <w:rFonts w:eastAsiaTheme="minorEastAsia"/>
                <w:sz w:val="20"/>
                <w:szCs w:val="20"/>
                <w:lang w:eastAsia="ja-JP"/>
              </w:rPr>
            </w:pPr>
            <w:r>
              <w:rPr>
                <w:rFonts w:eastAsiaTheme="minorEastAsia"/>
                <w:sz w:val="20"/>
                <w:szCs w:val="20"/>
                <w:lang w:eastAsia="ja-JP"/>
              </w:rPr>
              <w:t>Agree with Huawei</w:t>
            </w:r>
          </w:p>
        </w:tc>
      </w:tr>
      <w:tr w:rsidR="00E4681B" w14:paraId="60EC339E" w14:textId="77777777" w:rsidTr="005A4C5B">
        <w:tc>
          <w:tcPr>
            <w:tcW w:w="1938" w:type="dxa"/>
          </w:tcPr>
          <w:p w14:paraId="6E1FAE80" w14:textId="344B48AA" w:rsidR="00E4681B" w:rsidRPr="00C9042B" w:rsidRDefault="00C9042B" w:rsidP="008D70D5">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5076483B" w14:textId="472F68CA" w:rsidR="00E4681B" w:rsidRPr="00C9042B" w:rsidRDefault="00C9042B" w:rsidP="008D70D5">
            <w:pPr>
              <w:spacing w:after="0"/>
              <w:rPr>
                <w:rFonts w:eastAsia="맑은 고딕"/>
                <w:sz w:val="20"/>
                <w:szCs w:val="20"/>
                <w:lang w:eastAsia="ko-KR"/>
              </w:rPr>
            </w:pPr>
            <w:r>
              <w:rPr>
                <w:rFonts w:eastAsia="맑은 고딕" w:hint="eastAsia"/>
                <w:sz w:val="20"/>
                <w:szCs w:val="20"/>
                <w:lang w:eastAsia="ko-KR"/>
              </w:rPr>
              <w:t>Yes</w:t>
            </w:r>
          </w:p>
        </w:tc>
        <w:tc>
          <w:tcPr>
            <w:tcW w:w="6006" w:type="dxa"/>
          </w:tcPr>
          <w:p w14:paraId="64BDD048" w14:textId="77777777" w:rsidR="00E4681B" w:rsidRDefault="00E4681B" w:rsidP="008D70D5">
            <w:pPr>
              <w:spacing w:after="0"/>
              <w:rPr>
                <w:rFonts w:eastAsiaTheme="minorEastAsia"/>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1"/>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8"/>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87097">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A4C5B">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A4C5B">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A4C5B">
        <w:tc>
          <w:tcPr>
            <w:tcW w:w="1938" w:type="dxa"/>
          </w:tcPr>
          <w:p w14:paraId="4EFAC74E" w14:textId="773BF451" w:rsidR="00A442F4" w:rsidRDefault="00A442F4" w:rsidP="00DD001B">
            <w:pPr>
              <w:spacing w:after="0"/>
              <w:rPr>
                <w:sz w:val="20"/>
                <w:szCs w:val="20"/>
                <w:lang w:eastAsia="zh-CN"/>
              </w:rPr>
            </w:pPr>
            <w:r>
              <w:rPr>
                <w:sz w:val="20"/>
                <w:szCs w:val="20"/>
                <w:lang w:eastAsia="zh-CN"/>
              </w:rPr>
              <w:t>Turkcell</w:t>
            </w:r>
          </w:p>
        </w:tc>
        <w:tc>
          <w:tcPr>
            <w:tcW w:w="1288" w:type="dxa"/>
          </w:tcPr>
          <w:p w14:paraId="05BCD674" w14:textId="1133A569" w:rsidR="00A442F4" w:rsidRDefault="00A442F4" w:rsidP="00DD001B">
            <w:pPr>
              <w:spacing w:after="0"/>
              <w:rPr>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r w:rsidR="00F86805" w14:paraId="647B6A9B" w14:textId="77777777" w:rsidTr="005A4C5B">
        <w:tc>
          <w:tcPr>
            <w:tcW w:w="1938" w:type="dxa"/>
          </w:tcPr>
          <w:p w14:paraId="141E7B5F" w14:textId="1EF9B10F" w:rsidR="00F86805" w:rsidRDefault="00F86805" w:rsidP="00F86805">
            <w:pPr>
              <w:spacing w:after="0"/>
              <w:rPr>
                <w:sz w:val="20"/>
                <w:szCs w:val="20"/>
                <w:lang w:eastAsia="zh-CN"/>
              </w:rPr>
            </w:pPr>
            <w:r>
              <w:rPr>
                <w:rFonts w:eastAsiaTheme="minorEastAsia"/>
                <w:sz w:val="20"/>
                <w:szCs w:val="20"/>
                <w:lang w:eastAsia="ja-JP"/>
              </w:rPr>
              <w:t>NEC</w:t>
            </w:r>
          </w:p>
        </w:tc>
        <w:tc>
          <w:tcPr>
            <w:tcW w:w="1288" w:type="dxa"/>
          </w:tcPr>
          <w:p w14:paraId="706F9ADD" w14:textId="6C0A54E7" w:rsidR="00F86805" w:rsidRDefault="00F86805" w:rsidP="00F86805">
            <w:pPr>
              <w:spacing w:after="0"/>
              <w:rPr>
                <w:sz w:val="20"/>
                <w:szCs w:val="20"/>
                <w:lang w:eastAsia="zh-CN"/>
              </w:rPr>
            </w:pPr>
            <w:r>
              <w:rPr>
                <w:rFonts w:eastAsiaTheme="minorEastAsia"/>
                <w:sz w:val="20"/>
                <w:szCs w:val="20"/>
                <w:lang w:eastAsia="ja-JP"/>
              </w:rPr>
              <w:t>Yes</w:t>
            </w:r>
          </w:p>
        </w:tc>
        <w:tc>
          <w:tcPr>
            <w:tcW w:w="6006" w:type="dxa"/>
          </w:tcPr>
          <w:p w14:paraId="049508B3" w14:textId="6368148E" w:rsidR="00F86805" w:rsidRDefault="00F86805" w:rsidP="00F86805">
            <w:pPr>
              <w:spacing w:after="0"/>
              <w:rPr>
                <w:sz w:val="20"/>
                <w:szCs w:val="20"/>
                <w:lang w:eastAsia="zh-CN"/>
              </w:rPr>
            </w:pPr>
            <w:r>
              <w:rPr>
                <w:rFonts w:eastAsiaTheme="minorEastAsia" w:hint="eastAsia"/>
                <w:sz w:val="20"/>
                <w:szCs w:val="20"/>
                <w:lang w:eastAsia="ja-JP"/>
              </w:rPr>
              <w:t>A</w:t>
            </w:r>
            <w:r>
              <w:rPr>
                <w:rFonts w:eastAsiaTheme="minorEastAsia"/>
                <w:sz w:val="20"/>
                <w:szCs w:val="20"/>
                <w:lang w:eastAsia="ja-JP"/>
              </w:rPr>
              <w:t>gree with 2</w:t>
            </w:r>
            <w:r w:rsidRPr="00E64CD9">
              <w:rPr>
                <w:rFonts w:eastAsiaTheme="minorEastAsia"/>
                <w:sz w:val="20"/>
                <w:szCs w:val="20"/>
                <w:vertAlign w:val="superscript"/>
                <w:lang w:eastAsia="ja-JP"/>
              </w:rPr>
              <w:t>nd</w:t>
            </w:r>
            <w:r>
              <w:rPr>
                <w:rFonts w:eastAsiaTheme="minorEastAsia"/>
                <w:sz w:val="20"/>
                <w:szCs w:val="20"/>
                <w:lang w:eastAsia="ja-JP"/>
              </w:rPr>
              <w:t xml:space="preserve"> one of ZTE’s rewording </w:t>
            </w:r>
          </w:p>
        </w:tc>
      </w:tr>
      <w:tr w:rsidR="00E4681B" w14:paraId="54E946B1" w14:textId="77777777" w:rsidTr="005A4C5B">
        <w:tc>
          <w:tcPr>
            <w:tcW w:w="1938" w:type="dxa"/>
          </w:tcPr>
          <w:p w14:paraId="6E5EF69B" w14:textId="4CA9C075" w:rsidR="00E4681B" w:rsidRDefault="00E4681B"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C2792F7" w14:textId="2749195A" w:rsidR="00E4681B" w:rsidRDefault="00E4681B" w:rsidP="00F86805">
            <w:pPr>
              <w:spacing w:after="0"/>
              <w:rPr>
                <w:rFonts w:eastAsiaTheme="minorEastAsia"/>
                <w:sz w:val="20"/>
                <w:szCs w:val="20"/>
                <w:lang w:eastAsia="ja-JP"/>
              </w:rPr>
            </w:pPr>
            <w:r>
              <w:rPr>
                <w:rFonts w:eastAsiaTheme="minorEastAsia"/>
                <w:sz w:val="20"/>
                <w:szCs w:val="20"/>
                <w:lang w:eastAsia="ja-JP"/>
              </w:rPr>
              <w:t xml:space="preserve">Yes </w:t>
            </w:r>
          </w:p>
        </w:tc>
        <w:tc>
          <w:tcPr>
            <w:tcW w:w="6006" w:type="dxa"/>
          </w:tcPr>
          <w:p w14:paraId="253DF4E9" w14:textId="5BB56DFF" w:rsidR="00E4681B" w:rsidRDefault="00E4681B" w:rsidP="00C861AA">
            <w:pPr>
              <w:spacing w:after="0"/>
              <w:rPr>
                <w:rFonts w:eastAsiaTheme="minorEastAsia"/>
                <w:sz w:val="20"/>
                <w:szCs w:val="20"/>
                <w:lang w:eastAsia="ja-JP"/>
              </w:rPr>
            </w:pPr>
            <w:r>
              <w:rPr>
                <w:rFonts w:eastAsiaTheme="minorEastAsia"/>
                <w:sz w:val="20"/>
                <w:szCs w:val="20"/>
                <w:lang w:eastAsia="ja-JP"/>
              </w:rPr>
              <w:t xml:space="preserve">Agree with </w:t>
            </w:r>
            <w:r w:rsidR="00C861AA">
              <w:rPr>
                <w:rFonts w:eastAsiaTheme="minorEastAsia"/>
                <w:sz w:val="20"/>
                <w:szCs w:val="20"/>
                <w:lang w:eastAsia="ja-JP"/>
              </w:rPr>
              <w:t xml:space="preserve">ZTE’s </w:t>
            </w:r>
            <w:r>
              <w:rPr>
                <w:rFonts w:eastAsiaTheme="minorEastAsia"/>
                <w:sz w:val="20"/>
                <w:szCs w:val="20"/>
                <w:lang w:eastAsia="ja-JP"/>
              </w:rPr>
              <w:t>second rewording of the proposal, as RAN4 may need to check if they have any impact.</w:t>
            </w:r>
          </w:p>
        </w:tc>
      </w:tr>
      <w:tr w:rsidR="00C9042B" w14:paraId="1C111498" w14:textId="77777777" w:rsidTr="005A4C5B">
        <w:tc>
          <w:tcPr>
            <w:tcW w:w="1938" w:type="dxa"/>
          </w:tcPr>
          <w:p w14:paraId="1449C90C" w14:textId="51A007BD" w:rsidR="00C9042B" w:rsidRDefault="00C9042B" w:rsidP="00C9042B">
            <w:pPr>
              <w:spacing w:after="0"/>
              <w:rPr>
                <w:rFonts w:eastAsiaTheme="minorEastAsia"/>
                <w:sz w:val="20"/>
                <w:szCs w:val="20"/>
                <w:lang w:eastAsia="ja-JP"/>
              </w:rPr>
            </w:pPr>
            <w:r>
              <w:rPr>
                <w:rFonts w:eastAsia="맑은 고딕" w:hint="eastAsia"/>
                <w:sz w:val="20"/>
                <w:szCs w:val="20"/>
                <w:lang w:eastAsia="ko-KR"/>
              </w:rPr>
              <w:t>LGE</w:t>
            </w:r>
          </w:p>
        </w:tc>
        <w:tc>
          <w:tcPr>
            <w:tcW w:w="1288" w:type="dxa"/>
          </w:tcPr>
          <w:p w14:paraId="6DB2958B" w14:textId="0355CAAF" w:rsidR="00C9042B" w:rsidRDefault="00C9042B" w:rsidP="00C9042B">
            <w:pPr>
              <w:spacing w:after="0"/>
              <w:rPr>
                <w:rFonts w:eastAsiaTheme="minorEastAsia"/>
                <w:sz w:val="20"/>
                <w:szCs w:val="20"/>
                <w:lang w:eastAsia="ja-JP"/>
              </w:rPr>
            </w:pPr>
            <w:r>
              <w:rPr>
                <w:rFonts w:eastAsia="맑은 고딕" w:hint="eastAsia"/>
                <w:sz w:val="20"/>
                <w:szCs w:val="20"/>
                <w:lang w:eastAsia="ko-KR"/>
              </w:rPr>
              <w:t>Yes</w:t>
            </w:r>
          </w:p>
        </w:tc>
        <w:tc>
          <w:tcPr>
            <w:tcW w:w="6006" w:type="dxa"/>
          </w:tcPr>
          <w:p w14:paraId="771FDA92" w14:textId="77777777" w:rsidR="00C9042B" w:rsidRDefault="00C9042B" w:rsidP="00C9042B">
            <w:pPr>
              <w:spacing w:after="0"/>
              <w:rPr>
                <w:rFonts w:eastAsiaTheme="minorEastAsia"/>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8"/>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8"/>
              <w:numPr>
                <w:ilvl w:val="0"/>
                <w:numId w:val="30"/>
              </w:numPr>
              <w:tabs>
                <w:tab w:val="left" w:pos="1327"/>
              </w:tabs>
              <w:spacing w:after="60"/>
              <w:jc w:val="both"/>
              <w:rPr>
                <w:lang w:val="en-GB"/>
              </w:rPr>
            </w:pPr>
            <w:r w:rsidRPr="003707DF">
              <w:rPr>
                <w:lang w:val="en-GB"/>
              </w:rPr>
              <w:lastRenderedPageBreak/>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8"/>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10"/>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87097">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A4C5B">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A4C5B">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A4C5B">
        <w:tc>
          <w:tcPr>
            <w:tcW w:w="1938" w:type="dxa"/>
          </w:tcPr>
          <w:p w14:paraId="4EC89C58" w14:textId="19F99D2B" w:rsidR="00A442F4" w:rsidRDefault="00A442F4" w:rsidP="00DD001B">
            <w:pPr>
              <w:spacing w:after="0"/>
              <w:rPr>
                <w:sz w:val="20"/>
                <w:szCs w:val="20"/>
                <w:lang w:eastAsia="zh-CN"/>
              </w:rPr>
            </w:pPr>
            <w:r>
              <w:rPr>
                <w:sz w:val="20"/>
                <w:szCs w:val="20"/>
                <w:lang w:eastAsia="zh-CN"/>
              </w:rPr>
              <w:t>Turkcell</w:t>
            </w:r>
          </w:p>
        </w:tc>
        <w:tc>
          <w:tcPr>
            <w:tcW w:w="1288" w:type="dxa"/>
          </w:tcPr>
          <w:p w14:paraId="0122CB8B" w14:textId="6DEF7950" w:rsidR="00A442F4" w:rsidRDefault="00A442F4" w:rsidP="00DD001B">
            <w:pPr>
              <w:spacing w:after="0"/>
              <w:rPr>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sz w:val="20"/>
                <w:szCs w:val="20"/>
                <w:lang w:eastAsia="zh-CN"/>
              </w:rPr>
            </w:pPr>
          </w:p>
        </w:tc>
      </w:tr>
      <w:tr w:rsidR="00F86805" w14:paraId="5287629F" w14:textId="77777777" w:rsidTr="005A4C5B">
        <w:tc>
          <w:tcPr>
            <w:tcW w:w="1938" w:type="dxa"/>
          </w:tcPr>
          <w:p w14:paraId="498A426F" w14:textId="4FB8908C"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58237F3A" w14:textId="768E225F"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4D4CB48" w14:textId="77777777" w:rsidR="00F86805" w:rsidRDefault="00F86805" w:rsidP="00F86805">
            <w:pPr>
              <w:spacing w:after="0"/>
              <w:rPr>
                <w:sz w:val="20"/>
                <w:szCs w:val="20"/>
                <w:lang w:eastAsia="zh-CN"/>
              </w:rPr>
            </w:pPr>
          </w:p>
        </w:tc>
      </w:tr>
      <w:tr w:rsidR="00C861AA" w14:paraId="77E4FD2C" w14:textId="77777777" w:rsidTr="005A4C5B">
        <w:tc>
          <w:tcPr>
            <w:tcW w:w="1938" w:type="dxa"/>
          </w:tcPr>
          <w:p w14:paraId="46ABA6D4" w14:textId="270F572E"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BDF98" w14:textId="12905043"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282D961F" w14:textId="77777777" w:rsidR="00C861AA" w:rsidRDefault="00C861AA" w:rsidP="00F86805">
            <w:pPr>
              <w:spacing w:after="0"/>
              <w:rPr>
                <w:sz w:val="20"/>
                <w:szCs w:val="20"/>
                <w:lang w:eastAsia="zh-CN"/>
              </w:rPr>
            </w:pPr>
          </w:p>
        </w:tc>
      </w:tr>
      <w:tr w:rsidR="00C9042B" w14:paraId="3943A82F" w14:textId="77777777" w:rsidTr="005A4C5B">
        <w:tc>
          <w:tcPr>
            <w:tcW w:w="1938" w:type="dxa"/>
          </w:tcPr>
          <w:p w14:paraId="26D17FFD" w14:textId="05BBBE8F" w:rsidR="00C9042B" w:rsidRDefault="00C9042B" w:rsidP="00C9042B">
            <w:pPr>
              <w:spacing w:after="0"/>
              <w:rPr>
                <w:rFonts w:eastAsiaTheme="minorEastAsia"/>
                <w:sz w:val="20"/>
                <w:szCs w:val="20"/>
                <w:lang w:eastAsia="ja-JP"/>
              </w:rPr>
            </w:pPr>
            <w:r>
              <w:rPr>
                <w:rFonts w:eastAsia="맑은 고딕" w:hint="eastAsia"/>
                <w:sz w:val="20"/>
                <w:szCs w:val="20"/>
                <w:lang w:eastAsia="ko-KR"/>
              </w:rPr>
              <w:t>LGE</w:t>
            </w:r>
          </w:p>
        </w:tc>
        <w:tc>
          <w:tcPr>
            <w:tcW w:w="1288" w:type="dxa"/>
          </w:tcPr>
          <w:p w14:paraId="4E27E241" w14:textId="0E8A1B4A" w:rsidR="00C9042B" w:rsidRDefault="00C9042B" w:rsidP="00C9042B">
            <w:pPr>
              <w:spacing w:after="0"/>
              <w:rPr>
                <w:rFonts w:eastAsiaTheme="minorEastAsia"/>
                <w:sz w:val="20"/>
                <w:szCs w:val="20"/>
                <w:lang w:eastAsia="ja-JP"/>
              </w:rPr>
            </w:pPr>
            <w:r>
              <w:rPr>
                <w:rFonts w:eastAsia="맑은 고딕" w:hint="eastAsia"/>
                <w:sz w:val="20"/>
                <w:szCs w:val="20"/>
                <w:lang w:eastAsia="ko-KR"/>
              </w:rPr>
              <w:t>Yes</w:t>
            </w:r>
          </w:p>
        </w:tc>
        <w:tc>
          <w:tcPr>
            <w:tcW w:w="6006" w:type="dxa"/>
          </w:tcPr>
          <w:p w14:paraId="6B1FAD2E" w14:textId="77777777" w:rsidR="00C9042B" w:rsidRDefault="00C9042B" w:rsidP="00C9042B">
            <w:pPr>
              <w:spacing w:after="0"/>
              <w:rPr>
                <w:sz w:val="20"/>
                <w:szCs w:val="20"/>
                <w:lang w:eastAsia="zh-CN"/>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8"/>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8"/>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8"/>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8"/>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10"/>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87097">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A4C5B">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A4C5B">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A4C5B">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A4C5B">
        <w:tc>
          <w:tcPr>
            <w:tcW w:w="1938" w:type="dxa"/>
          </w:tcPr>
          <w:p w14:paraId="6FD32EEC" w14:textId="0930F7FE" w:rsidR="001B3886" w:rsidRDefault="001B3886" w:rsidP="00DD001B">
            <w:pPr>
              <w:spacing w:after="0"/>
              <w:rPr>
                <w:sz w:val="20"/>
                <w:szCs w:val="20"/>
                <w:lang w:eastAsia="zh-CN"/>
              </w:rPr>
            </w:pPr>
            <w:r>
              <w:rPr>
                <w:sz w:val="20"/>
                <w:szCs w:val="20"/>
                <w:lang w:eastAsia="zh-CN"/>
              </w:rPr>
              <w:t>Turkcell</w:t>
            </w:r>
          </w:p>
        </w:tc>
        <w:tc>
          <w:tcPr>
            <w:tcW w:w="1288" w:type="dxa"/>
          </w:tcPr>
          <w:p w14:paraId="13BC0AA6" w14:textId="15144F50" w:rsidR="001B3886" w:rsidRDefault="001B3886" w:rsidP="00DD001B">
            <w:pPr>
              <w:spacing w:after="0"/>
              <w:rPr>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r w:rsidR="00F86805" w14:paraId="4B6C70EC" w14:textId="77777777" w:rsidTr="005A4C5B">
        <w:tc>
          <w:tcPr>
            <w:tcW w:w="1938" w:type="dxa"/>
          </w:tcPr>
          <w:p w14:paraId="55098783" w14:textId="5375F962"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9A099D5" w14:textId="6FED0721"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13A7A23" w14:textId="77777777" w:rsidR="00F86805" w:rsidRDefault="00F86805" w:rsidP="00F86805">
            <w:pPr>
              <w:spacing w:after="0"/>
              <w:rPr>
                <w:sz w:val="20"/>
                <w:szCs w:val="20"/>
                <w:lang w:eastAsia="ja-JP"/>
              </w:rPr>
            </w:pPr>
          </w:p>
        </w:tc>
      </w:tr>
      <w:tr w:rsidR="00C861AA" w14:paraId="6B524681" w14:textId="77777777" w:rsidTr="005A4C5B">
        <w:tc>
          <w:tcPr>
            <w:tcW w:w="1938" w:type="dxa"/>
          </w:tcPr>
          <w:p w14:paraId="566CD40E" w14:textId="0FCCB769" w:rsidR="00C861AA" w:rsidRDefault="00C861AA" w:rsidP="00F86805">
            <w:pPr>
              <w:spacing w:after="0"/>
              <w:rPr>
                <w:rFonts w:eastAsiaTheme="minorEastAsia"/>
                <w:sz w:val="20"/>
                <w:szCs w:val="20"/>
                <w:lang w:eastAsia="ja-JP"/>
              </w:rPr>
            </w:pPr>
            <w:r>
              <w:rPr>
                <w:rFonts w:eastAsiaTheme="minorEastAsia"/>
                <w:sz w:val="20"/>
                <w:szCs w:val="20"/>
                <w:lang w:eastAsia="ja-JP"/>
              </w:rPr>
              <w:lastRenderedPageBreak/>
              <w:t>MediaTek</w:t>
            </w:r>
          </w:p>
        </w:tc>
        <w:tc>
          <w:tcPr>
            <w:tcW w:w="1288" w:type="dxa"/>
          </w:tcPr>
          <w:p w14:paraId="28100025" w14:textId="3BA4FBA1"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08E243DE" w14:textId="66407198" w:rsidR="00C861AA" w:rsidRDefault="00C861AA" w:rsidP="00F86805">
            <w:pPr>
              <w:spacing w:after="0"/>
              <w:rPr>
                <w:sz w:val="20"/>
                <w:szCs w:val="20"/>
                <w:lang w:eastAsia="ja-JP"/>
              </w:rPr>
            </w:pPr>
            <w:r>
              <w:rPr>
                <w:sz w:val="20"/>
                <w:szCs w:val="20"/>
                <w:lang w:eastAsia="ja-JP"/>
              </w:rPr>
              <w:t>We assume that all optional features for non-RedCap UEs stay optional for RedCap, and we also agree that no specification impact is foreseen here.</w:t>
            </w:r>
          </w:p>
        </w:tc>
      </w:tr>
      <w:tr w:rsidR="00C9042B" w14:paraId="4462726E" w14:textId="77777777" w:rsidTr="005A4C5B">
        <w:tc>
          <w:tcPr>
            <w:tcW w:w="1938" w:type="dxa"/>
          </w:tcPr>
          <w:p w14:paraId="4E67BF2B" w14:textId="70964112" w:rsidR="00C9042B" w:rsidRDefault="00C9042B" w:rsidP="00C9042B">
            <w:pPr>
              <w:spacing w:after="0"/>
              <w:rPr>
                <w:rFonts w:eastAsiaTheme="minorEastAsia"/>
                <w:sz w:val="20"/>
                <w:szCs w:val="20"/>
                <w:lang w:eastAsia="ja-JP"/>
              </w:rPr>
            </w:pPr>
            <w:r>
              <w:rPr>
                <w:rFonts w:eastAsia="맑은 고딕" w:hint="eastAsia"/>
                <w:sz w:val="20"/>
                <w:szCs w:val="20"/>
                <w:lang w:eastAsia="ko-KR"/>
              </w:rPr>
              <w:t>LGE</w:t>
            </w:r>
          </w:p>
        </w:tc>
        <w:tc>
          <w:tcPr>
            <w:tcW w:w="1288" w:type="dxa"/>
          </w:tcPr>
          <w:p w14:paraId="7D1DBBA5" w14:textId="4F4B512A" w:rsidR="00C9042B" w:rsidRDefault="00C9042B" w:rsidP="00C9042B">
            <w:pPr>
              <w:spacing w:after="0"/>
              <w:rPr>
                <w:rFonts w:eastAsiaTheme="minorEastAsia"/>
                <w:sz w:val="20"/>
                <w:szCs w:val="20"/>
                <w:lang w:eastAsia="ja-JP"/>
              </w:rPr>
            </w:pPr>
            <w:r>
              <w:rPr>
                <w:rFonts w:eastAsia="맑은 고딕" w:hint="eastAsia"/>
                <w:sz w:val="20"/>
                <w:szCs w:val="20"/>
                <w:lang w:eastAsia="ko-KR"/>
              </w:rPr>
              <w:t>Yes</w:t>
            </w:r>
          </w:p>
        </w:tc>
        <w:tc>
          <w:tcPr>
            <w:tcW w:w="6006" w:type="dxa"/>
          </w:tcPr>
          <w:p w14:paraId="78B49FC6" w14:textId="77777777" w:rsidR="00C9042B" w:rsidRDefault="00C9042B" w:rsidP="00C9042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8"/>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10"/>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587097">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5A4C5B">
        <w:tc>
          <w:tcPr>
            <w:tcW w:w="1938" w:type="dxa"/>
          </w:tcPr>
          <w:p w14:paraId="780CB2F9" w14:textId="3AF03D2A" w:rsidR="0081208C" w:rsidRDefault="0081208C" w:rsidP="0081208C">
            <w:pPr>
              <w:spacing w:after="0"/>
              <w:rPr>
                <w:sz w:val="20"/>
                <w:szCs w:val="20"/>
                <w:lang w:eastAsia="zh-CN"/>
              </w:rPr>
            </w:pPr>
            <w:r>
              <w:rPr>
                <w:sz w:val="20"/>
                <w:szCs w:val="20"/>
                <w:lang w:eastAsia="ja-JP"/>
              </w:rPr>
              <w:lastRenderedPageBreak/>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RedCap UE is not expected as IAB node but could access an IAB gNB. </w:t>
            </w:r>
          </w:p>
        </w:tc>
      </w:tr>
      <w:tr w:rsidR="00FF7096" w14:paraId="165A5097" w14:textId="77777777" w:rsidTr="005A4C5B">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5A4C5B">
        <w:tc>
          <w:tcPr>
            <w:tcW w:w="1938" w:type="dxa"/>
          </w:tcPr>
          <w:p w14:paraId="229A60F7" w14:textId="6AE06E48" w:rsidR="001B3886" w:rsidRDefault="001B3886" w:rsidP="0081208C">
            <w:pPr>
              <w:spacing w:after="0"/>
              <w:rPr>
                <w:sz w:val="20"/>
                <w:szCs w:val="20"/>
                <w:lang w:eastAsia="zh-CN"/>
              </w:rPr>
            </w:pPr>
            <w:r>
              <w:rPr>
                <w:sz w:val="20"/>
                <w:szCs w:val="20"/>
                <w:lang w:eastAsia="zh-CN"/>
              </w:rPr>
              <w:t>Turkcell</w:t>
            </w:r>
          </w:p>
        </w:tc>
        <w:tc>
          <w:tcPr>
            <w:tcW w:w="1288" w:type="dxa"/>
          </w:tcPr>
          <w:p w14:paraId="1786B33B" w14:textId="2301DD18" w:rsidR="001B3886" w:rsidRDefault="001B3886" w:rsidP="0081208C">
            <w:pPr>
              <w:spacing w:after="0"/>
              <w:rPr>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r w:rsidR="00F86805" w14:paraId="58C3443C" w14:textId="77777777" w:rsidTr="005A4C5B">
        <w:tc>
          <w:tcPr>
            <w:tcW w:w="1938" w:type="dxa"/>
          </w:tcPr>
          <w:p w14:paraId="35B70541" w14:textId="42EE824F"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49516B00" w14:textId="5309DA81" w:rsidR="00F86805" w:rsidRDefault="00F86805" w:rsidP="00F86805">
            <w:pPr>
              <w:spacing w:after="0"/>
              <w:rPr>
                <w:sz w:val="20"/>
                <w:szCs w:val="20"/>
                <w:lang w:eastAsia="ja-JP"/>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382B76A" w14:textId="77777777" w:rsidR="00F86805" w:rsidRDefault="00F86805" w:rsidP="00F86805">
            <w:pPr>
              <w:spacing w:after="0"/>
              <w:rPr>
                <w:sz w:val="20"/>
                <w:szCs w:val="20"/>
                <w:lang w:eastAsia="zh-CN"/>
              </w:rPr>
            </w:pPr>
          </w:p>
        </w:tc>
      </w:tr>
      <w:tr w:rsidR="00C861AA" w14:paraId="7844D2FD" w14:textId="77777777" w:rsidTr="005A4C5B">
        <w:tc>
          <w:tcPr>
            <w:tcW w:w="1938" w:type="dxa"/>
          </w:tcPr>
          <w:p w14:paraId="185CCC45" w14:textId="7A331E0F"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3B1541F7" w14:textId="43DCE326" w:rsidR="00C861AA" w:rsidRDefault="00C861AA" w:rsidP="00F86805">
            <w:pPr>
              <w:spacing w:after="0"/>
              <w:rPr>
                <w:rFonts w:eastAsiaTheme="minorEastAsia"/>
                <w:sz w:val="20"/>
                <w:szCs w:val="20"/>
                <w:lang w:eastAsia="ja-JP"/>
              </w:rPr>
            </w:pPr>
            <w:r>
              <w:rPr>
                <w:rFonts w:eastAsiaTheme="minorEastAsia"/>
                <w:sz w:val="20"/>
                <w:szCs w:val="20"/>
                <w:lang w:eastAsia="ja-JP"/>
              </w:rPr>
              <w:t>Yes, but</w:t>
            </w:r>
          </w:p>
        </w:tc>
        <w:tc>
          <w:tcPr>
            <w:tcW w:w="6006" w:type="dxa"/>
          </w:tcPr>
          <w:p w14:paraId="399084D6" w14:textId="69B48F2E" w:rsidR="00C861AA" w:rsidRDefault="00C861AA" w:rsidP="00F86805">
            <w:pPr>
              <w:spacing w:after="0"/>
              <w:rPr>
                <w:sz w:val="20"/>
                <w:szCs w:val="20"/>
                <w:lang w:eastAsia="zh-CN"/>
              </w:rPr>
            </w:pPr>
            <w:r>
              <w:rPr>
                <w:sz w:val="20"/>
                <w:szCs w:val="20"/>
                <w:lang w:eastAsia="zh-CN"/>
              </w:rPr>
              <w:t>Agree with Ericsson</w:t>
            </w:r>
          </w:p>
        </w:tc>
      </w:tr>
      <w:tr w:rsidR="00C9042B" w14:paraId="3EA34848" w14:textId="77777777" w:rsidTr="005A4C5B">
        <w:tc>
          <w:tcPr>
            <w:tcW w:w="1938" w:type="dxa"/>
          </w:tcPr>
          <w:p w14:paraId="035F3E88" w14:textId="72A0F5DC" w:rsidR="00C9042B" w:rsidRDefault="00C9042B" w:rsidP="00C9042B">
            <w:pPr>
              <w:spacing w:after="0"/>
              <w:rPr>
                <w:rFonts w:eastAsiaTheme="minorEastAsia"/>
                <w:sz w:val="20"/>
                <w:szCs w:val="20"/>
                <w:lang w:eastAsia="ja-JP"/>
              </w:rPr>
            </w:pPr>
            <w:r>
              <w:rPr>
                <w:rFonts w:eastAsia="맑은 고딕" w:hint="eastAsia"/>
                <w:sz w:val="20"/>
                <w:szCs w:val="20"/>
                <w:lang w:eastAsia="ko-KR"/>
              </w:rPr>
              <w:t>LGE</w:t>
            </w:r>
          </w:p>
        </w:tc>
        <w:tc>
          <w:tcPr>
            <w:tcW w:w="1288" w:type="dxa"/>
          </w:tcPr>
          <w:p w14:paraId="77EE9C61" w14:textId="2404FA8D" w:rsidR="00C9042B" w:rsidRDefault="00C9042B" w:rsidP="00C9042B">
            <w:pPr>
              <w:spacing w:after="0"/>
              <w:rPr>
                <w:rFonts w:eastAsiaTheme="minorEastAsia"/>
                <w:sz w:val="20"/>
                <w:szCs w:val="20"/>
                <w:lang w:eastAsia="ja-JP"/>
              </w:rPr>
            </w:pPr>
            <w:r>
              <w:rPr>
                <w:rFonts w:eastAsia="맑은 고딕" w:hint="eastAsia"/>
                <w:sz w:val="20"/>
                <w:szCs w:val="20"/>
                <w:lang w:eastAsia="ko-KR"/>
              </w:rPr>
              <w:t>Yes</w:t>
            </w:r>
          </w:p>
        </w:tc>
        <w:tc>
          <w:tcPr>
            <w:tcW w:w="6006" w:type="dxa"/>
          </w:tcPr>
          <w:p w14:paraId="17F21F31" w14:textId="77777777" w:rsidR="00C9042B" w:rsidRDefault="00C9042B" w:rsidP="00C9042B">
            <w:pPr>
              <w:spacing w:after="0"/>
              <w:rPr>
                <w:sz w:val="20"/>
                <w:szCs w:val="20"/>
                <w:lang w:eastAsia="zh-CN"/>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8"/>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8"/>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8"/>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8"/>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10"/>
              <w:rPr>
                <w:rFonts w:asciiTheme="minorHAnsi" w:eastAsiaTheme="minorEastAsia" w:hAnsiTheme="minorHAnsi" w:cstheme="minorBidi"/>
                <w:noProof/>
                <w:sz w:val="22"/>
                <w:lang w:eastAsia="zh-CN"/>
              </w:rPr>
            </w:pPr>
          </w:p>
          <w:p w14:paraId="273344AC"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587097">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siganling.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5A4C5B">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also the maximum possible supported BW of RedCap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Regarding the suggested text, it is actually not correct as RedCap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r w:rsidRPr="006B1388">
              <w:rPr>
                <w:sz w:val="20"/>
                <w:szCs w:val="20"/>
                <w:lang w:eastAsia="ja-JP"/>
              </w:rPr>
              <w:t>RedCap UEs shall support the maximum channel bandwidth defined for the respective band but no more than 20 MHz.”</w:t>
            </w:r>
          </w:p>
          <w:p w14:paraId="386545E7" w14:textId="77777777" w:rsidR="00E536E2" w:rsidRDefault="00E536E2" w:rsidP="00E536E2">
            <w:pPr>
              <w:spacing w:after="0"/>
              <w:rPr>
                <w:sz w:val="20"/>
                <w:szCs w:val="20"/>
                <w:lang w:eastAsia="ja-JP"/>
              </w:rPr>
            </w:pPr>
          </w:p>
        </w:tc>
      </w:tr>
      <w:tr w:rsidR="001A10DB" w14:paraId="317B1286" w14:textId="77777777" w:rsidTr="005A4C5B">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clearer, and makes the spec more readable. But we can go with majority as long as the spec is clear as to the BW supported by Redcap. </w:t>
            </w:r>
          </w:p>
        </w:tc>
      </w:tr>
      <w:tr w:rsidR="001B3886" w14:paraId="4D4BA371" w14:textId="77777777" w:rsidTr="005A4C5B">
        <w:tc>
          <w:tcPr>
            <w:tcW w:w="1938" w:type="dxa"/>
          </w:tcPr>
          <w:p w14:paraId="2343DBB8" w14:textId="01F76CA9" w:rsidR="001B3886" w:rsidRDefault="001B3886" w:rsidP="00E536E2">
            <w:pPr>
              <w:spacing w:after="0"/>
              <w:rPr>
                <w:sz w:val="20"/>
                <w:szCs w:val="20"/>
                <w:lang w:eastAsia="zh-CN"/>
              </w:rPr>
            </w:pPr>
            <w:r>
              <w:rPr>
                <w:sz w:val="20"/>
                <w:szCs w:val="20"/>
                <w:lang w:eastAsia="zh-CN"/>
              </w:rPr>
              <w:t>Turkcell</w:t>
            </w:r>
          </w:p>
        </w:tc>
        <w:tc>
          <w:tcPr>
            <w:tcW w:w="1288" w:type="dxa"/>
          </w:tcPr>
          <w:p w14:paraId="7D50DA09" w14:textId="7E22C63C" w:rsidR="001B3886" w:rsidRDefault="001B3886" w:rsidP="00E536E2">
            <w:pPr>
              <w:spacing w:after="0"/>
              <w:rPr>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sz w:val="20"/>
                <w:szCs w:val="20"/>
                <w:lang w:eastAsia="zh-CN"/>
              </w:rPr>
            </w:pPr>
          </w:p>
        </w:tc>
      </w:tr>
      <w:tr w:rsidR="00F86805" w14:paraId="0351C3B6" w14:textId="77777777" w:rsidTr="005A4C5B">
        <w:tc>
          <w:tcPr>
            <w:tcW w:w="1938" w:type="dxa"/>
          </w:tcPr>
          <w:p w14:paraId="472F4636" w14:textId="14484459"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7BA56453" w14:textId="3372CC45" w:rsidR="00F86805" w:rsidRDefault="00F86805" w:rsidP="00F8680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2</w:t>
            </w:r>
          </w:p>
        </w:tc>
        <w:tc>
          <w:tcPr>
            <w:tcW w:w="6006" w:type="dxa"/>
          </w:tcPr>
          <w:p w14:paraId="1306B4C6" w14:textId="561346E9" w:rsidR="00F86805" w:rsidRDefault="00F86805" w:rsidP="00F86805">
            <w:pPr>
              <w:spacing w:after="0"/>
              <w:rPr>
                <w:sz w:val="20"/>
                <w:szCs w:val="20"/>
                <w:lang w:eastAsia="zh-CN"/>
              </w:rPr>
            </w:pPr>
            <w:r>
              <w:rPr>
                <w:rFonts w:eastAsiaTheme="minorEastAsia" w:hint="eastAsia"/>
                <w:sz w:val="20"/>
                <w:szCs w:val="20"/>
                <w:lang w:eastAsia="ja-JP"/>
              </w:rPr>
              <w:t>s</w:t>
            </w:r>
            <w:r>
              <w:rPr>
                <w:rFonts w:eastAsiaTheme="minorEastAsia"/>
                <w:sz w:val="20"/>
                <w:szCs w:val="20"/>
                <w:lang w:eastAsia="ja-JP"/>
              </w:rPr>
              <w:t xml:space="preserve">light preference </w:t>
            </w:r>
          </w:p>
        </w:tc>
      </w:tr>
      <w:tr w:rsidR="00C861AA" w14:paraId="61B01906" w14:textId="77777777" w:rsidTr="005A4C5B">
        <w:tc>
          <w:tcPr>
            <w:tcW w:w="1938" w:type="dxa"/>
          </w:tcPr>
          <w:p w14:paraId="75AD3CAE" w14:textId="5049E77D"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11FDCEEF" w14:textId="1980DA71" w:rsidR="00C861AA" w:rsidRDefault="00C861AA" w:rsidP="00F86805">
            <w:pPr>
              <w:spacing w:after="0"/>
              <w:rPr>
                <w:rFonts w:eastAsiaTheme="minorEastAsia"/>
                <w:sz w:val="20"/>
                <w:szCs w:val="20"/>
                <w:lang w:eastAsia="ja-JP"/>
              </w:rPr>
            </w:pPr>
            <w:r>
              <w:rPr>
                <w:rFonts w:eastAsiaTheme="minorEastAsia"/>
                <w:sz w:val="20"/>
                <w:szCs w:val="20"/>
                <w:lang w:eastAsia="ja-JP"/>
              </w:rPr>
              <w:t>Option 3</w:t>
            </w:r>
          </w:p>
        </w:tc>
        <w:tc>
          <w:tcPr>
            <w:tcW w:w="6006" w:type="dxa"/>
          </w:tcPr>
          <w:p w14:paraId="50F853B5" w14:textId="30FAD5E7" w:rsidR="00C861AA" w:rsidRDefault="00C861AA" w:rsidP="00F86805">
            <w:pPr>
              <w:spacing w:after="0"/>
              <w:rPr>
                <w:rFonts w:eastAsiaTheme="minorEastAsia"/>
                <w:sz w:val="20"/>
                <w:szCs w:val="20"/>
                <w:lang w:eastAsia="ja-JP"/>
              </w:rPr>
            </w:pPr>
            <w:r>
              <w:rPr>
                <w:rFonts w:eastAsiaTheme="minorEastAsia"/>
                <w:sz w:val="20"/>
                <w:szCs w:val="20"/>
                <w:lang w:eastAsia="ja-JP"/>
              </w:rPr>
              <w:t>This is a clear option that would make the spec easier to read</w:t>
            </w:r>
          </w:p>
        </w:tc>
      </w:tr>
      <w:tr w:rsidR="00C9042B" w14:paraId="3FC71A86" w14:textId="77777777" w:rsidTr="005A4C5B">
        <w:tc>
          <w:tcPr>
            <w:tcW w:w="1938" w:type="dxa"/>
          </w:tcPr>
          <w:p w14:paraId="3BBCE5F4" w14:textId="67E22707" w:rsidR="00C9042B" w:rsidRDefault="00C9042B" w:rsidP="00C9042B">
            <w:pPr>
              <w:spacing w:after="0"/>
              <w:rPr>
                <w:rFonts w:eastAsiaTheme="minorEastAsia"/>
                <w:sz w:val="20"/>
                <w:szCs w:val="20"/>
                <w:lang w:eastAsia="ja-JP"/>
              </w:rPr>
            </w:pPr>
            <w:r>
              <w:rPr>
                <w:rFonts w:eastAsia="맑은 고딕" w:hint="eastAsia"/>
                <w:sz w:val="20"/>
                <w:szCs w:val="20"/>
                <w:lang w:eastAsia="ko-KR"/>
              </w:rPr>
              <w:lastRenderedPageBreak/>
              <w:t>LGE</w:t>
            </w:r>
          </w:p>
        </w:tc>
        <w:tc>
          <w:tcPr>
            <w:tcW w:w="1288" w:type="dxa"/>
          </w:tcPr>
          <w:p w14:paraId="58CE9542" w14:textId="6A00289C" w:rsidR="00C9042B" w:rsidRDefault="00C9042B" w:rsidP="00C9042B">
            <w:pPr>
              <w:spacing w:after="0"/>
              <w:rPr>
                <w:rFonts w:eastAsiaTheme="minorEastAsia"/>
                <w:sz w:val="20"/>
                <w:szCs w:val="20"/>
                <w:lang w:eastAsia="ja-JP"/>
              </w:rPr>
            </w:pPr>
            <w:r>
              <w:rPr>
                <w:rFonts w:eastAsia="맑은 고딕" w:hint="eastAsia"/>
                <w:sz w:val="20"/>
                <w:szCs w:val="20"/>
                <w:lang w:eastAsia="ko-KR"/>
              </w:rPr>
              <w:t>Option 2</w:t>
            </w:r>
          </w:p>
        </w:tc>
        <w:tc>
          <w:tcPr>
            <w:tcW w:w="6006" w:type="dxa"/>
          </w:tcPr>
          <w:p w14:paraId="0840FA18" w14:textId="2322C62F" w:rsidR="00C9042B" w:rsidRDefault="00C9042B" w:rsidP="00C9042B">
            <w:pPr>
              <w:spacing w:after="0"/>
              <w:rPr>
                <w:rFonts w:eastAsiaTheme="minorEastAsia"/>
                <w:sz w:val="20"/>
                <w:szCs w:val="20"/>
                <w:lang w:eastAsia="ja-JP"/>
              </w:rPr>
            </w:pPr>
            <w:r w:rsidRPr="00516219">
              <w:rPr>
                <w:rFonts w:eastAsia="맑은 고딕"/>
                <w:sz w:val="20"/>
                <w:szCs w:val="20"/>
                <w:lang w:eastAsia="ko-KR"/>
              </w:rPr>
              <w:t>S</w:t>
            </w:r>
            <w:r w:rsidRPr="00516219">
              <w:rPr>
                <w:rFonts w:eastAsia="맑은 고딕" w:hint="eastAsia"/>
                <w:sz w:val="20"/>
                <w:szCs w:val="20"/>
                <w:lang w:eastAsia="ko-KR"/>
              </w:rPr>
              <w:t xml:space="preserve">lightly </w:t>
            </w:r>
            <w:r w:rsidRPr="00516219">
              <w:rPr>
                <w:rFonts w:eastAsia="맑은 고딕"/>
                <w:sz w:val="20"/>
                <w:szCs w:val="20"/>
                <w:lang w:eastAsia="ko-KR"/>
              </w:rPr>
              <w:t>preferred. Option 3 is also fine.</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r>
            <w:r w:rsidR="0071377D">
              <w:rPr>
                <w:b/>
                <w:bCs/>
                <w:sz w:val="20"/>
                <w:szCs w:val="20"/>
              </w:rPr>
              <w:t>ignaling</w:t>
            </w:r>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8"/>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1"/>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 xml:space="preserve">capability </w:t>
            </w:r>
            <w:r w:rsidR="0071377D">
              <w:rPr>
                <w:sz w:val="20"/>
                <w:szCs w:val="20"/>
              </w:rPr>
              <w:pgNum/>
            </w:r>
            <w:r w:rsidR="0071377D">
              <w:rPr>
                <w:sz w:val="20"/>
                <w:szCs w:val="20"/>
              </w:rPr>
              <w:t>ignaling</w:t>
            </w:r>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af8"/>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8"/>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10"/>
              <w:rPr>
                <w:rFonts w:asciiTheme="minorHAnsi" w:eastAsiaTheme="minorEastAsia" w:hAnsiTheme="minorHAnsi" w:cstheme="minorBidi"/>
                <w:noProof/>
                <w:sz w:val="22"/>
                <w:lang w:eastAsia="zh-CN"/>
              </w:rPr>
            </w:pPr>
          </w:p>
          <w:p w14:paraId="545C3C94"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587097">
        <w:tc>
          <w:tcPr>
            <w:tcW w:w="1938" w:type="dxa"/>
          </w:tcPr>
          <w:p w14:paraId="0EF8DBAA" w14:textId="77777777" w:rsidR="00D27C25" w:rsidRDefault="00D27C25" w:rsidP="00587097">
            <w:pPr>
              <w:spacing w:after="0"/>
              <w:rPr>
                <w:sz w:val="20"/>
                <w:szCs w:val="20"/>
                <w:lang w:eastAsia="ja-JP"/>
              </w:rPr>
            </w:pPr>
            <w:r>
              <w:rPr>
                <w:sz w:val="20"/>
                <w:szCs w:val="20"/>
                <w:lang w:eastAsia="ja-JP"/>
              </w:rPr>
              <w:lastRenderedPageBreak/>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r>
              <w:rPr>
                <w:sz w:val="20"/>
                <w:szCs w:val="20"/>
                <w:lang w:eastAsia="zh-CN"/>
              </w:rPr>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r w:rsidRPr="00595290">
              <w:rPr>
                <w:i/>
                <w:sz w:val="20"/>
                <w:szCs w:val="20"/>
                <w:lang w:eastAsia="zh-CN"/>
              </w:rPr>
              <w:t>maxNumberMIMO-LayersPDSCH</w:t>
            </w:r>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5A4C5B">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5A4C5B">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5A4C5B">
        <w:tc>
          <w:tcPr>
            <w:tcW w:w="1938" w:type="dxa"/>
          </w:tcPr>
          <w:p w14:paraId="2D8D8AAD" w14:textId="20531680" w:rsidR="008868CA" w:rsidRDefault="008868CA" w:rsidP="00D76141">
            <w:pPr>
              <w:spacing w:after="0"/>
              <w:rPr>
                <w:sz w:val="20"/>
                <w:szCs w:val="20"/>
                <w:lang w:eastAsia="zh-CN"/>
              </w:rPr>
            </w:pPr>
            <w:r>
              <w:rPr>
                <w:sz w:val="20"/>
                <w:szCs w:val="20"/>
                <w:lang w:eastAsia="zh-CN"/>
              </w:rPr>
              <w:t>Turkcell</w:t>
            </w:r>
          </w:p>
        </w:tc>
        <w:tc>
          <w:tcPr>
            <w:tcW w:w="1288" w:type="dxa"/>
          </w:tcPr>
          <w:p w14:paraId="2A0DD85B" w14:textId="47869BD1" w:rsidR="008868CA" w:rsidRDefault="008868CA" w:rsidP="00D76141">
            <w:pPr>
              <w:spacing w:after="0"/>
              <w:rPr>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sz w:val="20"/>
                <w:szCs w:val="20"/>
                <w:lang w:eastAsia="zh-CN"/>
              </w:rPr>
            </w:pPr>
          </w:p>
        </w:tc>
      </w:tr>
      <w:tr w:rsidR="00691799" w14:paraId="4778D823" w14:textId="77777777" w:rsidTr="005A4C5B">
        <w:tc>
          <w:tcPr>
            <w:tcW w:w="1938" w:type="dxa"/>
          </w:tcPr>
          <w:p w14:paraId="2612B48F" w14:textId="36C739F4"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36A5998B" w14:textId="14070735" w:rsidR="00691799" w:rsidRDefault="00691799" w:rsidP="00691799">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0A00458D" w14:textId="77777777" w:rsidR="00691799" w:rsidRDefault="00691799" w:rsidP="00691799">
            <w:pPr>
              <w:spacing w:after="0"/>
              <w:rPr>
                <w:sz w:val="20"/>
                <w:szCs w:val="20"/>
                <w:lang w:eastAsia="zh-CN"/>
              </w:rPr>
            </w:pPr>
          </w:p>
        </w:tc>
      </w:tr>
      <w:tr w:rsidR="00C861AA" w14:paraId="16B2C774" w14:textId="77777777" w:rsidTr="005A4C5B">
        <w:tc>
          <w:tcPr>
            <w:tcW w:w="1938" w:type="dxa"/>
          </w:tcPr>
          <w:p w14:paraId="4E6337FA" w14:textId="7BD102A1" w:rsidR="00C861AA" w:rsidRDefault="00C861AA" w:rsidP="00691799">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F676309" w14:textId="1C5ED287" w:rsidR="00C861AA" w:rsidRDefault="00C861AA" w:rsidP="00691799">
            <w:pPr>
              <w:spacing w:after="0"/>
              <w:rPr>
                <w:rFonts w:eastAsiaTheme="minorEastAsia"/>
                <w:sz w:val="20"/>
                <w:szCs w:val="20"/>
                <w:lang w:eastAsia="ja-JP"/>
              </w:rPr>
            </w:pPr>
            <w:r>
              <w:rPr>
                <w:rFonts w:eastAsiaTheme="minorEastAsia"/>
                <w:sz w:val="20"/>
                <w:szCs w:val="20"/>
                <w:lang w:eastAsia="ja-JP"/>
              </w:rPr>
              <w:t>Yes</w:t>
            </w:r>
          </w:p>
        </w:tc>
        <w:tc>
          <w:tcPr>
            <w:tcW w:w="6006" w:type="dxa"/>
          </w:tcPr>
          <w:p w14:paraId="4C4F3BB7" w14:textId="77777777" w:rsidR="00C861AA" w:rsidRDefault="00C861AA" w:rsidP="00691799">
            <w:pPr>
              <w:spacing w:after="0"/>
              <w:rPr>
                <w:sz w:val="20"/>
                <w:szCs w:val="20"/>
                <w:lang w:eastAsia="zh-CN"/>
              </w:rPr>
            </w:pPr>
          </w:p>
        </w:tc>
      </w:tr>
      <w:tr w:rsidR="00C861AA" w14:paraId="5679EBF0" w14:textId="77777777" w:rsidTr="005A4C5B">
        <w:tc>
          <w:tcPr>
            <w:tcW w:w="1938" w:type="dxa"/>
          </w:tcPr>
          <w:p w14:paraId="639A7D2A" w14:textId="0819C6EE" w:rsidR="00C861AA" w:rsidRPr="00C9042B" w:rsidRDefault="00C9042B" w:rsidP="00691799">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38C08DCC" w14:textId="5FF1415F" w:rsidR="00C861AA" w:rsidRPr="00C9042B" w:rsidRDefault="00C9042B" w:rsidP="00691799">
            <w:pPr>
              <w:spacing w:after="0"/>
              <w:rPr>
                <w:rFonts w:eastAsia="맑은 고딕"/>
                <w:sz w:val="20"/>
                <w:szCs w:val="20"/>
                <w:lang w:eastAsia="ko-KR"/>
              </w:rPr>
            </w:pPr>
            <w:r>
              <w:rPr>
                <w:rFonts w:eastAsia="맑은 고딕" w:hint="eastAsia"/>
                <w:sz w:val="20"/>
                <w:szCs w:val="20"/>
                <w:lang w:eastAsia="ko-KR"/>
              </w:rPr>
              <w:t>Yes</w:t>
            </w:r>
          </w:p>
        </w:tc>
        <w:tc>
          <w:tcPr>
            <w:tcW w:w="6006" w:type="dxa"/>
          </w:tcPr>
          <w:p w14:paraId="4E0CA745" w14:textId="77777777" w:rsidR="00C861AA" w:rsidRDefault="00C861AA" w:rsidP="00691799">
            <w:pPr>
              <w:spacing w:after="0"/>
              <w:rPr>
                <w:sz w:val="20"/>
                <w:szCs w:val="20"/>
                <w:lang w:eastAsia="zh-CN"/>
              </w:rPr>
            </w:pPr>
          </w:p>
        </w:tc>
      </w:tr>
    </w:tbl>
    <w:p w14:paraId="3A4489DF" w14:textId="77777777" w:rsidR="005A4C5B" w:rsidRDefault="005A4C5B" w:rsidP="005A4C5B">
      <w:pPr>
        <w:pStyle w:val="10"/>
        <w:rPr>
          <w:szCs w:val="20"/>
          <w:lang w:eastAsia="zh-CN"/>
        </w:rPr>
      </w:pPr>
    </w:p>
    <w:p w14:paraId="7269F41E" w14:textId="49EDD66A" w:rsidR="005A4C5B" w:rsidRDefault="005A4C5B" w:rsidP="005A4C5B">
      <w:pPr>
        <w:pStyle w:val="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8"/>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8"/>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8"/>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lastRenderedPageBreak/>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a"/>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8"/>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8"/>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ko-KR"/>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MIMO-LayersUL is optional capability signaling with “oneLayer”</w:t>
            </w:r>
            <w:r>
              <w:rPr>
                <w:sz w:val="20"/>
                <w:szCs w:val="20"/>
                <w:lang w:eastAsia="ja-JP"/>
              </w:rPr>
              <w:t xml:space="preserve"> value</w:t>
            </w:r>
            <w:r w:rsidRPr="00C304D8">
              <w:rPr>
                <w:sz w:val="20"/>
                <w:szCs w:val="20"/>
                <w:lang w:eastAsia="ja-JP"/>
              </w:rPr>
              <w:t xml:space="preserve"> (e.g. see maxNumberMIMO-LayersCB-PUSCH in 38.306). Isn’t strange if absence is </w:t>
            </w:r>
            <w:r>
              <w:rPr>
                <w:sz w:val="20"/>
                <w:szCs w:val="20"/>
                <w:lang w:eastAsia="ja-JP"/>
              </w:rPr>
              <w:t>same as onelayer?</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r>
              <w:rPr>
                <w:sz w:val="20"/>
                <w:szCs w:val="20"/>
                <w:lang w:eastAsia="zh-CN"/>
              </w:rPr>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D27C2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D27C2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D27C2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D27C25">
        <w:tc>
          <w:tcPr>
            <w:tcW w:w="1515" w:type="dxa"/>
          </w:tcPr>
          <w:p w14:paraId="0BF100A8" w14:textId="203F15B8" w:rsidR="008868CA" w:rsidRDefault="008868CA" w:rsidP="00CE5824">
            <w:pPr>
              <w:spacing w:after="0"/>
              <w:rPr>
                <w:sz w:val="20"/>
                <w:szCs w:val="20"/>
                <w:lang w:eastAsia="zh-CN"/>
              </w:rPr>
            </w:pPr>
            <w:r>
              <w:rPr>
                <w:sz w:val="20"/>
                <w:szCs w:val="20"/>
                <w:lang w:eastAsia="zh-CN"/>
              </w:rPr>
              <w:t>Turkcell</w:t>
            </w:r>
          </w:p>
        </w:tc>
        <w:tc>
          <w:tcPr>
            <w:tcW w:w="1021" w:type="dxa"/>
          </w:tcPr>
          <w:p w14:paraId="37B2F38A" w14:textId="0C316838" w:rsidR="008868CA" w:rsidRDefault="008868CA" w:rsidP="00CE5824">
            <w:pPr>
              <w:spacing w:after="0"/>
              <w:rPr>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r w:rsidR="00691799" w14:paraId="163EFB63" w14:textId="77777777" w:rsidTr="00D27C25">
        <w:tc>
          <w:tcPr>
            <w:tcW w:w="1515" w:type="dxa"/>
          </w:tcPr>
          <w:p w14:paraId="22B8B1DC" w14:textId="5E327ADA"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021" w:type="dxa"/>
          </w:tcPr>
          <w:p w14:paraId="228BFC39" w14:textId="519FD443" w:rsidR="00691799" w:rsidRDefault="00691799" w:rsidP="00691799">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3</w:t>
            </w:r>
          </w:p>
        </w:tc>
        <w:tc>
          <w:tcPr>
            <w:tcW w:w="6696" w:type="dxa"/>
          </w:tcPr>
          <w:p w14:paraId="6F57CC21" w14:textId="7B9EEAB9" w:rsidR="00691799" w:rsidRDefault="00691799" w:rsidP="00691799">
            <w:pPr>
              <w:spacing w:after="0"/>
              <w:rPr>
                <w:sz w:val="20"/>
                <w:szCs w:val="20"/>
                <w:lang w:eastAsia="ja-JP"/>
              </w:rPr>
            </w:pPr>
            <w:r>
              <w:rPr>
                <w:rFonts w:eastAsiaTheme="minorEastAsia" w:hint="eastAsia"/>
                <w:sz w:val="20"/>
                <w:szCs w:val="20"/>
                <w:lang w:eastAsia="ja-JP"/>
              </w:rPr>
              <w:t>s</w:t>
            </w:r>
            <w:r>
              <w:rPr>
                <w:rFonts w:eastAsiaTheme="minorEastAsia"/>
                <w:sz w:val="20"/>
                <w:szCs w:val="20"/>
                <w:lang w:eastAsia="ja-JP"/>
              </w:rPr>
              <w:t xml:space="preserve">light preference, option 1 is acceptable </w:t>
            </w:r>
          </w:p>
        </w:tc>
      </w:tr>
      <w:tr w:rsidR="00BE4EDB" w14:paraId="0EC4DA05" w14:textId="77777777" w:rsidTr="00D27C25">
        <w:tc>
          <w:tcPr>
            <w:tcW w:w="1515" w:type="dxa"/>
          </w:tcPr>
          <w:p w14:paraId="5C5048BA" w14:textId="58257825" w:rsidR="00BE4EDB" w:rsidRDefault="00BE4EDB" w:rsidP="00691799">
            <w:pPr>
              <w:spacing w:after="0"/>
              <w:rPr>
                <w:rFonts w:eastAsiaTheme="minorEastAsia"/>
                <w:sz w:val="20"/>
                <w:szCs w:val="20"/>
                <w:lang w:eastAsia="ja-JP"/>
              </w:rPr>
            </w:pPr>
            <w:r>
              <w:rPr>
                <w:rFonts w:eastAsiaTheme="minorEastAsia"/>
                <w:sz w:val="20"/>
                <w:szCs w:val="20"/>
                <w:lang w:eastAsia="ja-JP"/>
              </w:rPr>
              <w:t>MediaTek</w:t>
            </w:r>
          </w:p>
        </w:tc>
        <w:tc>
          <w:tcPr>
            <w:tcW w:w="1021" w:type="dxa"/>
          </w:tcPr>
          <w:p w14:paraId="0F02FF16" w14:textId="145432FC" w:rsidR="00BE4EDB" w:rsidRDefault="00BE4EDB" w:rsidP="00691799">
            <w:pPr>
              <w:spacing w:after="0"/>
              <w:rPr>
                <w:rFonts w:eastAsiaTheme="minorEastAsia"/>
                <w:sz w:val="20"/>
                <w:szCs w:val="20"/>
                <w:lang w:eastAsia="ja-JP"/>
              </w:rPr>
            </w:pPr>
            <w:r>
              <w:rPr>
                <w:rFonts w:eastAsiaTheme="minorEastAsia"/>
                <w:sz w:val="20"/>
                <w:szCs w:val="20"/>
                <w:lang w:eastAsia="ja-JP"/>
              </w:rPr>
              <w:t>Option 3</w:t>
            </w:r>
          </w:p>
        </w:tc>
        <w:tc>
          <w:tcPr>
            <w:tcW w:w="6696" w:type="dxa"/>
          </w:tcPr>
          <w:p w14:paraId="0100979C" w14:textId="77777777" w:rsidR="00BE4EDB" w:rsidRDefault="00BE4EDB" w:rsidP="00691799">
            <w:pPr>
              <w:spacing w:after="0"/>
              <w:rPr>
                <w:rFonts w:eastAsiaTheme="minorEastAsia"/>
                <w:sz w:val="20"/>
                <w:szCs w:val="20"/>
                <w:lang w:eastAsia="ja-JP"/>
              </w:rPr>
            </w:pPr>
          </w:p>
        </w:tc>
      </w:tr>
      <w:tr w:rsidR="00BE4EDB" w14:paraId="451F16E2" w14:textId="77777777" w:rsidTr="00D27C25">
        <w:tc>
          <w:tcPr>
            <w:tcW w:w="1515" w:type="dxa"/>
          </w:tcPr>
          <w:p w14:paraId="30ECBAF3" w14:textId="1D1CA3F6" w:rsidR="00BE4EDB" w:rsidRPr="0050542A" w:rsidRDefault="0050542A" w:rsidP="00691799">
            <w:pPr>
              <w:spacing w:after="0"/>
              <w:rPr>
                <w:rFonts w:eastAsia="맑은 고딕"/>
                <w:sz w:val="20"/>
                <w:szCs w:val="20"/>
                <w:lang w:eastAsia="ko-KR"/>
              </w:rPr>
            </w:pPr>
            <w:r>
              <w:rPr>
                <w:rFonts w:eastAsia="맑은 고딕" w:hint="eastAsia"/>
                <w:sz w:val="20"/>
                <w:szCs w:val="20"/>
                <w:lang w:eastAsia="ko-KR"/>
              </w:rPr>
              <w:t>LGE</w:t>
            </w:r>
          </w:p>
        </w:tc>
        <w:tc>
          <w:tcPr>
            <w:tcW w:w="1021" w:type="dxa"/>
          </w:tcPr>
          <w:p w14:paraId="04CCC60C" w14:textId="75A36CA7" w:rsidR="00BE4EDB" w:rsidRPr="0050542A" w:rsidRDefault="0050542A" w:rsidP="00691799">
            <w:pPr>
              <w:spacing w:after="0"/>
              <w:rPr>
                <w:rFonts w:eastAsia="맑은 고딕"/>
                <w:sz w:val="20"/>
                <w:szCs w:val="20"/>
                <w:lang w:eastAsia="ko-KR"/>
              </w:rPr>
            </w:pPr>
            <w:r>
              <w:rPr>
                <w:rFonts w:eastAsia="맑은 고딕" w:hint="eastAsia"/>
                <w:sz w:val="20"/>
                <w:szCs w:val="20"/>
                <w:lang w:eastAsia="ko-KR"/>
              </w:rPr>
              <w:t>Optio</w:t>
            </w:r>
            <w:r>
              <w:rPr>
                <w:rFonts w:eastAsia="맑은 고딕"/>
                <w:sz w:val="20"/>
                <w:szCs w:val="20"/>
                <w:lang w:eastAsia="ko-KR"/>
              </w:rPr>
              <w:t>n 3</w:t>
            </w:r>
          </w:p>
        </w:tc>
        <w:tc>
          <w:tcPr>
            <w:tcW w:w="6696" w:type="dxa"/>
          </w:tcPr>
          <w:p w14:paraId="3ED67A50" w14:textId="76873EB1" w:rsidR="00BE4EDB" w:rsidRPr="0050542A" w:rsidRDefault="0050542A" w:rsidP="0050542A">
            <w:pPr>
              <w:spacing w:after="0"/>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 strong view</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lastRenderedPageBreak/>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af1"/>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6822F09B" w:rsidR="0080461F" w:rsidRDefault="0080461F" w:rsidP="00FB07E5">
            <w:pPr>
              <w:spacing w:after="0"/>
              <w:rPr>
                <w:sz w:val="20"/>
                <w:szCs w:val="20"/>
                <w:lang w:eastAsia="ja-JP"/>
              </w:rPr>
            </w:pPr>
            <w:r>
              <w:rPr>
                <w:sz w:val="20"/>
                <w:szCs w:val="20"/>
                <w:lang w:eastAsia="ja-JP"/>
              </w:rPr>
              <w:t>Although the features are defined optional, we need to make sure the specs are complete to support those features for RedCap. Otherwise, it is unclear how network should handle them when RedCap U</w:t>
            </w:r>
            <w:r w:rsidR="004755D7">
              <w:rPr>
                <w:sz w:val="20"/>
                <w:szCs w:val="20"/>
                <w:lang w:eastAsia="ja-JP"/>
              </w:rPr>
              <w:t>e</w:t>
            </w:r>
            <w:r>
              <w:rPr>
                <w:sz w:val="20"/>
                <w:szCs w:val="20"/>
                <w:lang w:eastAsia="ja-JP"/>
              </w:rPr>
              <w:t xml:space="preserve">s indicate the support of e.g.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these features can be applicable to RedCap U</w:t>
            </w:r>
            <w:r w:rsidR="004755D7">
              <w:rPr>
                <w:sz w:val="20"/>
                <w:szCs w:val="20"/>
                <w:lang w:eastAsia="ja-JP"/>
              </w:rPr>
              <w:t>e</w:t>
            </w:r>
            <w:r>
              <w:rPr>
                <w:sz w:val="20"/>
                <w:szCs w:val="20"/>
                <w:lang w:eastAsia="ja-JP"/>
              </w:rPr>
              <w:t xml:space="preserv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587097">
        <w:tc>
          <w:tcPr>
            <w:tcW w:w="1938" w:type="dxa"/>
          </w:tcPr>
          <w:p w14:paraId="338D55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donot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3008CC">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3008CC">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3008CC">
        <w:tc>
          <w:tcPr>
            <w:tcW w:w="1938" w:type="dxa"/>
          </w:tcPr>
          <w:p w14:paraId="5B5E7B5E" w14:textId="39C0069E" w:rsidR="00C44008" w:rsidRDefault="00C44008" w:rsidP="00DD001B">
            <w:pPr>
              <w:spacing w:after="0"/>
              <w:rPr>
                <w:sz w:val="20"/>
                <w:szCs w:val="20"/>
                <w:lang w:eastAsia="zh-CN"/>
              </w:rPr>
            </w:pPr>
            <w:r>
              <w:rPr>
                <w:sz w:val="20"/>
                <w:szCs w:val="20"/>
                <w:lang w:eastAsia="zh-CN"/>
              </w:rPr>
              <w:t>Turkcell</w:t>
            </w:r>
          </w:p>
        </w:tc>
        <w:tc>
          <w:tcPr>
            <w:tcW w:w="1288" w:type="dxa"/>
          </w:tcPr>
          <w:p w14:paraId="52AFB28B" w14:textId="538F583B" w:rsidR="00C44008" w:rsidRDefault="00C44008" w:rsidP="00DD001B">
            <w:pPr>
              <w:spacing w:after="0"/>
              <w:rPr>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sz w:val="20"/>
                <w:szCs w:val="20"/>
                <w:lang w:eastAsia="zh-CN"/>
              </w:rPr>
            </w:pPr>
            <w:r>
              <w:rPr>
                <w:sz w:val="20"/>
                <w:szCs w:val="20"/>
                <w:lang w:eastAsia="zh-CN"/>
              </w:rPr>
              <w:t>Agree with Qualcomm</w:t>
            </w:r>
          </w:p>
        </w:tc>
      </w:tr>
      <w:tr w:rsidR="00511B35" w14:paraId="39456A2E" w14:textId="77777777" w:rsidTr="003008CC">
        <w:tc>
          <w:tcPr>
            <w:tcW w:w="1938" w:type="dxa"/>
          </w:tcPr>
          <w:p w14:paraId="6FC98D2F" w14:textId="261A8B77" w:rsidR="00511B35" w:rsidRDefault="00511B35" w:rsidP="00511B35">
            <w:pPr>
              <w:spacing w:after="0"/>
              <w:rPr>
                <w:sz w:val="20"/>
                <w:szCs w:val="20"/>
                <w:lang w:eastAsia="zh-CN"/>
              </w:rPr>
            </w:pPr>
            <w:r>
              <w:rPr>
                <w:rFonts w:eastAsiaTheme="minorEastAsia" w:hint="eastAsia"/>
                <w:sz w:val="20"/>
                <w:szCs w:val="20"/>
                <w:lang w:eastAsia="ja-JP"/>
              </w:rPr>
              <w:lastRenderedPageBreak/>
              <w:t>N</w:t>
            </w:r>
            <w:r>
              <w:rPr>
                <w:rFonts w:eastAsiaTheme="minorEastAsia"/>
                <w:sz w:val="20"/>
                <w:szCs w:val="20"/>
                <w:lang w:eastAsia="ja-JP"/>
              </w:rPr>
              <w:t>EC</w:t>
            </w:r>
          </w:p>
        </w:tc>
        <w:tc>
          <w:tcPr>
            <w:tcW w:w="1288" w:type="dxa"/>
          </w:tcPr>
          <w:p w14:paraId="223A452E" w14:textId="63650FA6" w:rsidR="00511B35" w:rsidRDefault="00511B35" w:rsidP="00511B3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307CA7FD" w14:textId="37162EB8" w:rsidR="00511B35" w:rsidRDefault="00511B35" w:rsidP="00511B3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K to send an LS</w:t>
            </w:r>
          </w:p>
        </w:tc>
      </w:tr>
      <w:tr w:rsidR="00BE4EDB" w14:paraId="658A1132" w14:textId="77777777" w:rsidTr="003008CC">
        <w:tc>
          <w:tcPr>
            <w:tcW w:w="1938" w:type="dxa"/>
          </w:tcPr>
          <w:p w14:paraId="7B03217D" w14:textId="61C48CD1" w:rsidR="00BE4EDB" w:rsidRDefault="00BE4EDB" w:rsidP="00511B3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8AD86" w14:textId="4C5B2A02" w:rsidR="00BE4EDB" w:rsidRDefault="00BE4EDB" w:rsidP="00511B35">
            <w:pPr>
              <w:spacing w:after="0"/>
              <w:rPr>
                <w:rFonts w:eastAsiaTheme="minorEastAsia"/>
                <w:sz w:val="20"/>
                <w:szCs w:val="20"/>
                <w:lang w:eastAsia="ja-JP"/>
              </w:rPr>
            </w:pPr>
            <w:r>
              <w:rPr>
                <w:rFonts w:eastAsiaTheme="minorEastAsia"/>
                <w:sz w:val="20"/>
                <w:szCs w:val="20"/>
                <w:lang w:eastAsia="ja-JP"/>
              </w:rPr>
              <w:t>Postpone</w:t>
            </w:r>
          </w:p>
        </w:tc>
        <w:tc>
          <w:tcPr>
            <w:tcW w:w="6006" w:type="dxa"/>
          </w:tcPr>
          <w:p w14:paraId="2D95C3EC" w14:textId="78F861CB" w:rsidR="00BE4EDB" w:rsidRDefault="00BE4EDB" w:rsidP="00511B35">
            <w:pPr>
              <w:spacing w:after="0"/>
              <w:rPr>
                <w:rFonts w:eastAsiaTheme="minorEastAsia"/>
                <w:sz w:val="20"/>
                <w:szCs w:val="20"/>
                <w:lang w:eastAsia="ja-JP"/>
              </w:rPr>
            </w:pPr>
            <w:r>
              <w:rPr>
                <w:rFonts w:eastAsiaTheme="minorEastAsia"/>
                <w:sz w:val="20"/>
                <w:szCs w:val="20"/>
                <w:lang w:eastAsia="ja-JP"/>
              </w:rPr>
              <w:t>Agree with QC</w:t>
            </w:r>
          </w:p>
        </w:tc>
      </w:tr>
      <w:tr w:rsidR="00BE4EDB" w14:paraId="5DC4CB9F" w14:textId="77777777" w:rsidTr="003008CC">
        <w:tc>
          <w:tcPr>
            <w:tcW w:w="1938" w:type="dxa"/>
          </w:tcPr>
          <w:p w14:paraId="7CC28A8B" w14:textId="3D7CFFD7" w:rsidR="00BE4EDB" w:rsidRPr="0050542A" w:rsidRDefault="0050542A" w:rsidP="00511B35">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4E49FF77" w14:textId="7F6FB88A" w:rsidR="00BE4EDB" w:rsidRPr="0050542A" w:rsidRDefault="0050542A" w:rsidP="00511B35">
            <w:pPr>
              <w:spacing w:after="0"/>
              <w:rPr>
                <w:rFonts w:eastAsia="맑은 고딕"/>
                <w:sz w:val="20"/>
                <w:szCs w:val="20"/>
                <w:lang w:eastAsia="ko-KR"/>
              </w:rPr>
            </w:pPr>
            <w:r>
              <w:rPr>
                <w:rFonts w:eastAsia="맑은 고딕" w:hint="eastAsia"/>
                <w:sz w:val="20"/>
                <w:szCs w:val="20"/>
                <w:lang w:eastAsia="ko-KR"/>
              </w:rPr>
              <w:t>Postpone</w:t>
            </w:r>
          </w:p>
        </w:tc>
        <w:tc>
          <w:tcPr>
            <w:tcW w:w="6006" w:type="dxa"/>
          </w:tcPr>
          <w:p w14:paraId="07DA5392" w14:textId="44E223C9" w:rsidR="00BE4EDB" w:rsidRDefault="0050542A" w:rsidP="00511B35">
            <w:pPr>
              <w:spacing w:after="0"/>
              <w:rPr>
                <w:rFonts w:eastAsiaTheme="minorEastAsia"/>
                <w:sz w:val="20"/>
                <w:szCs w:val="20"/>
                <w:lang w:eastAsia="ja-JP"/>
              </w:rPr>
            </w:pPr>
            <w:r>
              <w:rPr>
                <w:rFonts w:eastAsiaTheme="minorEastAsia"/>
                <w:sz w:val="20"/>
                <w:szCs w:val="20"/>
                <w:lang w:eastAsia="ja-JP"/>
              </w:rPr>
              <w:t>Agree with QC</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1"/>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1"/>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8"/>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8"/>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8"/>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lastRenderedPageBreak/>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1"/>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1"/>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lastRenderedPageBreak/>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587097">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RedCap topics ( eDRX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3008CC">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3008CC">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3008CC">
        <w:tc>
          <w:tcPr>
            <w:tcW w:w="1938" w:type="dxa"/>
          </w:tcPr>
          <w:p w14:paraId="6B0EB078" w14:textId="343FF444" w:rsidR="005A1E6E" w:rsidRDefault="005A1E6E" w:rsidP="00DD001B">
            <w:pPr>
              <w:spacing w:after="0"/>
              <w:rPr>
                <w:sz w:val="20"/>
                <w:szCs w:val="20"/>
                <w:lang w:eastAsia="zh-CN"/>
              </w:rPr>
            </w:pPr>
            <w:r>
              <w:rPr>
                <w:sz w:val="20"/>
                <w:szCs w:val="20"/>
                <w:lang w:eastAsia="zh-CN"/>
              </w:rPr>
              <w:t>Turckell</w:t>
            </w:r>
          </w:p>
        </w:tc>
        <w:tc>
          <w:tcPr>
            <w:tcW w:w="1288" w:type="dxa"/>
          </w:tcPr>
          <w:p w14:paraId="2D94DE03" w14:textId="27795A9E" w:rsidR="005A1E6E" w:rsidRDefault="005A1E6E" w:rsidP="00DD001B">
            <w:pPr>
              <w:spacing w:after="0"/>
              <w:rPr>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r w:rsidR="005460AC" w14:paraId="276473B4" w14:textId="77777777" w:rsidTr="003008CC">
        <w:tc>
          <w:tcPr>
            <w:tcW w:w="1938" w:type="dxa"/>
          </w:tcPr>
          <w:p w14:paraId="482CAA03" w14:textId="7AEB5299" w:rsidR="005460AC" w:rsidRDefault="005460AC" w:rsidP="005460AC">
            <w:pPr>
              <w:spacing w:after="0"/>
              <w:rPr>
                <w:sz w:val="20"/>
                <w:szCs w:val="20"/>
                <w:lang w:eastAsia="zh-CN"/>
              </w:rPr>
            </w:pPr>
            <w:r>
              <w:rPr>
                <w:rFonts w:eastAsiaTheme="minorEastAsia"/>
                <w:sz w:val="20"/>
                <w:szCs w:val="20"/>
                <w:lang w:eastAsia="ja-JP"/>
              </w:rPr>
              <w:t>NEC</w:t>
            </w:r>
          </w:p>
        </w:tc>
        <w:tc>
          <w:tcPr>
            <w:tcW w:w="1288" w:type="dxa"/>
          </w:tcPr>
          <w:p w14:paraId="74830569" w14:textId="06399B46" w:rsidR="005460AC" w:rsidRDefault="005460AC" w:rsidP="005460AC">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173828E" w14:textId="77777777" w:rsidR="005460AC" w:rsidRDefault="005460AC" w:rsidP="005460AC">
            <w:pPr>
              <w:spacing w:after="0"/>
              <w:rPr>
                <w:sz w:val="20"/>
                <w:szCs w:val="20"/>
                <w:lang w:eastAsia="ja-JP"/>
              </w:rPr>
            </w:pPr>
          </w:p>
        </w:tc>
      </w:tr>
      <w:tr w:rsidR="00BE4EDB" w14:paraId="22037EDD" w14:textId="77777777" w:rsidTr="003008CC">
        <w:tc>
          <w:tcPr>
            <w:tcW w:w="1938" w:type="dxa"/>
          </w:tcPr>
          <w:p w14:paraId="762E5ABB" w14:textId="42266EFC" w:rsidR="00BE4EDB" w:rsidRDefault="00BE4EDB" w:rsidP="005460AC">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B5BB86F" w14:textId="577C81A1" w:rsidR="00BE4EDB" w:rsidRDefault="00BE4EDB" w:rsidP="005460AC">
            <w:pPr>
              <w:spacing w:after="0"/>
              <w:rPr>
                <w:rFonts w:eastAsiaTheme="minorEastAsia"/>
                <w:sz w:val="20"/>
                <w:szCs w:val="20"/>
                <w:lang w:eastAsia="ja-JP"/>
              </w:rPr>
            </w:pPr>
            <w:r>
              <w:rPr>
                <w:rFonts w:eastAsiaTheme="minorEastAsia"/>
                <w:sz w:val="20"/>
                <w:szCs w:val="20"/>
                <w:lang w:eastAsia="ja-JP"/>
              </w:rPr>
              <w:t>No</w:t>
            </w:r>
          </w:p>
        </w:tc>
        <w:tc>
          <w:tcPr>
            <w:tcW w:w="6006" w:type="dxa"/>
          </w:tcPr>
          <w:p w14:paraId="38BF67F2" w14:textId="67EA0417" w:rsidR="00BE4EDB" w:rsidRDefault="00BE4EDB" w:rsidP="005460AC">
            <w:pPr>
              <w:spacing w:after="0"/>
              <w:rPr>
                <w:sz w:val="20"/>
                <w:szCs w:val="20"/>
                <w:lang w:eastAsia="ja-JP"/>
              </w:rPr>
            </w:pPr>
            <w:r>
              <w:rPr>
                <w:sz w:val="20"/>
                <w:szCs w:val="20"/>
                <w:lang w:eastAsia="ja-JP"/>
              </w:rPr>
              <w:t>Agree with Huawei</w:t>
            </w:r>
          </w:p>
        </w:tc>
      </w:tr>
      <w:tr w:rsidR="00A73252" w14:paraId="76F06E6D" w14:textId="77777777" w:rsidTr="003008CC">
        <w:tc>
          <w:tcPr>
            <w:tcW w:w="1938" w:type="dxa"/>
          </w:tcPr>
          <w:p w14:paraId="7B26B6DA" w14:textId="6DDC30D2" w:rsidR="00A73252" w:rsidRDefault="00A73252" w:rsidP="00A73252">
            <w:pPr>
              <w:spacing w:after="0"/>
              <w:rPr>
                <w:rFonts w:eastAsiaTheme="minorEastAsia"/>
                <w:sz w:val="20"/>
                <w:szCs w:val="20"/>
                <w:lang w:eastAsia="ja-JP"/>
              </w:rPr>
            </w:pPr>
            <w:r>
              <w:rPr>
                <w:rFonts w:eastAsia="맑은 고딕" w:hint="eastAsia"/>
                <w:sz w:val="20"/>
                <w:szCs w:val="20"/>
                <w:lang w:eastAsia="ko-KR"/>
              </w:rPr>
              <w:t>LGE</w:t>
            </w:r>
          </w:p>
        </w:tc>
        <w:tc>
          <w:tcPr>
            <w:tcW w:w="1288" w:type="dxa"/>
          </w:tcPr>
          <w:p w14:paraId="1741CFD8" w14:textId="3349E053" w:rsidR="00A73252" w:rsidRDefault="00A73252" w:rsidP="00A73252">
            <w:pPr>
              <w:spacing w:after="0"/>
              <w:rPr>
                <w:rFonts w:eastAsiaTheme="minorEastAsia"/>
                <w:sz w:val="20"/>
                <w:szCs w:val="20"/>
                <w:lang w:eastAsia="ja-JP"/>
              </w:rPr>
            </w:pPr>
            <w:r>
              <w:rPr>
                <w:rFonts w:eastAsia="맑은 고딕" w:hint="eastAsia"/>
                <w:sz w:val="20"/>
                <w:szCs w:val="20"/>
                <w:lang w:eastAsia="ko-KR"/>
              </w:rPr>
              <w:t>No</w:t>
            </w:r>
          </w:p>
        </w:tc>
        <w:tc>
          <w:tcPr>
            <w:tcW w:w="6006" w:type="dxa"/>
          </w:tcPr>
          <w:p w14:paraId="52CF54AE" w14:textId="51F6FD00" w:rsidR="00A73252" w:rsidRDefault="00A73252" w:rsidP="00A73252">
            <w:pPr>
              <w:spacing w:after="0"/>
              <w:rPr>
                <w:sz w:val="20"/>
                <w:szCs w:val="20"/>
                <w:lang w:eastAsia="ja-JP"/>
              </w:rPr>
            </w:pPr>
            <w:r>
              <w:rPr>
                <w:rFonts w:eastAsia="맑은 고딕" w:hint="eastAsia"/>
                <w:sz w:val="20"/>
                <w:szCs w:val="20"/>
                <w:lang w:eastAsia="ko-KR"/>
              </w:rPr>
              <w:t xml:space="preserve">Same view with </w:t>
            </w:r>
            <w:r w:rsidR="006376C9">
              <w:rPr>
                <w:rFonts w:eastAsia="맑은 고딕"/>
                <w:sz w:val="20"/>
                <w:szCs w:val="20"/>
                <w:lang w:eastAsia="ko-KR"/>
              </w:rPr>
              <w:t xml:space="preserve">Huawei, </w:t>
            </w:r>
            <w:r>
              <w:rPr>
                <w:rFonts w:eastAsia="맑은 고딕" w:hint="eastAsia"/>
                <w:sz w:val="20"/>
                <w:szCs w:val="20"/>
                <w:lang w:eastAsia="ko-KR"/>
              </w:rPr>
              <w:t>Apple and Sequans</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1"/>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r>
              <w:rPr>
                <w:rFonts w:hint="eastAsia"/>
                <w:sz w:val="20"/>
                <w:szCs w:val="20"/>
                <w:lang w:eastAsia="zh-CN"/>
              </w:rPr>
              <w:t>Erlin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r>
              <w:rPr>
                <w:sz w:val="20"/>
                <w:szCs w:val="20"/>
                <w:lang w:eastAsia="ja-JP"/>
              </w:rPr>
              <w:t>Turkecll</w:t>
            </w:r>
          </w:p>
        </w:tc>
        <w:tc>
          <w:tcPr>
            <w:tcW w:w="2687" w:type="dxa"/>
          </w:tcPr>
          <w:p w14:paraId="2409F8F5" w14:textId="1ECFED96" w:rsidR="00DD001B" w:rsidRDefault="005A1E6E" w:rsidP="00DD001B">
            <w:pPr>
              <w:spacing w:after="0"/>
              <w:rPr>
                <w:sz w:val="20"/>
                <w:szCs w:val="20"/>
                <w:lang w:eastAsia="zh-CN"/>
              </w:rPr>
            </w:pPr>
            <w:r>
              <w:rPr>
                <w:sz w:val="20"/>
                <w:szCs w:val="20"/>
                <w:lang w:eastAsia="zh-CN"/>
              </w:rPr>
              <w:t>İzzet Sağlam</w:t>
            </w:r>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3145AFF7"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N</w:t>
            </w:r>
            <w:r>
              <w:rPr>
                <w:rFonts w:eastAsiaTheme="minorEastAsia"/>
                <w:sz w:val="20"/>
                <w:szCs w:val="20"/>
                <w:lang w:eastAsia="ja-JP"/>
              </w:rPr>
              <w:t>EC</w:t>
            </w:r>
          </w:p>
        </w:tc>
        <w:tc>
          <w:tcPr>
            <w:tcW w:w="2687" w:type="dxa"/>
          </w:tcPr>
          <w:p w14:paraId="5C20C55E" w14:textId="5E0C367C"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H</w:t>
            </w:r>
            <w:r>
              <w:rPr>
                <w:rFonts w:eastAsiaTheme="minorEastAsia"/>
                <w:sz w:val="20"/>
                <w:szCs w:val="20"/>
                <w:lang w:eastAsia="ja-JP"/>
              </w:rPr>
              <w:t>isashi Futaki</w:t>
            </w:r>
          </w:p>
        </w:tc>
        <w:tc>
          <w:tcPr>
            <w:tcW w:w="4903" w:type="dxa"/>
          </w:tcPr>
          <w:p w14:paraId="70408076" w14:textId="07298780" w:rsidR="00DD001B" w:rsidRPr="008F2A99" w:rsidRDefault="008F2A99" w:rsidP="00DD001B">
            <w:pPr>
              <w:spacing w:after="0"/>
              <w:rPr>
                <w:rFonts w:eastAsiaTheme="minorEastAsia"/>
                <w:sz w:val="20"/>
                <w:szCs w:val="20"/>
                <w:lang w:eastAsia="ja-JP"/>
              </w:rPr>
            </w:pPr>
            <w:r w:rsidRPr="008F2A99">
              <w:rPr>
                <w:rFonts w:eastAsiaTheme="minorEastAsia" w:hint="eastAsia"/>
                <w:sz w:val="20"/>
                <w:szCs w:val="20"/>
                <w:lang w:eastAsia="ja-JP"/>
              </w:rPr>
              <w:t>h</w:t>
            </w:r>
            <w:r w:rsidRPr="008F2A99">
              <w:rPr>
                <w:rFonts w:eastAsiaTheme="minorEastAsia"/>
                <w:sz w:val="20"/>
                <w:szCs w:val="20"/>
                <w:lang w:eastAsia="ja-JP"/>
              </w:rPr>
              <w:t>isashi.futaki@nec.com</w:t>
            </w:r>
            <w:r>
              <w:rPr>
                <w:rFonts w:eastAsiaTheme="minorEastAsia"/>
                <w:sz w:val="20"/>
                <w:szCs w:val="20"/>
                <w:lang w:eastAsia="ja-JP"/>
              </w:rPr>
              <w:t xml:space="preserve">  </w:t>
            </w:r>
          </w:p>
        </w:tc>
      </w:tr>
      <w:tr w:rsidR="00DD001B" w14:paraId="078A10FB" w14:textId="77777777">
        <w:tc>
          <w:tcPr>
            <w:tcW w:w="1760" w:type="dxa"/>
          </w:tcPr>
          <w:p w14:paraId="418AB75C" w14:textId="0F14D0DB" w:rsidR="00DD001B" w:rsidRDefault="00892B26" w:rsidP="00DD001B">
            <w:pPr>
              <w:spacing w:after="0"/>
              <w:rPr>
                <w:sz w:val="20"/>
                <w:szCs w:val="20"/>
                <w:lang w:eastAsia="ja-JP"/>
              </w:rPr>
            </w:pPr>
            <w:r>
              <w:rPr>
                <w:sz w:val="20"/>
                <w:szCs w:val="20"/>
                <w:lang w:eastAsia="ja-JP"/>
              </w:rPr>
              <w:t>MediaTek</w:t>
            </w:r>
          </w:p>
        </w:tc>
        <w:tc>
          <w:tcPr>
            <w:tcW w:w="2687" w:type="dxa"/>
          </w:tcPr>
          <w:p w14:paraId="01A91712" w14:textId="2C9D27B1" w:rsidR="00DD001B" w:rsidRDefault="00892B26" w:rsidP="00DD001B">
            <w:pPr>
              <w:spacing w:after="0"/>
              <w:rPr>
                <w:sz w:val="20"/>
                <w:szCs w:val="20"/>
                <w:lang w:eastAsia="ja-JP"/>
              </w:rPr>
            </w:pPr>
            <w:r>
              <w:rPr>
                <w:sz w:val="20"/>
                <w:szCs w:val="20"/>
                <w:lang w:eastAsia="ja-JP"/>
              </w:rPr>
              <w:t>Pradeep Jose</w:t>
            </w:r>
          </w:p>
        </w:tc>
        <w:tc>
          <w:tcPr>
            <w:tcW w:w="4903" w:type="dxa"/>
          </w:tcPr>
          <w:p w14:paraId="4EE6CE6D" w14:textId="0C886778" w:rsidR="00DD001B" w:rsidRDefault="00892B26" w:rsidP="00DD001B">
            <w:pPr>
              <w:spacing w:after="0"/>
              <w:rPr>
                <w:sz w:val="20"/>
                <w:szCs w:val="20"/>
                <w:lang w:eastAsia="ja-JP"/>
              </w:rPr>
            </w:pPr>
            <w:r>
              <w:rPr>
                <w:sz w:val="20"/>
                <w:szCs w:val="20"/>
                <w:lang w:eastAsia="ja-JP"/>
              </w:rPr>
              <w:t>pradeep[dot]jose[at]mediatek[dot]com</w:t>
            </w:r>
          </w:p>
        </w:tc>
      </w:tr>
      <w:tr w:rsidR="00DD001B" w14:paraId="2B904CFC" w14:textId="77777777">
        <w:tc>
          <w:tcPr>
            <w:tcW w:w="1760" w:type="dxa"/>
          </w:tcPr>
          <w:p w14:paraId="56BA22E8" w14:textId="04156DCC" w:rsidR="00DD001B" w:rsidRPr="008E7777" w:rsidRDefault="008E7777" w:rsidP="00DD001B">
            <w:pPr>
              <w:spacing w:after="0"/>
              <w:rPr>
                <w:rFonts w:eastAsiaTheme="minorEastAsia"/>
                <w:sz w:val="20"/>
                <w:szCs w:val="20"/>
                <w:lang w:eastAsia="ko-KR"/>
              </w:rPr>
            </w:pPr>
            <w:r w:rsidRPr="008E7777">
              <w:rPr>
                <w:rFonts w:eastAsia="바탕체"/>
                <w:sz w:val="20"/>
                <w:szCs w:val="20"/>
                <w:lang w:eastAsia="ko-KR"/>
              </w:rPr>
              <w:t>LGE</w:t>
            </w:r>
          </w:p>
        </w:tc>
        <w:tc>
          <w:tcPr>
            <w:tcW w:w="2687" w:type="dxa"/>
          </w:tcPr>
          <w:p w14:paraId="3DDA0130" w14:textId="1C199E32" w:rsidR="00DD001B" w:rsidRPr="008E7777" w:rsidRDefault="008E7777" w:rsidP="00DD001B">
            <w:pPr>
              <w:spacing w:after="0"/>
              <w:rPr>
                <w:rFonts w:eastAsia="맑은 고딕" w:hint="eastAsia"/>
                <w:sz w:val="20"/>
                <w:szCs w:val="20"/>
                <w:lang w:eastAsia="ko-KR"/>
              </w:rPr>
            </w:pPr>
            <w:r>
              <w:rPr>
                <w:rFonts w:eastAsia="맑은 고딕"/>
                <w:sz w:val="20"/>
                <w:szCs w:val="20"/>
                <w:lang w:eastAsia="ko-KR"/>
              </w:rPr>
              <w:t>HyunJung Choe</w:t>
            </w:r>
          </w:p>
        </w:tc>
        <w:tc>
          <w:tcPr>
            <w:tcW w:w="4903" w:type="dxa"/>
          </w:tcPr>
          <w:p w14:paraId="6F6C5F48" w14:textId="2DC36A01" w:rsidR="00DD001B" w:rsidRPr="008E7777" w:rsidRDefault="008E7777" w:rsidP="00DD001B">
            <w:pPr>
              <w:spacing w:after="0"/>
              <w:rPr>
                <w:rFonts w:eastAsia="맑은 고딕" w:hint="eastAsia"/>
                <w:sz w:val="20"/>
                <w:szCs w:val="20"/>
                <w:lang w:eastAsia="ko-KR"/>
              </w:rPr>
            </w:pPr>
            <w:r>
              <w:rPr>
                <w:rFonts w:eastAsia="맑은 고딕"/>
                <w:sz w:val="20"/>
                <w:szCs w:val="20"/>
                <w:lang w:eastAsia="ko-KR"/>
              </w:rPr>
              <w:t>stella</w:t>
            </w:r>
            <w:r>
              <w:rPr>
                <w:rFonts w:eastAsia="맑은 고딕" w:hint="eastAsia"/>
                <w:sz w:val="20"/>
                <w:szCs w:val="20"/>
                <w:lang w:eastAsia="ko-KR"/>
              </w:rPr>
              <w:t>.</w:t>
            </w:r>
            <w:r>
              <w:rPr>
                <w:rFonts w:eastAsia="맑은 고딕"/>
                <w:sz w:val="20"/>
                <w:szCs w:val="20"/>
                <w:lang w:eastAsia="ko-KR"/>
              </w:rPr>
              <w:t>choe@lge.com</w:t>
            </w:r>
          </w:p>
        </w:tc>
      </w:tr>
      <w:tr w:rsidR="00DD001B" w14:paraId="1F37E672" w14:textId="77777777">
        <w:tc>
          <w:tcPr>
            <w:tcW w:w="1760" w:type="dxa"/>
          </w:tcPr>
          <w:p w14:paraId="59E634E4" w14:textId="2E18B8E2" w:rsidR="00DD001B" w:rsidRDefault="00DD001B" w:rsidP="00DD001B">
            <w:pPr>
              <w:spacing w:after="0"/>
              <w:rPr>
                <w:sz w:val="20"/>
                <w:szCs w:val="20"/>
                <w:lang w:eastAsia="ja-JP"/>
              </w:rPr>
            </w:pPr>
          </w:p>
        </w:tc>
        <w:tc>
          <w:tcPr>
            <w:tcW w:w="2687" w:type="dxa"/>
          </w:tcPr>
          <w:p w14:paraId="6F87E465" w14:textId="54933302" w:rsidR="00DD001B" w:rsidRDefault="00DD001B" w:rsidP="00DD001B">
            <w:pPr>
              <w:spacing w:after="0"/>
              <w:rPr>
                <w:sz w:val="20"/>
                <w:szCs w:val="20"/>
                <w:lang w:eastAsia="ja-JP"/>
              </w:rPr>
            </w:pPr>
          </w:p>
        </w:tc>
        <w:tc>
          <w:tcPr>
            <w:tcW w:w="4903" w:type="dxa"/>
          </w:tcPr>
          <w:p w14:paraId="4B51E12A" w14:textId="0EF127DE" w:rsidR="00DD001B" w:rsidRDefault="00DD001B" w:rsidP="00DD001B">
            <w:pPr>
              <w:spacing w:after="0"/>
              <w:rPr>
                <w:sz w:val="20"/>
                <w:szCs w:val="20"/>
                <w:lang w:eastAsia="ja-JP"/>
              </w:rPr>
            </w:pPr>
          </w:p>
        </w:tc>
      </w:tr>
      <w:tr w:rsidR="00DD001B" w14:paraId="40FCBF83" w14:textId="77777777">
        <w:tc>
          <w:tcPr>
            <w:tcW w:w="1760" w:type="dxa"/>
          </w:tcPr>
          <w:p w14:paraId="3E906341" w14:textId="50C8360D" w:rsidR="00DD001B" w:rsidRDefault="00DD001B" w:rsidP="00DD001B">
            <w:pPr>
              <w:spacing w:after="0"/>
              <w:rPr>
                <w:sz w:val="20"/>
                <w:szCs w:val="20"/>
                <w:lang w:eastAsia="zh-CN"/>
              </w:rPr>
            </w:pPr>
          </w:p>
        </w:tc>
        <w:tc>
          <w:tcPr>
            <w:tcW w:w="2687" w:type="dxa"/>
          </w:tcPr>
          <w:p w14:paraId="443C8529" w14:textId="1F105637" w:rsidR="00DD001B" w:rsidRDefault="00DD001B" w:rsidP="00DD001B">
            <w:pPr>
              <w:spacing w:after="0"/>
              <w:rPr>
                <w:sz w:val="20"/>
                <w:szCs w:val="20"/>
                <w:lang w:eastAsia="zh-CN"/>
              </w:rPr>
            </w:pPr>
          </w:p>
        </w:tc>
        <w:tc>
          <w:tcPr>
            <w:tcW w:w="4903" w:type="dxa"/>
          </w:tcPr>
          <w:p w14:paraId="60CD59D9" w14:textId="057971D3" w:rsidR="00DD001B" w:rsidRDefault="00DD001B" w:rsidP="00DD001B">
            <w:pPr>
              <w:spacing w:after="0"/>
              <w:rPr>
                <w:sz w:val="20"/>
                <w:szCs w:val="20"/>
                <w:lang w:eastAsia="zh-CN"/>
              </w:rPr>
            </w:pPr>
          </w:p>
        </w:tc>
      </w:tr>
      <w:tr w:rsidR="00DD001B" w14:paraId="5DB21E6B" w14:textId="77777777">
        <w:tc>
          <w:tcPr>
            <w:tcW w:w="1760" w:type="dxa"/>
          </w:tcPr>
          <w:p w14:paraId="3B4BCAB9" w14:textId="0AD422BB" w:rsidR="00DD001B" w:rsidRDefault="00DD001B" w:rsidP="00DD001B">
            <w:pPr>
              <w:spacing w:after="0"/>
              <w:rPr>
                <w:sz w:val="20"/>
                <w:szCs w:val="20"/>
                <w:lang w:eastAsia="zh-CN"/>
              </w:rPr>
            </w:pPr>
          </w:p>
        </w:tc>
        <w:tc>
          <w:tcPr>
            <w:tcW w:w="2687" w:type="dxa"/>
          </w:tcPr>
          <w:p w14:paraId="65ACF5A5" w14:textId="278A971E" w:rsidR="00DD001B" w:rsidRDefault="00DD001B" w:rsidP="00DD001B">
            <w:pPr>
              <w:spacing w:after="0"/>
              <w:rPr>
                <w:sz w:val="20"/>
                <w:szCs w:val="20"/>
                <w:lang w:eastAsia="zh-CN"/>
              </w:rPr>
            </w:pPr>
          </w:p>
        </w:tc>
        <w:tc>
          <w:tcPr>
            <w:tcW w:w="4903" w:type="dxa"/>
          </w:tcPr>
          <w:p w14:paraId="37589DFF" w14:textId="2BCE61CC" w:rsidR="00DD001B" w:rsidRDefault="00DD001B" w:rsidP="00DD001B">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bookmarkStart w:id="84" w:name="_GoBack"/>
      <w:bookmarkEnd w:id="84"/>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5" w:name="_Ref434066290"/>
      <w:r>
        <w:rPr>
          <w:rFonts w:ascii="Times New Roman" w:hAnsi="Times New Roman"/>
        </w:rPr>
        <w:lastRenderedPageBreak/>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A65A42"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657BC" w14:textId="77777777" w:rsidR="00A65A42" w:rsidRDefault="00A65A42">
      <w:pPr>
        <w:spacing w:line="240" w:lineRule="auto"/>
      </w:pPr>
      <w:r>
        <w:separator/>
      </w:r>
    </w:p>
  </w:endnote>
  <w:endnote w:type="continuationSeparator" w:id="0">
    <w:p w14:paraId="2A8D6B22" w14:textId="77777777" w:rsidR="00A65A42" w:rsidRDefault="00A65A42">
      <w:pPr>
        <w:spacing w:line="240" w:lineRule="auto"/>
      </w:pPr>
      <w:r>
        <w:continuationSeparator/>
      </w:r>
    </w:p>
  </w:endnote>
  <w:endnote w:type="continuationNotice" w:id="1">
    <w:p w14:paraId="3ECCAAA6" w14:textId="77777777" w:rsidR="00A65A42" w:rsidRDefault="00A65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0D008" w14:textId="77777777" w:rsidR="00A65A42" w:rsidRDefault="00A65A42">
      <w:pPr>
        <w:spacing w:after="0" w:line="240" w:lineRule="auto"/>
      </w:pPr>
      <w:r>
        <w:separator/>
      </w:r>
    </w:p>
  </w:footnote>
  <w:footnote w:type="continuationSeparator" w:id="0">
    <w:p w14:paraId="2303C917" w14:textId="77777777" w:rsidR="00A65A42" w:rsidRDefault="00A65A42">
      <w:pPr>
        <w:spacing w:after="0" w:line="240" w:lineRule="auto"/>
      </w:pPr>
      <w:r>
        <w:continuationSeparator/>
      </w:r>
    </w:p>
  </w:footnote>
  <w:footnote w:type="continuationNotice" w:id="1">
    <w:p w14:paraId="15C94059" w14:textId="77777777" w:rsidR="00A65A42" w:rsidRDefault="00A65A4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542A"/>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6C9"/>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77BCE"/>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E7777"/>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5A42"/>
    <w:rsid w:val="00A664E4"/>
    <w:rsid w:val="00A67D32"/>
    <w:rsid w:val="00A70E76"/>
    <w:rsid w:val="00A71675"/>
    <w:rsid w:val="00A719E3"/>
    <w:rsid w:val="00A71A21"/>
    <w:rsid w:val="00A71C49"/>
    <w:rsid w:val="00A721CD"/>
    <w:rsid w:val="00A72C6F"/>
    <w:rsid w:val="00A731FE"/>
    <w:rsid w:val="00A73252"/>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1AA"/>
    <w:rsid w:val="00C86FE7"/>
    <w:rsid w:val="00C873ED"/>
    <w:rsid w:val="00C87707"/>
    <w:rsid w:val="00C87969"/>
    <w:rsid w:val="00C87BA4"/>
    <w:rsid w:val="00C9042B"/>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180C"/>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szCs w:val="20"/>
      <w:lang w:val="en-GB" w:eastAsia="zh-CN"/>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eastAsia="SimSun" w:hAnsi="Cambria" w:cs="Times New Roman"/>
      <w:color w:val="243F60"/>
      <w:sz w:val="20"/>
      <w:szCs w:val="20"/>
      <w:lang w:val="zh-CN" w:eastAsia="zh-CN"/>
    </w:rPr>
  </w:style>
  <w:style w:type="character" w:customStyle="1" w:styleId="6Char">
    <w:name w:val="제목 6 Char"/>
    <w:basedOn w:val="a1"/>
    <w:link w:val="6"/>
    <w:qFormat/>
    <w:rPr>
      <w:rFonts w:ascii="Calibri" w:eastAsia="Times New Roman" w:hAnsi="Calibri" w:cs="Times New Roman"/>
      <w:b/>
      <w:bCs/>
      <w:lang w:val="zh-CN" w:eastAsia="zh-CN"/>
    </w:rPr>
  </w:style>
  <w:style w:type="character" w:customStyle="1" w:styleId="7Char">
    <w:name w:val="제목 7 Char"/>
    <w:basedOn w:val="a1"/>
    <w:link w:val="7"/>
    <w:qFormat/>
    <w:rPr>
      <w:rFonts w:ascii="Calibri" w:eastAsia="Times New Roman" w:hAnsi="Calibri" w:cs="Times New Roman"/>
      <w:sz w:val="24"/>
      <w:szCs w:val="24"/>
      <w:lang w:val="zh-CN" w:eastAsia="zh-CN"/>
    </w:rPr>
  </w:style>
  <w:style w:type="character" w:customStyle="1" w:styleId="8Char">
    <w:name w:val="제목 8 Char"/>
    <w:basedOn w:val="a1"/>
    <w:link w:val="8"/>
    <w:qFormat/>
    <w:rPr>
      <w:rFonts w:ascii="Calibri" w:eastAsia="Times New Roman" w:hAnsi="Calibri" w:cs="Times New Roman"/>
      <w:i/>
      <w:iCs/>
      <w:sz w:val="24"/>
      <w:szCs w:val="24"/>
      <w:lang w:val="zh-CN" w:eastAsia="zh-CN"/>
    </w:rPr>
  </w:style>
  <w:style w:type="character" w:customStyle="1" w:styleId="9Char">
    <w:name w:val="제목 9 Char"/>
    <w:basedOn w:val="a1"/>
    <w:link w:val="9"/>
    <w:qFormat/>
    <w:rPr>
      <w:rFonts w:ascii="Calibri Light" w:eastAsia="Times New Roman" w:hAnsi="Calibri Light" w:cs="Times New Roman"/>
      <w:lang w:val="zh-CN" w:eastAsia="zh-CN"/>
    </w:rPr>
  </w:style>
  <w:style w:type="character" w:customStyle="1" w:styleId="Char">
    <w:name w:val="머리글 Char"/>
    <w:basedOn w:val="a1"/>
    <w:link w:val="a0"/>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uiPriority w:val="99"/>
    <w:semiHidden/>
    <w:qFormat/>
    <w:rPr>
      <w:rFonts w:ascii="Times New Roman" w:eastAsia="SimSun" w:hAnsi="Times New Roman" w:cs="Times New Roman"/>
      <w:sz w:val="20"/>
      <w:szCs w:val="20"/>
    </w:rPr>
  </w:style>
  <w:style w:type="character" w:customStyle="1" w:styleId="Char4">
    <w:name w:val="풍선 도움말 텍스트 Char"/>
    <w:basedOn w:val="a1"/>
    <w:link w:val="ab"/>
    <w:qFormat/>
    <w:rPr>
      <w:rFonts w:ascii="Segoe UI" w:eastAsia="SimSun"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8">
    <w:name w:val="메모 주제 Char"/>
    <w:basedOn w:val="Char2"/>
    <w:link w:val="af0"/>
    <w:uiPriority w:val="99"/>
    <w:semiHidden/>
    <w:qFormat/>
    <w:rPr>
      <w:rFonts w:ascii="Times New Roman" w:eastAsia="SimSun" w:hAnsi="Times New Roman" w:cs="Times New Roman"/>
      <w:b/>
      <w:bCs/>
      <w:sz w:val="20"/>
      <w:szCs w:val="20"/>
    </w:rPr>
  </w:style>
  <w:style w:type="character" w:customStyle="1" w:styleId="Char5">
    <w:name w:val="바닥글 Char"/>
    <w:basedOn w:val="a1"/>
    <w:link w:val="ac"/>
    <w:qFormat/>
    <w:rPr>
      <w:rFonts w:ascii="Times New Roman" w:eastAsia="SimSun" w:hAnsi="Times New Roman" w:cs="Times New Roman"/>
      <w:sz w:val="18"/>
      <w:szCs w:val="18"/>
    </w:rPr>
  </w:style>
  <w:style w:type="character" w:customStyle="1" w:styleId="Char9">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7">
    <w:name w:val="제목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각주 텍스트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D92F19A5-7B69-4B29-8572-127AD869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10190</Words>
  <Characters>58089</Characters>
  <Application>Microsoft Office Word</Application>
  <DocSecurity>0</DocSecurity>
  <Lines>484</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68143</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LGE (HyunJung)</cp:lastModifiedBy>
  <cp:revision>9</cp:revision>
  <dcterms:created xsi:type="dcterms:W3CDTF">2021-08-23T08:10:00Z</dcterms:created>
  <dcterms:modified xsi:type="dcterms:W3CDTF">2021-08-23T08:15:00Z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