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f"/>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f"/>
          <w:highlight w:val="yellow"/>
        </w:rPr>
        <w:t>R2-210</w:t>
      </w:r>
      <w:r>
        <w:rPr>
          <w:rStyle w:val="aff"/>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f"/>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b"/>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b"/>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f2"/>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f2"/>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f2"/>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f2"/>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f2"/>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f2"/>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f2"/>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f2"/>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f2"/>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f2"/>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f2"/>
              <w:numPr>
                <w:ilvl w:val="3"/>
                <w:numId w:val="16"/>
              </w:numPr>
              <w:jc w:val="both"/>
              <w:rPr>
                <w:lang w:val="en-GB"/>
              </w:rPr>
            </w:pPr>
            <w:r>
              <w:rPr>
                <w:i/>
                <w:lang w:eastAsia="zh-CN"/>
              </w:rPr>
              <w:t>No, (ZTE, )</w:t>
            </w:r>
          </w:p>
          <w:p w14:paraId="766E39A0" w14:textId="77777777" w:rsidR="00260293" w:rsidRDefault="00260293" w:rsidP="00260293">
            <w:pPr>
              <w:pStyle w:val="aff2"/>
              <w:numPr>
                <w:ilvl w:val="3"/>
                <w:numId w:val="16"/>
              </w:numPr>
              <w:jc w:val="both"/>
              <w:rPr>
                <w:lang w:val="en-GB"/>
              </w:rPr>
            </w:pPr>
            <w:r>
              <w:rPr>
                <w:i/>
                <w:lang w:eastAsia="zh-CN"/>
              </w:rPr>
              <w:t>FFS (China Unicom)</w:t>
            </w:r>
          </w:p>
          <w:p w14:paraId="7DA596BF" w14:textId="77777777" w:rsidR="00260293" w:rsidRDefault="00260293" w:rsidP="00260293">
            <w:pPr>
              <w:pStyle w:val="aff2"/>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f2"/>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f2"/>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f2"/>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f2"/>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f2"/>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b"/>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f2"/>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f2"/>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f2"/>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f2"/>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f2"/>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f2"/>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f2"/>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f2"/>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f2"/>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f2"/>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f2"/>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f2"/>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f2"/>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f2"/>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b"/>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rFonts w:hint="eastAsia"/>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w:t>
            </w:r>
            <w:r>
              <w:rPr>
                <w:sz w:val="20"/>
                <w:szCs w:val="20"/>
                <w:lang w:val="en-GB" w:eastAsia="zh-CN"/>
              </w:rPr>
              <w:t>e think we should first</w:t>
            </w:r>
            <w:r w:rsidR="00CE2067">
              <w:rPr>
                <w:sz w:val="20"/>
                <w:szCs w:val="20"/>
                <w:lang w:val="en-GB" w:eastAsia="zh-CN"/>
              </w:rPr>
              <w:t>ly</w:t>
            </w:r>
            <w:r>
              <w:rPr>
                <w:sz w:val="20"/>
                <w:szCs w:val="20"/>
                <w:lang w:val="en-GB" w:eastAsia="zh-CN"/>
              </w:rPr>
              <w:t xml:space="preserve"> make the decision that L2 buffer size could be reduced</w:t>
            </w:r>
            <w:r>
              <w:rPr>
                <w:sz w:val="20"/>
                <w:szCs w:val="20"/>
                <w:lang w:val="en-GB" w:eastAsia="zh-CN"/>
              </w:rPr>
              <w:t xml:space="preserve">,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b"/>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f2"/>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f2"/>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f2"/>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f2"/>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f2"/>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f2"/>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f2"/>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f2"/>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f2"/>
              <w:numPr>
                <w:ilvl w:val="0"/>
                <w:numId w:val="17"/>
              </w:numPr>
              <w:jc w:val="both"/>
              <w:rPr>
                <w:lang w:val="en-GB"/>
              </w:rPr>
            </w:pPr>
            <w:r w:rsidRPr="00DB5B83">
              <w:rPr>
                <w:b/>
                <w:lang w:val="en-GB"/>
              </w:rPr>
              <w:lastRenderedPageBreak/>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b"/>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rFonts w:hint="eastAsia"/>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bl>
    <w:p w14:paraId="20677776" w14:textId="77777777" w:rsidR="00AF401A" w:rsidRPr="00403406" w:rsidRDefault="00AF401A" w:rsidP="00AF401A">
      <w:pPr>
        <w:tabs>
          <w:tab w:val="left" w:pos="1327"/>
        </w:tabs>
        <w:spacing w:after="60"/>
        <w:jc w:val="both"/>
        <w:rPr>
          <w:rFonts w:ascii="Times New Roman" w:hAnsi="Times New Roman" w:cs="Times New Roman" w:hint="eastAsia"/>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0759A73B" w:rsidR="00D27C25" w:rsidRDefault="00D27C25" w:rsidP="00FC5E40">
            <w:pPr>
              <w:spacing w:after="0"/>
              <w:rPr>
                <w:sz w:val="20"/>
                <w:szCs w:val="20"/>
                <w:lang w:eastAsia="ja-JP"/>
              </w:rPr>
            </w:pPr>
            <w:r>
              <w:rPr>
                <w:sz w:val="20"/>
                <w:szCs w:val="20"/>
                <w:lang w:eastAsia="ja-JP"/>
              </w:rPr>
              <w:t xml:space="preserve">We cannot generalize all </w:t>
            </w:r>
            <w:r w:rsidR="009D5FDE">
              <w:rPr>
                <w:sz w:val="20"/>
                <w:szCs w:val="20"/>
                <w:lang w:eastAsia="ja-JP"/>
              </w:rPr>
              <w:pgNum/>
              <w:t>edcap</w:t>
            </w:r>
            <w:r>
              <w:rPr>
                <w:sz w:val="20"/>
                <w:szCs w:val="20"/>
                <w:lang w:eastAsia="ja-JP"/>
              </w:rPr>
              <w:t xml:space="preserve"> UEs,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b"/>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f2"/>
              <w:tabs>
                <w:tab w:val="left" w:pos="1327"/>
              </w:tabs>
              <w:spacing w:after="60"/>
              <w:jc w:val="both"/>
              <w:rPr>
                <w:lang w:val="en-GB"/>
              </w:rPr>
            </w:pPr>
          </w:p>
          <w:p w14:paraId="3603A48E" w14:textId="77777777" w:rsidR="00AF401A" w:rsidRPr="0032041E" w:rsidRDefault="00AF401A" w:rsidP="00AF401A">
            <w:pPr>
              <w:pStyle w:val="aff2"/>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218743A9" w:rsidR="00D27C25" w:rsidRDefault="00D27C25" w:rsidP="00FC5E40">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pgNum/>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We agree with Huawei that t</w:t>
            </w:r>
            <w:r>
              <w:rPr>
                <w:sz w:val="20"/>
                <w:szCs w:val="20"/>
                <w:lang w:eastAsia="zh-CN"/>
              </w:rPr>
              <w:t xml:space="preserve">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b"/>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f2"/>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rFonts w:hint="eastAsia"/>
                <w:sz w:val="20"/>
                <w:szCs w:val="20"/>
                <w:lang w:eastAsia="zh-CN"/>
              </w:rPr>
            </w:pPr>
            <w:r>
              <w:rPr>
                <w:sz w:val="20"/>
                <w:szCs w:val="20"/>
                <w:lang w:eastAsia="ja-JP"/>
              </w:rPr>
              <w:lastRenderedPageBreak/>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f2"/>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f2"/>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f2"/>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rFonts w:hint="eastAsia"/>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lastRenderedPageBreak/>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f2"/>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f2"/>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f2"/>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f2"/>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lastRenderedPageBreak/>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f2"/>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rFonts w:hint="eastAsia"/>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lastRenderedPageBreak/>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f2"/>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f2"/>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f2"/>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f2"/>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rFonts w:hint="eastAsia"/>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f2"/>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b"/>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aff2"/>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f2"/>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RedCap UE since the number of Rx branches for RedCap is implicitly indicated by the corresponding capability parameter </w:t>
      </w:r>
      <w:r w:rsidRPr="005A4C5B">
        <w:rPr>
          <w:rFonts w:ascii="Times New Roman" w:hAnsi="Times New Roman" w:cs="Times New Roman"/>
          <w:b/>
          <w:bCs/>
          <w:sz w:val="20"/>
          <w:szCs w:val="20"/>
          <w:lang w:val="en-GB"/>
        </w:rPr>
        <w:lastRenderedPageBreak/>
        <w:t>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w:t>
            </w:r>
            <w:r>
              <w:rPr>
                <w:rFonts w:eastAsiaTheme="minorEastAsia"/>
                <w:sz w:val="20"/>
                <w:szCs w:val="20"/>
                <w:lang w:eastAsia="zh-CN"/>
              </w:rPr>
              <w:t xml:space="preserve">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f2"/>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f2"/>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f2"/>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e"/>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f2"/>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f2"/>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f2"/>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lastRenderedPageBreak/>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rFonts w:hint="eastAsia"/>
                <w:sz w:val="20"/>
                <w:szCs w:val="20"/>
                <w:lang w:eastAsia="zh-CN"/>
              </w:rPr>
            </w:pPr>
            <w:r>
              <w:rPr>
                <w:sz w:val="20"/>
                <w:szCs w:val="20"/>
                <w:lang w:eastAsia="zh-CN"/>
              </w:rPr>
              <w:t xml:space="preserve">Either Option 2/3 is fine for us. </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b"/>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e.g.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rFonts w:hint="eastAsia"/>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b"/>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b"/>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f2"/>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f2"/>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f2"/>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b"/>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lastRenderedPageBreak/>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b"/>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rFonts w:hint="eastAsia"/>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rFonts w:hint="eastAsia"/>
                <w:sz w:val="20"/>
                <w:szCs w:val="20"/>
                <w:lang w:eastAsia="zh-CN"/>
              </w:rPr>
            </w:pPr>
            <w:r>
              <w:rPr>
                <w:sz w:val="20"/>
                <w:szCs w:val="20"/>
                <w:lang w:eastAsia="zh-CN"/>
              </w:rPr>
              <w:t xml:space="preserve">We think we should inform SA2/CT1 about our discussion on this part to imitate their work. </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b"/>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lastRenderedPageBreak/>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lastRenderedPageBreak/>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rFonts w:hint="eastAsia"/>
                <w:sz w:val="20"/>
                <w:szCs w:val="20"/>
                <w:lang w:eastAsia="zh-CN"/>
              </w:rPr>
            </w:pPr>
            <w:r>
              <w:rPr>
                <w:sz w:val="20"/>
                <w:szCs w:val="20"/>
                <w:lang w:eastAsia="zh-CN"/>
              </w:rPr>
              <w:t>Vivo</w:t>
            </w:r>
          </w:p>
        </w:tc>
        <w:tc>
          <w:tcPr>
            <w:tcW w:w="2687" w:type="dxa"/>
          </w:tcPr>
          <w:p w14:paraId="27433349" w14:textId="6BCB4414" w:rsidR="00D40AFC" w:rsidRDefault="00DE668B">
            <w:pPr>
              <w:spacing w:after="0"/>
              <w:rPr>
                <w:rFonts w:hint="eastAsia"/>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rFonts w:hint="eastAsia"/>
                <w:sz w:val="20"/>
                <w:szCs w:val="20"/>
                <w:lang w:eastAsia="zh-CN"/>
              </w:rPr>
            </w:pPr>
            <w:r>
              <w:rPr>
                <w:sz w:val="20"/>
                <w:szCs w:val="20"/>
                <w:lang w:eastAsia="zh-CN"/>
              </w:rPr>
              <w:t>Chenli5g@vivo.com</w:t>
            </w: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41354B"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FC44" w14:textId="77777777" w:rsidR="0041354B" w:rsidRDefault="0041354B">
      <w:pPr>
        <w:spacing w:line="240" w:lineRule="auto"/>
      </w:pPr>
      <w:r>
        <w:separator/>
      </w:r>
    </w:p>
  </w:endnote>
  <w:endnote w:type="continuationSeparator" w:id="0">
    <w:p w14:paraId="6E8034E8" w14:textId="77777777" w:rsidR="0041354B" w:rsidRDefault="0041354B">
      <w:pPr>
        <w:spacing w:line="240" w:lineRule="auto"/>
      </w:pPr>
      <w:r>
        <w:continuationSeparator/>
      </w:r>
    </w:p>
  </w:endnote>
  <w:endnote w:type="continuationNotice" w:id="1">
    <w:p w14:paraId="46C9B85D" w14:textId="77777777" w:rsidR="0041354B" w:rsidRDefault="00413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Yu Mincho">
    <w:altName w:val="Yu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226E" w14:textId="77777777" w:rsidR="0041354B" w:rsidRDefault="0041354B">
      <w:pPr>
        <w:spacing w:after="0" w:line="240" w:lineRule="auto"/>
      </w:pPr>
      <w:r>
        <w:separator/>
      </w:r>
    </w:p>
  </w:footnote>
  <w:footnote w:type="continuationSeparator" w:id="0">
    <w:p w14:paraId="0A482BA2" w14:textId="77777777" w:rsidR="0041354B" w:rsidRDefault="0041354B">
      <w:pPr>
        <w:spacing w:after="0" w:line="240" w:lineRule="auto"/>
      </w:pPr>
      <w:r>
        <w:continuationSeparator/>
      </w:r>
    </w:p>
  </w:footnote>
  <w:footnote w:type="continuationNotice" w:id="1">
    <w:p w14:paraId="6429BBE4" w14:textId="77777777" w:rsidR="0041354B" w:rsidRDefault="004135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1703"/>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067"/>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semiHidden/>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9013</Words>
  <Characters>51379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60272</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vivo-Chenli</cp:lastModifiedBy>
  <cp:revision>46</cp:revision>
  <dcterms:created xsi:type="dcterms:W3CDTF">2021-08-21T18:47:00Z</dcterms:created>
  <dcterms:modified xsi:type="dcterms:W3CDTF">2021-08-22T14:08:00Z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