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FC5E40">
        <w:tc>
          <w:tcPr>
            <w:tcW w:w="1938" w:type="dxa"/>
          </w:tcPr>
          <w:p w14:paraId="57A1FA17" w14:textId="77777777" w:rsidR="00D27C25" w:rsidRDefault="00D27C25" w:rsidP="00FC5E40">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FC5E40">
            <w:pPr>
              <w:rPr>
                <w:sz w:val="20"/>
                <w:szCs w:val="20"/>
              </w:rPr>
            </w:pPr>
            <w:r>
              <w:rPr>
                <w:sz w:val="20"/>
                <w:szCs w:val="20"/>
              </w:rPr>
              <w:t>Option 2.2</w:t>
            </w:r>
          </w:p>
        </w:tc>
        <w:tc>
          <w:tcPr>
            <w:tcW w:w="6006" w:type="dxa"/>
          </w:tcPr>
          <w:p w14:paraId="484BB034" w14:textId="77777777" w:rsidR="00D27C25" w:rsidRDefault="00D27C25" w:rsidP="00FC5E40">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lastRenderedPageBreak/>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w:t>
            </w:r>
            <w:r w:rsidRPr="00DB5B83">
              <w:rPr>
                <w:lang w:val="en-GB"/>
              </w:rPr>
              <w:lastRenderedPageBreak/>
              <w:t>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FC5E40">
        <w:tc>
          <w:tcPr>
            <w:tcW w:w="1938" w:type="dxa"/>
          </w:tcPr>
          <w:p w14:paraId="563EB5BA" w14:textId="77777777" w:rsidR="00D27C25" w:rsidRDefault="00D27C25" w:rsidP="00FC5E40">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FC5E40">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FC5E40">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FC5E40">
        <w:tc>
          <w:tcPr>
            <w:tcW w:w="1938" w:type="dxa"/>
          </w:tcPr>
          <w:p w14:paraId="41E0C63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FC5E40">
            <w:pPr>
              <w:spacing w:after="0"/>
              <w:rPr>
                <w:sz w:val="20"/>
                <w:szCs w:val="20"/>
                <w:lang w:eastAsia="ja-JP"/>
              </w:rPr>
            </w:pPr>
            <w:r>
              <w:rPr>
                <w:sz w:val="20"/>
                <w:szCs w:val="20"/>
                <w:lang w:eastAsia="ja-JP"/>
              </w:rPr>
              <w:t>Yes</w:t>
            </w:r>
          </w:p>
        </w:tc>
        <w:tc>
          <w:tcPr>
            <w:tcW w:w="6006" w:type="dxa"/>
          </w:tcPr>
          <w:p w14:paraId="19BE20D1" w14:textId="77777777" w:rsidR="00D27C25" w:rsidRDefault="00D27C25" w:rsidP="00FC5E40">
            <w:pPr>
              <w:spacing w:after="0"/>
              <w:rPr>
                <w:sz w:val="20"/>
                <w:szCs w:val="20"/>
                <w:lang w:eastAsia="ja-JP"/>
              </w:rPr>
            </w:pPr>
            <w:r>
              <w:rPr>
                <w:sz w:val="20"/>
                <w:szCs w:val="20"/>
                <w:lang w:eastAsia="ja-JP"/>
              </w:rPr>
              <w:t>We cannot generalize all redCap UEs,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FC5E40">
        <w:tc>
          <w:tcPr>
            <w:tcW w:w="1938" w:type="dxa"/>
          </w:tcPr>
          <w:p w14:paraId="1D5D31B0" w14:textId="77777777" w:rsidR="00D27C25" w:rsidRDefault="00D27C25" w:rsidP="00FC5E40">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FC5E40">
            <w:pPr>
              <w:spacing w:after="0"/>
              <w:rPr>
                <w:sz w:val="20"/>
                <w:szCs w:val="20"/>
                <w:lang w:eastAsia="zh-CN"/>
              </w:rPr>
            </w:pPr>
            <w:r>
              <w:rPr>
                <w:sz w:val="20"/>
                <w:szCs w:val="20"/>
                <w:lang w:eastAsia="zh-CN"/>
              </w:rPr>
              <w:t>Yes</w:t>
            </w:r>
          </w:p>
        </w:tc>
        <w:tc>
          <w:tcPr>
            <w:tcW w:w="6006" w:type="dxa"/>
          </w:tcPr>
          <w:p w14:paraId="3022AC8D" w14:textId="77777777" w:rsidR="00D27C25" w:rsidRDefault="00D27C25" w:rsidP="00FC5E40">
            <w:pPr>
              <w:spacing w:after="0"/>
              <w:rPr>
                <w:sz w:val="20"/>
                <w:szCs w:val="20"/>
                <w:lang w:eastAsia="ja-JP"/>
              </w:rPr>
            </w:pPr>
            <w:r>
              <w:rPr>
                <w:sz w:val="20"/>
                <w:szCs w:val="20"/>
                <w:lang w:eastAsia="ja-JP"/>
              </w:rPr>
              <w:t>Same view as Huawei. Also if the argument is that the NW wants to know if there are RedCap specific cells, then we assume that there will not be only RedCap specific cells, but rather, the same gNB can have redCap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FC5E40">
        <w:tc>
          <w:tcPr>
            <w:tcW w:w="1938" w:type="dxa"/>
          </w:tcPr>
          <w:p w14:paraId="7F2BF87B" w14:textId="77777777" w:rsidR="00D27C25" w:rsidRDefault="00D27C25" w:rsidP="00FC5E40">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FC5E40">
            <w:pPr>
              <w:spacing w:after="0"/>
              <w:rPr>
                <w:sz w:val="20"/>
                <w:szCs w:val="20"/>
                <w:lang w:eastAsia="zh-CN"/>
              </w:rPr>
            </w:pPr>
            <w:r>
              <w:rPr>
                <w:sz w:val="20"/>
                <w:szCs w:val="20"/>
                <w:lang w:eastAsia="zh-CN"/>
              </w:rPr>
              <w:t>Yes</w:t>
            </w:r>
          </w:p>
        </w:tc>
        <w:tc>
          <w:tcPr>
            <w:tcW w:w="6006" w:type="dxa"/>
          </w:tcPr>
          <w:p w14:paraId="7543FE63" w14:textId="77777777" w:rsidR="00D27C25" w:rsidRDefault="00D27C25" w:rsidP="00FC5E40">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lastRenderedPageBreak/>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FC5E40">
        <w:tc>
          <w:tcPr>
            <w:tcW w:w="1938" w:type="dxa"/>
          </w:tcPr>
          <w:p w14:paraId="3D562188" w14:textId="77777777" w:rsidR="00D27C25" w:rsidRDefault="00D27C25" w:rsidP="00FC5E40">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FC5E40">
            <w:pPr>
              <w:spacing w:after="0"/>
              <w:rPr>
                <w:sz w:val="20"/>
                <w:szCs w:val="20"/>
                <w:lang w:eastAsia="ja-JP"/>
              </w:rPr>
            </w:pPr>
            <w:r>
              <w:rPr>
                <w:sz w:val="20"/>
                <w:szCs w:val="20"/>
                <w:lang w:eastAsia="ja-JP"/>
              </w:rPr>
              <w:t>Yes</w:t>
            </w:r>
          </w:p>
        </w:tc>
        <w:tc>
          <w:tcPr>
            <w:tcW w:w="6006" w:type="dxa"/>
          </w:tcPr>
          <w:p w14:paraId="40247A5F" w14:textId="77777777" w:rsidR="00D27C25" w:rsidRDefault="00D27C25" w:rsidP="00FC5E40">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lastRenderedPageBreak/>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FC5E40">
        <w:tc>
          <w:tcPr>
            <w:tcW w:w="1938" w:type="dxa"/>
          </w:tcPr>
          <w:p w14:paraId="36EAB6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FC5E40">
            <w:pPr>
              <w:spacing w:after="0"/>
              <w:rPr>
                <w:sz w:val="20"/>
                <w:szCs w:val="20"/>
                <w:lang w:eastAsia="ja-JP"/>
              </w:rPr>
            </w:pPr>
            <w:r>
              <w:rPr>
                <w:sz w:val="20"/>
                <w:szCs w:val="20"/>
                <w:lang w:eastAsia="ja-JP"/>
              </w:rPr>
              <w:t>Yes</w:t>
            </w:r>
          </w:p>
        </w:tc>
        <w:tc>
          <w:tcPr>
            <w:tcW w:w="6006" w:type="dxa"/>
          </w:tcPr>
          <w:p w14:paraId="53C50D68" w14:textId="77777777" w:rsidR="00D27C25" w:rsidRDefault="00D27C25" w:rsidP="00FC5E40">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lastRenderedPageBreak/>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FC5E40">
        <w:tc>
          <w:tcPr>
            <w:tcW w:w="1938" w:type="dxa"/>
          </w:tcPr>
          <w:p w14:paraId="39E48ABF" w14:textId="77777777" w:rsidR="00D27C25" w:rsidRDefault="00D27C25" w:rsidP="00FC5E40">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FC5E40">
            <w:pPr>
              <w:spacing w:after="0"/>
              <w:rPr>
                <w:sz w:val="20"/>
                <w:szCs w:val="20"/>
                <w:lang w:eastAsia="ja-JP"/>
              </w:rPr>
            </w:pPr>
            <w:r>
              <w:rPr>
                <w:sz w:val="20"/>
                <w:szCs w:val="20"/>
                <w:lang w:eastAsia="ja-JP"/>
              </w:rPr>
              <w:t>Yes</w:t>
            </w:r>
          </w:p>
        </w:tc>
        <w:tc>
          <w:tcPr>
            <w:tcW w:w="6006" w:type="dxa"/>
          </w:tcPr>
          <w:p w14:paraId="4457FE49" w14:textId="77777777" w:rsidR="00D27C25" w:rsidRDefault="00D27C25" w:rsidP="00FC5E40">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FC5E40">
        <w:tc>
          <w:tcPr>
            <w:tcW w:w="1938" w:type="dxa"/>
          </w:tcPr>
          <w:p w14:paraId="6C2F58C9" w14:textId="77777777" w:rsidR="00D27C25" w:rsidRDefault="00D27C25" w:rsidP="00FC5E40">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FC5E40">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FC5E40">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lastRenderedPageBreak/>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FC5E40">
        <w:tc>
          <w:tcPr>
            <w:tcW w:w="1938" w:type="dxa"/>
          </w:tcPr>
          <w:p w14:paraId="0EF8DBAA" w14:textId="77777777" w:rsidR="00D27C25" w:rsidRDefault="00D27C25" w:rsidP="00FC5E40">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FC5E40">
            <w:pPr>
              <w:spacing w:after="0"/>
              <w:rPr>
                <w:sz w:val="20"/>
                <w:szCs w:val="20"/>
                <w:lang w:eastAsia="ja-JP"/>
              </w:rPr>
            </w:pPr>
            <w:r>
              <w:rPr>
                <w:sz w:val="20"/>
                <w:szCs w:val="20"/>
                <w:lang w:eastAsia="ja-JP"/>
              </w:rPr>
              <w:t>Yes</w:t>
            </w:r>
          </w:p>
        </w:tc>
        <w:tc>
          <w:tcPr>
            <w:tcW w:w="6006" w:type="dxa"/>
          </w:tcPr>
          <w:p w14:paraId="051F1FAB" w14:textId="77777777" w:rsidR="00D27C25" w:rsidRDefault="00D27C25" w:rsidP="00FC5E40">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lastRenderedPageBreak/>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lastRenderedPageBreak/>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FC5E40">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FC5E40">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FC5E40">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lastRenderedPageBreak/>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e.g.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FC5E40">
        <w:tc>
          <w:tcPr>
            <w:tcW w:w="1938" w:type="dxa"/>
          </w:tcPr>
          <w:p w14:paraId="338D557D" w14:textId="77777777" w:rsidR="00D27C25" w:rsidRDefault="00D27C25" w:rsidP="00FC5E40">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FC5E40">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FC5E40">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lastRenderedPageBreak/>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lastRenderedPageBreak/>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lastRenderedPageBreak/>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FC5E40">
        <w:tc>
          <w:tcPr>
            <w:tcW w:w="1938" w:type="dxa"/>
          </w:tcPr>
          <w:p w14:paraId="22355C0F" w14:textId="77777777" w:rsidR="00D27C25" w:rsidRDefault="00D27C25" w:rsidP="00FC5E40">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FC5E40">
            <w:pPr>
              <w:spacing w:after="0"/>
              <w:rPr>
                <w:sz w:val="20"/>
                <w:szCs w:val="20"/>
                <w:lang w:eastAsia="ja-JP"/>
              </w:rPr>
            </w:pPr>
            <w:r>
              <w:rPr>
                <w:sz w:val="20"/>
                <w:szCs w:val="20"/>
                <w:lang w:eastAsia="ja-JP"/>
              </w:rPr>
              <w:t>No</w:t>
            </w:r>
          </w:p>
        </w:tc>
        <w:tc>
          <w:tcPr>
            <w:tcW w:w="6006" w:type="dxa"/>
          </w:tcPr>
          <w:p w14:paraId="0FCDF412" w14:textId="77777777" w:rsidR="00D27C25" w:rsidRDefault="00D27C25" w:rsidP="00FC5E40">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lastRenderedPageBreak/>
        <w:t>R1-2108316 FL summary #1 on other aspects of UE complexity reduction for RedCap Moderator (Intel Corporation)</w:t>
      </w:r>
    </w:p>
    <w:p w14:paraId="6EE6BF0D" w14:textId="253C45E4" w:rsidR="00252A94" w:rsidRPr="00252A94" w:rsidRDefault="008A4424"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A3E8" w14:textId="77777777" w:rsidR="008A4424" w:rsidRDefault="008A4424">
      <w:pPr>
        <w:spacing w:line="240" w:lineRule="auto"/>
      </w:pPr>
      <w:r>
        <w:separator/>
      </w:r>
    </w:p>
  </w:endnote>
  <w:endnote w:type="continuationSeparator" w:id="0">
    <w:p w14:paraId="706F2AD0" w14:textId="77777777" w:rsidR="008A4424" w:rsidRDefault="008A4424">
      <w:pPr>
        <w:spacing w:line="240" w:lineRule="auto"/>
      </w:pPr>
      <w:r>
        <w:continuationSeparator/>
      </w:r>
    </w:p>
  </w:endnote>
  <w:endnote w:type="continuationNotice" w:id="1">
    <w:p w14:paraId="35FEDFAD" w14:textId="77777777" w:rsidR="008A4424" w:rsidRDefault="008A4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35C" w14:textId="77777777" w:rsidR="003F781F" w:rsidRDefault="003F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A827" w14:textId="77777777" w:rsidR="003F781F" w:rsidRDefault="003F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3439" w14:textId="77777777" w:rsidR="003F781F" w:rsidRDefault="003F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9DE0" w14:textId="77777777" w:rsidR="008A4424" w:rsidRDefault="008A4424">
      <w:pPr>
        <w:spacing w:after="0" w:line="240" w:lineRule="auto"/>
      </w:pPr>
      <w:r>
        <w:separator/>
      </w:r>
    </w:p>
  </w:footnote>
  <w:footnote w:type="continuationSeparator" w:id="0">
    <w:p w14:paraId="2ABB475E" w14:textId="77777777" w:rsidR="008A4424" w:rsidRDefault="008A4424">
      <w:pPr>
        <w:spacing w:after="0" w:line="240" w:lineRule="auto"/>
      </w:pPr>
      <w:r>
        <w:continuationSeparator/>
      </w:r>
    </w:p>
  </w:footnote>
  <w:footnote w:type="continuationNotice" w:id="1">
    <w:p w14:paraId="3BAC3BF0" w14:textId="77777777" w:rsidR="008A4424" w:rsidRDefault="008A4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9540" w14:textId="77777777" w:rsidR="003F781F" w:rsidRDefault="003F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CA41" w14:textId="77777777" w:rsidR="003F781F" w:rsidRDefault="003F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192C" w14:textId="77777777" w:rsidR="003F781F" w:rsidRDefault="003F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8F8"/>
    <w:rsid w:val="00D249A8"/>
    <w:rsid w:val="00D25FF4"/>
    <w:rsid w:val="00D26C95"/>
    <w:rsid w:val="00D27C25"/>
    <w:rsid w:val="00D27CEB"/>
    <w:rsid w:val="00D3014A"/>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152"/>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8601</Words>
  <Characters>49030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57516</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12</cp:revision>
  <dcterms:created xsi:type="dcterms:W3CDTF">2021-08-21T16:53:00Z</dcterms:created>
  <dcterms:modified xsi:type="dcterms:W3CDTF">2021-08-21T18:40:00Z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