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109][</w:t>
      </w:r>
      <w:proofErr w:type="gramEnd"/>
      <w:r w:rsidR="00367CB9" w:rsidRPr="00367CB9">
        <w:rPr>
          <w:rFonts w:ascii="Times New Roman" w:hAnsi="Times New Roman" w:cs="Times New Roman"/>
          <w:bCs/>
          <w:sz w:val="24"/>
        </w:rPr>
        <w:t>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w:t>
      </w:r>
      <w:proofErr w:type="gramStart"/>
      <w:r>
        <w:t>109][</w:t>
      </w:r>
      <w:proofErr w:type="gramEnd"/>
      <w:r>
        <w:t xml:space="preserve">RedCap]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RedCap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w:t>
            </w:r>
            <w:proofErr w:type="gramStart"/>
            <w:r w:rsidRPr="04D3C105">
              <w:rPr>
                <w:sz w:val="20"/>
                <w:szCs w:val="20"/>
                <w:lang w:val="en-GB"/>
              </w:rPr>
              <w:t>e.g.</w:t>
            </w:r>
            <w:proofErr w:type="gramEnd"/>
            <w:r w:rsidRPr="04D3C105">
              <w:rPr>
                <w:sz w:val="20"/>
                <w:szCs w:val="20"/>
                <w:lang w:val="en-GB"/>
              </w:rPr>
              <w:t xml:space="preserve">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w:t>
            </w:r>
            <w:proofErr w:type="gramStart"/>
            <w:r>
              <w:rPr>
                <w:lang w:val="en-GB"/>
              </w:rPr>
              <w:t>new</w:t>
            </w:r>
            <w:proofErr w:type="gramEnd"/>
            <w:r>
              <w:rPr>
                <w:lang w:val="en-GB"/>
              </w:rPr>
              <w:t xml:space="preserve">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RedCap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w:t>
            </w:r>
            <w:proofErr w:type="gramStart"/>
            <w:r>
              <w:rPr>
                <w:i/>
                <w:lang w:eastAsia="zh-CN"/>
              </w:rPr>
              <w:t>, )</w:t>
            </w:r>
            <w:proofErr w:type="gramEnd"/>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 xml:space="preserve">The option is supported by 5 companies (Qualcomm, vivo, Sharp, Sequans, </w:t>
            </w:r>
            <w:proofErr w:type="gramStart"/>
            <w:r w:rsidRPr="00224977">
              <w:rPr>
                <w:lang w:eastAsia="ja-JP"/>
              </w:rPr>
              <w:t>LGE )</w:t>
            </w:r>
            <w:proofErr w:type="gramEnd"/>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RedCap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xml:space="preserve">, Lenovo, China Unicom, vivo, Sharp, China Telecom, </w:t>
            </w:r>
            <w:proofErr w:type="gramStart"/>
            <w:r w:rsidRPr="00DB5B83">
              <w:rPr>
                <w:sz w:val="20"/>
                <w:szCs w:val="20"/>
                <w:lang w:eastAsia="ja-JP"/>
              </w:rPr>
              <w:t>LGE )</w:t>
            </w:r>
            <w:proofErr w:type="gramEnd"/>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proofErr w:type="gram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roofErr w:type="gramEnd"/>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w:t>
            </w:r>
            <w:proofErr w:type="gramStart"/>
            <w:r>
              <w:t>this comments</w:t>
            </w:r>
            <w:proofErr w:type="gramEnd"/>
            <w:r>
              <w:t>,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w:t>
            </w:r>
            <w:proofErr w:type="gramStart"/>
            <w:r>
              <w:t>),  vivo</w:t>
            </w:r>
            <w:proofErr w:type="gramEnd"/>
            <w:r>
              <w:t xml:space="preserve">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w:t>
            </w:r>
            <w:proofErr w:type="gramStart"/>
            <w:r>
              <w:rPr>
                <w:sz w:val="20"/>
                <w:szCs w:val="20"/>
                <w:lang w:eastAsia="zh-CN"/>
              </w:rPr>
              <w:t>e.g.</w:t>
            </w:r>
            <w:proofErr w:type="gramEnd"/>
            <w:r>
              <w:rPr>
                <w:sz w:val="20"/>
                <w:szCs w:val="20"/>
                <w:lang w:eastAsia="zh-CN"/>
              </w:rPr>
              <w:t xml:space="preserve">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w:t>
            </w:r>
            <w:proofErr w:type="gramStart"/>
            <w:r>
              <w:rPr>
                <w:sz w:val="20"/>
                <w:szCs w:val="20"/>
              </w:rPr>
              <w:t>either</w:t>
            </w:r>
            <w:proofErr w:type="gramEnd"/>
            <w:r>
              <w:rPr>
                <w:sz w:val="20"/>
                <w:szCs w:val="20"/>
              </w:rPr>
              <w:t xml:space="preserve">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w:t>
            </w:r>
            <w:proofErr w:type="spellStart"/>
            <w:r w:rsidRPr="00091481">
              <w:rPr>
                <w:sz w:val="20"/>
                <w:szCs w:val="20"/>
                <w:lang w:eastAsia="zh-CN"/>
              </w:rPr>
              <w:t>Xiaodong</w:t>
            </w:r>
            <w:proofErr w:type="spellEnd"/>
            <w:r w:rsidRPr="00091481">
              <w:rPr>
                <w:sz w:val="20"/>
                <w:szCs w:val="20"/>
                <w:lang w:eastAsia="zh-CN"/>
              </w:rPr>
              <w:t xml:space="preserve">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w:t>
            </w:r>
            <w:proofErr w:type="gramStart"/>
            <w:r w:rsidRPr="00091481">
              <w:rPr>
                <w:sz w:val="20"/>
                <w:szCs w:val="20"/>
                <w:lang w:eastAsia="zh-CN"/>
              </w:rPr>
              <w:t>can  make</w:t>
            </w:r>
            <w:proofErr w:type="gramEnd"/>
            <w:r w:rsidRPr="00091481">
              <w:rPr>
                <w:sz w:val="20"/>
                <w:szCs w:val="20"/>
                <w:lang w:eastAsia="zh-CN"/>
              </w:rPr>
              <w:t xml:space="preserv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FC5E40">
        <w:tc>
          <w:tcPr>
            <w:tcW w:w="1938" w:type="dxa"/>
          </w:tcPr>
          <w:p w14:paraId="57A1FA17" w14:textId="77777777" w:rsidR="00D27C25" w:rsidRDefault="00D27C25" w:rsidP="00FC5E40">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FC5E40">
            <w:pPr>
              <w:rPr>
                <w:sz w:val="20"/>
                <w:szCs w:val="20"/>
              </w:rPr>
            </w:pPr>
            <w:r>
              <w:rPr>
                <w:sz w:val="20"/>
                <w:szCs w:val="20"/>
              </w:rPr>
              <w:t>Option 2.2</w:t>
            </w:r>
          </w:p>
        </w:tc>
        <w:tc>
          <w:tcPr>
            <w:tcW w:w="6006" w:type="dxa"/>
          </w:tcPr>
          <w:p w14:paraId="484BB034" w14:textId="77777777" w:rsidR="00D27C25" w:rsidRDefault="00D27C25" w:rsidP="00FC5E40">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lastRenderedPageBreak/>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non-RedCap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FC5E40">
        <w:tc>
          <w:tcPr>
            <w:tcW w:w="1938" w:type="dxa"/>
          </w:tcPr>
          <w:p w14:paraId="563EB5BA" w14:textId="77777777" w:rsidR="00D27C25" w:rsidRDefault="00D27C25" w:rsidP="00FC5E40">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FC5E40">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FC5E40">
            <w:pPr>
              <w:spacing w:after="0"/>
              <w:rPr>
                <w:sz w:val="20"/>
                <w:szCs w:val="20"/>
                <w:lang w:eastAsia="ja-JP"/>
              </w:rPr>
            </w:pPr>
            <w:r>
              <w:rPr>
                <w:sz w:val="20"/>
                <w:szCs w:val="20"/>
                <w:lang w:eastAsia="ja-JP"/>
              </w:rPr>
              <w:t xml:space="preserve">We assume that RedCap UE would not be limited to one mandatory value (as the RedCap </w:t>
            </w:r>
            <w:proofErr w:type="spellStart"/>
            <w:r>
              <w:rPr>
                <w:sz w:val="20"/>
                <w:szCs w:val="20"/>
                <w:lang w:eastAsia="ja-JP"/>
              </w:rPr>
              <w:t>usecases</w:t>
            </w:r>
            <w:proofErr w:type="spellEnd"/>
            <w:r>
              <w:rPr>
                <w:sz w:val="20"/>
                <w:szCs w:val="20"/>
                <w:lang w:eastAsia="ja-JP"/>
              </w:rPr>
              <w:t xml:space="preserve"> are diverse), and so there would be an optional capability </w:t>
            </w:r>
            <w:proofErr w:type="spellStart"/>
            <w:r>
              <w:rPr>
                <w:sz w:val="20"/>
                <w:szCs w:val="20"/>
                <w:lang w:eastAsia="ja-JP"/>
              </w:rPr>
              <w:t>signalled</w:t>
            </w:r>
            <w:proofErr w:type="spellEnd"/>
            <w:r>
              <w:rPr>
                <w:sz w:val="20"/>
                <w:szCs w:val="20"/>
                <w:lang w:eastAsia="ja-JP"/>
              </w:rPr>
              <w:t xml:space="preserve">. </w:t>
            </w:r>
            <w:proofErr w:type="gramStart"/>
            <w:r>
              <w:rPr>
                <w:sz w:val="20"/>
                <w:szCs w:val="20"/>
                <w:lang w:eastAsia="ja-JP"/>
              </w:rPr>
              <w:t>So</w:t>
            </w:r>
            <w:proofErr w:type="gramEnd"/>
            <w:r>
              <w:rPr>
                <w:sz w:val="20"/>
                <w:szCs w:val="20"/>
                <w:lang w:eastAsia="ja-JP"/>
              </w:rPr>
              <w:t xml:space="preserve">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w:t>
            </w:r>
            <w:proofErr w:type="gramStart"/>
            <w:r w:rsidR="005B1969">
              <w:rPr>
                <w:sz w:val="20"/>
                <w:szCs w:val="20"/>
                <w:lang w:eastAsia="ja-JP"/>
              </w:rPr>
              <w:t>i.e.</w:t>
            </w:r>
            <w:proofErr w:type="gramEnd"/>
            <w:r w:rsidR="005B1969">
              <w:rPr>
                <w:sz w:val="20"/>
                <w:szCs w:val="20"/>
                <w:lang w:eastAsia="ja-JP"/>
              </w:rPr>
              <w:t xml:space="preserv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FC5E40">
        <w:tc>
          <w:tcPr>
            <w:tcW w:w="1938" w:type="dxa"/>
          </w:tcPr>
          <w:p w14:paraId="41E0C63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FC5E40">
            <w:pPr>
              <w:spacing w:after="0"/>
              <w:rPr>
                <w:sz w:val="20"/>
                <w:szCs w:val="20"/>
                <w:lang w:eastAsia="ja-JP"/>
              </w:rPr>
            </w:pPr>
            <w:r>
              <w:rPr>
                <w:sz w:val="20"/>
                <w:szCs w:val="20"/>
                <w:lang w:eastAsia="ja-JP"/>
              </w:rPr>
              <w:t>Yes</w:t>
            </w:r>
          </w:p>
        </w:tc>
        <w:tc>
          <w:tcPr>
            <w:tcW w:w="6006" w:type="dxa"/>
          </w:tcPr>
          <w:p w14:paraId="19BE20D1" w14:textId="77777777" w:rsidR="00D27C25" w:rsidRDefault="00D27C25" w:rsidP="00FC5E40">
            <w:pPr>
              <w:spacing w:after="0"/>
              <w:rPr>
                <w:sz w:val="20"/>
                <w:szCs w:val="20"/>
                <w:lang w:eastAsia="ja-JP"/>
              </w:rPr>
            </w:pPr>
            <w:r>
              <w:rPr>
                <w:sz w:val="20"/>
                <w:szCs w:val="20"/>
                <w:lang w:eastAsia="ja-JP"/>
              </w:rPr>
              <w:t xml:space="preserve">We cannot generalize all </w:t>
            </w:r>
            <w:proofErr w:type="spellStart"/>
            <w:r>
              <w:rPr>
                <w:sz w:val="20"/>
                <w:szCs w:val="20"/>
                <w:lang w:eastAsia="ja-JP"/>
              </w:rPr>
              <w:t>redCap</w:t>
            </w:r>
            <w:proofErr w:type="spellEnd"/>
            <w:r>
              <w:rPr>
                <w:sz w:val="20"/>
                <w:szCs w:val="20"/>
                <w:lang w:eastAsia="ja-JP"/>
              </w:rPr>
              <w:t xml:space="preserve"> UEs,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RedCap UE (instead of mandatory with capability </w:t>
            </w:r>
            <w:proofErr w:type="spellStart"/>
            <w:r>
              <w:rPr>
                <w:b/>
                <w:bCs/>
                <w:sz w:val="20"/>
                <w:szCs w:val="20"/>
              </w:rPr>
              <w:t>signalling</w:t>
            </w:r>
            <w:proofErr w:type="spellEnd"/>
            <w:r>
              <w:rPr>
                <w:b/>
                <w:bCs/>
                <w:sz w:val="20"/>
                <w:szCs w:val="20"/>
              </w:rPr>
              <w:t xml:space="preserve">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FC5E40">
        <w:tc>
          <w:tcPr>
            <w:tcW w:w="1938" w:type="dxa"/>
          </w:tcPr>
          <w:p w14:paraId="1D5D31B0" w14:textId="77777777" w:rsidR="00D27C25" w:rsidRDefault="00D27C25" w:rsidP="00FC5E40">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FC5E40">
            <w:pPr>
              <w:spacing w:after="0"/>
              <w:rPr>
                <w:sz w:val="20"/>
                <w:szCs w:val="20"/>
                <w:lang w:eastAsia="zh-CN"/>
              </w:rPr>
            </w:pPr>
            <w:r>
              <w:rPr>
                <w:sz w:val="20"/>
                <w:szCs w:val="20"/>
                <w:lang w:eastAsia="zh-CN"/>
              </w:rPr>
              <w:t>Yes</w:t>
            </w:r>
          </w:p>
        </w:tc>
        <w:tc>
          <w:tcPr>
            <w:tcW w:w="6006" w:type="dxa"/>
          </w:tcPr>
          <w:p w14:paraId="3022AC8D" w14:textId="77777777" w:rsidR="00D27C25" w:rsidRDefault="00D27C25" w:rsidP="00FC5E40">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w:t>
            </w:r>
            <w:proofErr w:type="spellStart"/>
            <w:r>
              <w:rPr>
                <w:sz w:val="20"/>
                <w:szCs w:val="20"/>
                <w:lang w:eastAsia="ja-JP"/>
              </w:rPr>
              <w:t>gNB</w:t>
            </w:r>
            <w:proofErr w:type="spellEnd"/>
            <w:r>
              <w:rPr>
                <w:sz w:val="20"/>
                <w:szCs w:val="20"/>
                <w:lang w:eastAsia="ja-JP"/>
              </w:rPr>
              <w:t xml:space="preserve"> can have </w:t>
            </w:r>
            <w:proofErr w:type="spellStart"/>
            <w:r>
              <w:rPr>
                <w:sz w:val="20"/>
                <w:szCs w:val="20"/>
                <w:lang w:eastAsia="ja-JP"/>
              </w:rPr>
              <w:lastRenderedPageBreak/>
              <w:t>redCap</w:t>
            </w:r>
            <w:proofErr w:type="spellEnd"/>
            <w:r>
              <w:rPr>
                <w:sz w:val="20"/>
                <w:szCs w:val="20"/>
                <w:lang w:eastAsia="ja-JP"/>
              </w:rPr>
              <w:t xml:space="preserve"> extensions and the this can be found out through OAM as </w:t>
            </w:r>
            <w:proofErr w:type="gramStart"/>
            <w:r>
              <w:rPr>
                <w:sz w:val="20"/>
                <w:szCs w:val="20"/>
                <w:lang w:eastAsia="ja-JP"/>
              </w:rPr>
              <w:t>well  or</w:t>
            </w:r>
            <w:proofErr w:type="gramEnd"/>
            <w:r>
              <w:rPr>
                <w:sz w:val="20"/>
                <w:szCs w:val="20"/>
                <w:lang w:eastAsia="ja-JP"/>
              </w:rPr>
              <w:t xml:space="preserve"> if the parent </w:t>
            </w:r>
            <w:proofErr w:type="spellStart"/>
            <w:r>
              <w:rPr>
                <w:sz w:val="20"/>
                <w:szCs w:val="20"/>
                <w:lang w:eastAsia="ja-JP"/>
              </w:rPr>
              <w:t>gNB</w:t>
            </w:r>
            <w:proofErr w:type="spellEnd"/>
            <w:r>
              <w:rPr>
                <w:sz w:val="20"/>
                <w:szCs w:val="20"/>
                <w:lang w:eastAsia="ja-JP"/>
              </w:rPr>
              <w:t xml:space="preserve">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proofErr w:type="gramStart"/>
            <w:r>
              <w:rPr>
                <w:sz w:val="20"/>
                <w:szCs w:val="20"/>
                <w:lang w:eastAsia="zh-CN"/>
              </w:rPr>
              <w:t>But,</w:t>
            </w:r>
            <w:proofErr w:type="gramEnd"/>
            <w:r>
              <w:rPr>
                <w:sz w:val="20"/>
                <w:szCs w:val="20"/>
                <w:lang w:eastAsia="zh-CN"/>
              </w:rPr>
              <w:t xml:space="preserve">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RedCap UE</w:t>
            </w:r>
            <w:r>
              <w:rPr>
                <w:sz w:val="20"/>
                <w:szCs w:val="20"/>
                <w:lang w:eastAsia="zh-CN"/>
              </w:rPr>
              <w:t xml:space="preserve"> is ok.</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RedCap UEs, </w:t>
            </w:r>
            <w:proofErr w:type="gramStart"/>
            <w:r>
              <w:rPr>
                <w:b/>
                <w:bCs/>
                <w:sz w:val="20"/>
                <w:szCs w:val="20"/>
              </w:rPr>
              <w:t>e.g.</w:t>
            </w:r>
            <w:proofErr w:type="gramEnd"/>
            <w:r>
              <w:rPr>
                <w:b/>
                <w:bCs/>
                <w:sz w:val="20"/>
                <w:szCs w:val="20"/>
              </w:rPr>
              <w:t xml:space="preserve">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 xml:space="preserve">However, we are not sure the current RAN4 requirement (for non-RedCap UE) can be applicable to RedCap UEs or not?  </w:t>
            </w:r>
            <w:proofErr w:type="gramStart"/>
            <w:r>
              <w:rPr>
                <w:lang w:eastAsia="ja-JP"/>
              </w:rPr>
              <w:t>E.g.</w:t>
            </w:r>
            <w:proofErr w:type="gramEnd"/>
            <w:r>
              <w:rPr>
                <w:lang w:eastAsia="ja-JP"/>
              </w:rPr>
              <w:t xml:space="preserve">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proofErr w:type="gramStart"/>
            <w:r w:rsidR="003008CC">
              <w:rPr>
                <w:sz w:val="20"/>
                <w:szCs w:val="20"/>
                <w:lang w:eastAsia="zh-CN"/>
              </w:rPr>
              <w:t>:</w:t>
            </w:r>
            <w:r w:rsidR="003008CC" w:rsidRPr="00595290">
              <w:rPr>
                <w:sz w:val="20"/>
                <w:szCs w:val="20"/>
                <w:lang w:eastAsia="zh-CN"/>
              </w:rPr>
              <w:t>”RAN</w:t>
            </w:r>
            <w:proofErr w:type="gramEnd"/>
            <w:r w:rsidR="003008CC" w:rsidRPr="00595290">
              <w:rPr>
                <w:sz w:val="20"/>
                <w:szCs w:val="20"/>
                <w:lang w:eastAsia="zh-CN"/>
              </w:rPr>
              <w:t>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lastRenderedPageBreak/>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lastRenderedPageBreak/>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FC5E40">
        <w:tc>
          <w:tcPr>
            <w:tcW w:w="1938" w:type="dxa"/>
          </w:tcPr>
          <w:p w14:paraId="7F2BF87B" w14:textId="77777777" w:rsidR="00D27C25" w:rsidRDefault="00D27C25" w:rsidP="00FC5E40">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FC5E40">
            <w:pPr>
              <w:spacing w:after="0"/>
              <w:rPr>
                <w:sz w:val="20"/>
                <w:szCs w:val="20"/>
                <w:lang w:eastAsia="zh-CN"/>
              </w:rPr>
            </w:pPr>
            <w:r>
              <w:rPr>
                <w:sz w:val="20"/>
                <w:szCs w:val="20"/>
                <w:lang w:eastAsia="zh-CN"/>
              </w:rPr>
              <w:t>Yes</w:t>
            </w:r>
          </w:p>
        </w:tc>
        <w:tc>
          <w:tcPr>
            <w:tcW w:w="6006" w:type="dxa"/>
          </w:tcPr>
          <w:p w14:paraId="7543FE63" w14:textId="77777777" w:rsidR="00D27C25" w:rsidRDefault="00D27C25" w:rsidP="00FC5E40">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xml:space="preserve">,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FC5E40">
        <w:tc>
          <w:tcPr>
            <w:tcW w:w="1938" w:type="dxa"/>
          </w:tcPr>
          <w:p w14:paraId="3D562188" w14:textId="77777777" w:rsidR="00D27C25" w:rsidRDefault="00D27C25" w:rsidP="00FC5E40">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FC5E40">
            <w:pPr>
              <w:spacing w:after="0"/>
              <w:rPr>
                <w:sz w:val="20"/>
                <w:szCs w:val="20"/>
                <w:lang w:eastAsia="ja-JP"/>
              </w:rPr>
            </w:pPr>
            <w:r>
              <w:rPr>
                <w:sz w:val="20"/>
                <w:szCs w:val="20"/>
                <w:lang w:eastAsia="ja-JP"/>
              </w:rPr>
              <w:t>Yes</w:t>
            </w:r>
          </w:p>
        </w:tc>
        <w:tc>
          <w:tcPr>
            <w:tcW w:w="6006" w:type="dxa"/>
          </w:tcPr>
          <w:p w14:paraId="40247A5F" w14:textId="77777777" w:rsidR="00D27C25" w:rsidRDefault="00D27C25" w:rsidP="00FC5E40">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RedCap UEs, then these RedCap </w:t>
            </w:r>
            <w:proofErr w:type="spellStart"/>
            <w:r>
              <w:rPr>
                <w:sz w:val="20"/>
                <w:szCs w:val="20"/>
                <w:lang w:eastAsia="zh-CN"/>
              </w:rPr>
              <w:t>Ues</w:t>
            </w:r>
            <w:proofErr w:type="spellEnd"/>
            <w:r>
              <w:rPr>
                <w:sz w:val="20"/>
                <w:szCs w:val="20"/>
                <w:lang w:eastAsia="zh-CN"/>
              </w:rPr>
              <w:t xml:space="preserve">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w:t>
            </w:r>
            <w:proofErr w:type="gramStart"/>
            <w:r>
              <w:rPr>
                <w:sz w:val="20"/>
                <w:szCs w:val="20"/>
                <w:lang w:eastAsia="ja-JP"/>
              </w:rPr>
              <w:t>point</w:t>
            </w:r>
            <w:proofErr w:type="gramEnd"/>
            <w:r>
              <w:rPr>
                <w:sz w:val="20"/>
                <w:szCs w:val="20"/>
                <w:lang w:eastAsia="ja-JP"/>
              </w:rPr>
              <w:t xml:space="preserve">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FC5E40">
        <w:tc>
          <w:tcPr>
            <w:tcW w:w="1938" w:type="dxa"/>
          </w:tcPr>
          <w:p w14:paraId="36EAB6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FC5E40">
            <w:pPr>
              <w:spacing w:after="0"/>
              <w:rPr>
                <w:sz w:val="20"/>
                <w:szCs w:val="20"/>
                <w:lang w:eastAsia="ja-JP"/>
              </w:rPr>
            </w:pPr>
            <w:r>
              <w:rPr>
                <w:sz w:val="20"/>
                <w:szCs w:val="20"/>
                <w:lang w:eastAsia="ja-JP"/>
              </w:rPr>
              <w:t>Yes</w:t>
            </w:r>
          </w:p>
        </w:tc>
        <w:tc>
          <w:tcPr>
            <w:tcW w:w="6006" w:type="dxa"/>
          </w:tcPr>
          <w:p w14:paraId="53C50D68" w14:textId="77777777" w:rsidR="00D27C25" w:rsidRDefault="00D27C25" w:rsidP="00FC5E40">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lastRenderedPageBreak/>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RedCap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w:t>
            </w:r>
            <w:proofErr w:type="gramStart"/>
            <w:r>
              <w:rPr>
                <w:sz w:val="20"/>
                <w:szCs w:val="20"/>
                <w:lang w:val="en-GB"/>
              </w:rPr>
              <w:t>i.e.</w:t>
            </w:r>
            <w:proofErr w:type="gramEnd"/>
            <w:r>
              <w:rPr>
                <w:sz w:val="20"/>
                <w:szCs w:val="20"/>
                <w:lang w:val="en-GB"/>
              </w:rPr>
              <w:t xml:space="preserve"> </w:t>
            </w:r>
            <w:r w:rsidRPr="00C4677D">
              <w:rPr>
                <w:sz w:val="20"/>
                <w:szCs w:val="20"/>
                <w:lang w:val="en-GB"/>
              </w:rPr>
              <w:t>use RedCap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RedCap UEs, then these RedCap </w:t>
            </w:r>
            <w:proofErr w:type="spellStart"/>
            <w:r>
              <w:rPr>
                <w:sz w:val="20"/>
                <w:szCs w:val="20"/>
                <w:lang w:eastAsia="zh-CN"/>
              </w:rPr>
              <w:t>Ues</w:t>
            </w:r>
            <w:proofErr w:type="spellEnd"/>
            <w:r>
              <w:rPr>
                <w:sz w:val="20"/>
                <w:szCs w:val="20"/>
                <w:lang w:eastAsia="zh-CN"/>
              </w:rPr>
              <w:t xml:space="preserve">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FC5E40">
        <w:tc>
          <w:tcPr>
            <w:tcW w:w="1938" w:type="dxa"/>
          </w:tcPr>
          <w:p w14:paraId="39E48ABF" w14:textId="77777777" w:rsidR="00D27C25" w:rsidRDefault="00D27C25" w:rsidP="00FC5E40">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FC5E40">
            <w:pPr>
              <w:spacing w:after="0"/>
              <w:rPr>
                <w:sz w:val="20"/>
                <w:szCs w:val="20"/>
                <w:lang w:eastAsia="ja-JP"/>
              </w:rPr>
            </w:pPr>
            <w:r>
              <w:rPr>
                <w:sz w:val="20"/>
                <w:szCs w:val="20"/>
                <w:lang w:eastAsia="ja-JP"/>
              </w:rPr>
              <w:t>Yes</w:t>
            </w:r>
          </w:p>
        </w:tc>
        <w:tc>
          <w:tcPr>
            <w:tcW w:w="6006" w:type="dxa"/>
          </w:tcPr>
          <w:p w14:paraId="4457FE49" w14:textId="77777777" w:rsidR="00D27C25" w:rsidRDefault="00D27C25" w:rsidP="00FC5E40">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lastRenderedPageBreak/>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w:t>
            </w:r>
            <w:proofErr w:type="gramStart"/>
            <w:r w:rsidRPr="008A79AD">
              <w:rPr>
                <w:color w:val="000000" w:themeColor="text1"/>
              </w:rPr>
              <w:t>LGE  )</w:t>
            </w:r>
            <w:proofErr w:type="gramEnd"/>
            <w:r w:rsidRPr="008A79AD">
              <w:rPr>
                <w:color w:val="000000" w:themeColor="text1"/>
              </w:rPr>
              <w:t xml:space="preserve">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RedCap </w:t>
            </w:r>
            <w:proofErr w:type="gramStart"/>
            <w:r w:rsidRPr="008A79AD">
              <w:t>UE</w:t>
            </w:r>
            <w:r>
              <w:t xml:space="preserve"> </w:t>
            </w:r>
            <w:r w:rsidRPr="008A79AD">
              <w:t>;</w:t>
            </w:r>
            <w:proofErr w:type="gramEnd"/>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lastRenderedPageBreak/>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lastRenderedPageBreak/>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lastRenderedPageBreak/>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lastRenderedPageBreak/>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FC5E40">
        <w:tc>
          <w:tcPr>
            <w:tcW w:w="1938" w:type="dxa"/>
          </w:tcPr>
          <w:p w14:paraId="6C2F58C9" w14:textId="77777777" w:rsidR="00D27C25" w:rsidRDefault="00D27C25" w:rsidP="00FC5E40">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FC5E40">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FC5E40">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 xml:space="preserve">Summary on the Phase 2-Discussion point 3.2-1: need to introduce capability </w:t>
            </w:r>
            <w:proofErr w:type="spellStart"/>
            <w:r>
              <w:rPr>
                <w:b/>
                <w:bCs/>
                <w:sz w:val="20"/>
                <w:szCs w:val="20"/>
              </w:rPr>
              <w:t>signalling</w:t>
            </w:r>
            <w:proofErr w:type="spellEnd"/>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w:t>
            </w:r>
            <w:proofErr w:type="gramStart"/>
            <w:r>
              <w:rPr>
                <w:sz w:val="20"/>
                <w:szCs w:val="20"/>
              </w:rPr>
              <w:t>i.e.</w:t>
            </w:r>
            <w:proofErr w:type="gramEnd"/>
            <w:r>
              <w:rPr>
                <w:sz w:val="20"/>
                <w:szCs w:val="20"/>
              </w:rPr>
              <w:t xml:space="preserve"> not to introduce </w:t>
            </w:r>
            <w:r w:rsidRPr="00DC61F5">
              <w:rPr>
                <w:sz w:val="20"/>
                <w:szCs w:val="20"/>
              </w:rPr>
              <w:t xml:space="preserve">capability </w:t>
            </w:r>
            <w:proofErr w:type="spellStart"/>
            <w:r w:rsidRPr="00DC61F5">
              <w:rPr>
                <w:sz w:val="20"/>
                <w:szCs w:val="20"/>
              </w:rPr>
              <w:t>signalling</w:t>
            </w:r>
            <w:proofErr w:type="spellEnd"/>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w:t>
            </w:r>
            <w:proofErr w:type="gramStart"/>
            <w:r w:rsidRPr="008A79AD">
              <w:rPr>
                <w:rFonts w:eastAsiaTheme="minorEastAsia"/>
                <w:lang w:eastAsia="zh-CN"/>
              </w:rPr>
              <w:t xml:space="preserve">and </w:t>
            </w:r>
            <w:r>
              <w:rPr>
                <w:rFonts w:eastAsiaTheme="minorEastAsia"/>
                <w:lang w:eastAsia="zh-CN"/>
              </w:rPr>
              <w:t>]</w:t>
            </w:r>
            <w:proofErr w:type="gramEnd"/>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RedCap UE since the number of Rx branches for RedCap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lastRenderedPageBreak/>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FC5E40">
        <w:tc>
          <w:tcPr>
            <w:tcW w:w="1938" w:type="dxa"/>
          </w:tcPr>
          <w:p w14:paraId="0EF8DBAA" w14:textId="77777777" w:rsidR="00D27C25" w:rsidRDefault="00D27C25" w:rsidP="00FC5E40">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FC5E40">
            <w:pPr>
              <w:spacing w:after="0"/>
              <w:rPr>
                <w:sz w:val="20"/>
                <w:szCs w:val="20"/>
                <w:lang w:eastAsia="ja-JP"/>
              </w:rPr>
            </w:pPr>
            <w:r>
              <w:rPr>
                <w:sz w:val="20"/>
                <w:szCs w:val="20"/>
                <w:lang w:eastAsia="ja-JP"/>
              </w:rPr>
              <w:t>Yes</w:t>
            </w:r>
          </w:p>
        </w:tc>
        <w:tc>
          <w:tcPr>
            <w:tcW w:w="6006" w:type="dxa"/>
          </w:tcPr>
          <w:p w14:paraId="051F1FAB" w14:textId="77777777" w:rsidR="00D27C25" w:rsidRDefault="00D27C25" w:rsidP="00FC5E40">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w:t>
            </w:r>
            <w:proofErr w:type="gramStart"/>
            <w:r w:rsidRPr="008A79AD">
              <w:rPr>
                <w:rFonts w:ascii="Arial" w:eastAsia="Times New Roman" w:hAnsi="Arial"/>
                <w:color w:val="FF0000"/>
                <w:sz w:val="18"/>
                <w:lang w:val="en-GB" w:eastAsia="ja-JP"/>
              </w:rPr>
              <w:t xml:space="preserve">supported.  </w:t>
            </w:r>
            <w:r w:rsidRPr="008A79AD">
              <w:t>”</w:t>
            </w:r>
            <w:proofErr w:type="gramEnd"/>
            <w:r w:rsidRPr="008A79AD">
              <w:t xml:space="preserve">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lastRenderedPageBreak/>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For 2 Rx RedCap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lastRenderedPageBreak/>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lastRenderedPageBreak/>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FC5E40">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FC5E40">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FC5E40">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RedCap. Otherwise, it is unclear how network should handle them when RedCap UEs indicate the support of </w:t>
            </w:r>
            <w:proofErr w:type="gramStart"/>
            <w:r>
              <w:rPr>
                <w:sz w:val="20"/>
                <w:szCs w:val="20"/>
                <w:lang w:eastAsia="ja-JP"/>
              </w:rPr>
              <w:t>e.g.</w:t>
            </w:r>
            <w:proofErr w:type="gramEnd"/>
            <w:r>
              <w:rPr>
                <w:sz w:val="20"/>
                <w:szCs w:val="20"/>
                <w:lang w:eastAsia="ja-JP"/>
              </w:rPr>
              <w:t xml:space="preserve">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FC5E40">
        <w:tc>
          <w:tcPr>
            <w:tcW w:w="1938" w:type="dxa"/>
          </w:tcPr>
          <w:p w14:paraId="338D55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FC5E40">
            <w:pPr>
              <w:spacing w:after="0"/>
              <w:rPr>
                <w:sz w:val="20"/>
                <w:szCs w:val="20"/>
                <w:lang w:eastAsia="ja-JP"/>
              </w:rPr>
            </w:pPr>
            <w:r>
              <w:rPr>
                <w:sz w:val="20"/>
                <w:szCs w:val="20"/>
                <w:lang w:eastAsia="ja-JP"/>
              </w:rPr>
              <w:t xml:space="preserve">We are ok to send an LS capturing RAN2 agreements and asking if </w:t>
            </w:r>
            <w:r>
              <w:rPr>
                <w:sz w:val="20"/>
                <w:szCs w:val="20"/>
                <w:lang w:eastAsia="ja-JP"/>
              </w:rPr>
              <w:lastRenderedPageBreak/>
              <w:t>they see issues.</w:t>
            </w:r>
          </w:p>
        </w:tc>
        <w:tc>
          <w:tcPr>
            <w:tcW w:w="6006" w:type="dxa"/>
          </w:tcPr>
          <w:p w14:paraId="5ECB906F" w14:textId="77777777" w:rsidR="00D27C25" w:rsidRDefault="00D27C25" w:rsidP="00FC5E40">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w:t>
            </w:r>
            <w:proofErr w:type="gramStart"/>
            <w:r w:rsidRPr="00336DD7">
              <w:rPr>
                <w:b/>
                <w:bCs/>
                <w:u w:val="single"/>
                <w:lang w:val="en-GB"/>
              </w:rPr>
              <w:t>i.e.</w:t>
            </w:r>
            <w:proofErr w:type="gramEnd"/>
            <w:r w:rsidRPr="00336DD7">
              <w:rPr>
                <w:b/>
                <w:bCs/>
                <w:u w:val="single"/>
                <w:lang w:val="en-GB"/>
              </w:rPr>
              <w:t xml:space="preserv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w:t>
            </w:r>
            <w:proofErr w:type="gramStart"/>
            <w:r>
              <w:rPr>
                <w:lang w:val="en-GB"/>
              </w:rPr>
              <w:t>UE..</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lastRenderedPageBreak/>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w:t>
            </w:r>
            <w:proofErr w:type="gramStart"/>
            <w:r w:rsidRPr="009E6F75">
              <w:rPr>
                <w:i/>
                <w:iCs/>
                <w:lang w:val="en-GB"/>
              </w:rPr>
              <w:t>i.e.</w:t>
            </w:r>
            <w:proofErr w:type="gramEnd"/>
            <w:r w:rsidRPr="009E6F75">
              <w:rPr>
                <w:i/>
                <w:iCs/>
                <w:lang w:val="en-GB"/>
              </w:rPr>
              <w:t xml:space="preserv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proofErr w:type="gramStart"/>
            <w:r w:rsidRPr="009E6F75">
              <w:rPr>
                <w:i/>
                <w:iCs/>
                <w:lang w:val="en-GB"/>
              </w:rPr>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w:t>
                  </w:r>
                  <w:r w:rsidRPr="007E1431">
                    <w:rPr>
                      <w:sz w:val="20"/>
                      <w:szCs w:val="20"/>
                      <w:lang w:eastAsia="zh-CN"/>
                    </w:rPr>
                    <w:lastRenderedPageBreak/>
                    <w:t xml:space="preserve">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lastRenderedPageBreak/>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w:t>
            </w:r>
            <w:proofErr w:type="gramStart"/>
            <w:r>
              <w:rPr>
                <w:sz w:val="20"/>
                <w:szCs w:val="20"/>
                <w:lang w:eastAsia="ja-JP"/>
              </w:rPr>
              <w:t>subscription based</w:t>
            </w:r>
            <w:proofErr w:type="gramEnd"/>
            <w:r>
              <w:rPr>
                <w:sz w:val="20"/>
                <w:szCs w:val="20"/>
                <w:lang w:eastAsia="ja-JP"/>
              </w:rPr>
              <w:t xml:space="preserve">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t>So</w:t>
            </w:r>
            <w:proofErr w:type="gramEnd"/>
            <w:r>
              <w:rPr>
                <w:sz w:val="20"/>
                <w:szCs w:val="20"/>
                <w:lang w:eastAsia="ja-JP"/>
              </w:rPr>
              <w:t xml:space="preserve">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FC5E40">
        <w:tc>
          <w:tcPr>
            <w:tcW w:w="1938" w:type="dxa"/>
          </w:tcPr>
          <w:p w14:paraId="22355C0F" w14:textId="77777777" w:rsidR="00D27C25" w:rsidRDefault="00D27C25" w:rsidP="00FC5E40">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FC5E40">
            <w:pPr>
              <w:spacing w:after="0"/>
              <w:rPr>
                <w:sz w:val="20"/>
                <w:szCs w:val="20"/>
                <w:lang w:eastAsia="ja-JP"/>
              </w:rPr>
            </w:pPr>
            <w:r>
              <w:rPr>
                <w:sz w:val="20"/>
                <w:szCs w:val="20"/>
                <w:lang w:eastAsia="ja-JP"/>
              </w:rPr>
              <w:t>No</w:t>
            </w:r>
          </w:p>
        </w:tc>
        <w:tc>
          <w:tcPr>
            <w:tcW w:w="6006" w:type="dxa"/>
          </w:tcPr>
          <w:p w14:paraId="0FCDF412" w14:textId="77777777" w:rsidR="00D27C25" w:rsidRDefault="00D27C25" w:rsidP="00FC5E40">
            <w:pPr>
              <w:spacing w:after="0"/>
              <w:rPr>
                <w:sz w:val="20"/>
                <w:szCs w:val="20"/>
                <w:lang w:eastAsia="ja-JP"/>
              </w:rPr>
            </w:pPr>
            <w:r>
              <w:rPr>
                <w:sz w:val="20"/>
                <w:szCs w:val="20"/>
                <w:lang w:eastAsia="ja-JP"/>
              </w:rPr>
              <w:t xml:space="preserve">We do not see the necessity. SA2/CT1 is already handling the RedCap topics </w:t>
            </w:r>
            <w:proofErr w:type="gramStart"/>
            <w:r>
              <w:rPr>
                <w:sz w:val="20"/>
                <w:szCs w:val="20"/>
                <w:lang w:eastAsia="ja-JP"/>
              </w:rPr>
              <w:t xml:space="preserve">( </w:t>
            </w:r>
            <w:proofErr w:type="spellStart"/>
            <w:r>
              <w:rPr>
                <w:sz w:val="20"/>
                <w:szCs w:val="20"/>
                <w:lang w:eastAsia="ja-JP"/>
              </w:rPr>
              <w:t>eDRX</w:t>
            </w:r>
            <w:proofErr w:type="spellEnd"/>
            <w:proofErr w:type="gramEnd"/>
            <w:r>
              <w:rPr>
                <w:sz w:val="20"/>
                <w:szCs w:val="20"/>
                <w:lang w:eastAsia="ja-JP"/>
              </w:rPr>
              <w:t xml:space="preserve">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proofErr w:type="spellStart"/>
            <w:r>
              <w:rPr>
                <w:sz w:val="20"/>
                <w:szCs w:val="20"/>
                <w:lang w:eastAsia="ja-JP"/>
              </w:rPr>
              <w:t>Linhai</w:t>
            </w:r>
            <w:proofErr w:type="spellEnd"/>
            <w:r>
              <w:rPr>
                <w:sz w:val="20"/>
                <w:szCs w:val="20"/>
                <w:lang w:eastAsia="ja-JP"/>
              </w:rPr>
              <w:t xml:space="preserve">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R2-2105234</w:t>
      </w:r>
      <w:r>
        <w:rPr>
          <w:rFonts w:ascii="Times New Roman" w:hAnsi="Times New Roman" w:cs="Times New Roman"/>
          <w:sz w:val="20"/>
        </w:rPr>
        <w:tab/>
        <w:t xml:space="preserve">Definition of RedCap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gramEnd"/>
      <w:r w:rsidRPr="00457C4A">
        <w:rPr>
          <w:rFonts w:ascii="Times New Roman" w:hAnsi="Times New Roman" w:cs="Times New Roman"/>
          <w:sz w:val="20"/>
        </w:rPr>
        <w:t>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E81F88"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710F" w14:textId="77777777" w:rsidR="00E81F88" w:rsidRDefault="00E81F88">
      <w:pPr>
        <w:spacing w:line="240" w:lineRule="auto"/>
      </w:pPr>
      <w:r>
        <w:separator/>
      </w:r>
    </w:p>
  </w:endnote>
  <w:endnote w:type="continuationSeparator" w:id="0">
    <w:p w14:paraId="0184FAE6" w14:textId="77777777" w:rsidR="00E81F88" w:rsidRDefault="00E81F88">
      <w:pPr>
        <w:spacing w:line="240" w:lineRule="auto"/>
      </w:pPr>
      <w:r>
        <w:continuationSeparator/>
      </w:r>
    </w:p>
  </w:endnote>
  <w:endnote w:type="continuationNotice" w:id="1">
    <w:p w14:paraId="608CC211" w14:textId="77777777" w:rsidR="00E81F88" w:rsidRDefault="00E81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w:altName w:val="﷽﷽﷽﷽﷽﷽谩耢ĝ"/>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35C" w14:textId="77777777" w:rsidR="003F781F" w:rsidRDefault="003F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827" w14:textId="77777777" w:rsidR="003F781F" w:rsidRDefault="003F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3439" w14:textId="77777777" w:rsidR="003F781F" w:rsidRDefault="003F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4BD2" w14:textId="77777777" w:rsidR="00E81F88" w:rsidRDefault="00E81F88">
      <w:pPr>
        <w:spacing w:after="0" w:line="240" w:lineRule="auto"/>
      </w:pPr>
      <w:r>
        <w:separator/>
      </w:r>
    </w:p>
  </w:footnote>
  <w:footnote w:type="continuationSeparator" w:id="0">
    <w:p w14:paraId="22DA1063" w14:textId="77777777" w:rsidR="00E81F88" w:rsidRDefault="00E81F88">
      <w:pPr>
        <w:spacing w:after="0" w:line="240" w:lineRule="auto"/>
      </w:pPr>
      <w:r>
        <w:continuationSeparator/>
      </w:r>
    </w:p>
  </w:footnote>
  <w:footnote w:type="continuationNotice" w:id="1">
    <w:p w14:paraId="58ED8E05" w14:textId="77777777" w:rsidR="00E81F88" w:rsidRDefault="00E81F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9540" w14:textId="77777777" w:rsidR="003F781F" w:rsidRDefault="003F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CA41" w14:textId="77777777" w:rsidR="003F781F" w:rsidRDefault="003F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92C" w14:textId="77777777" w:rsidR="003F781F" w:rsidRDefault="003F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252"/>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B93"/>
    <w:rsid w:val="00093F5E"/>
    <w:rsid w:val="00094086"/>
    <w:rsid w:val="00094EDF"/>
    <w:rsid w:val="00094F69"/>
    <w:rsid w:val="000958B8"/>
    <w:rsid w:val="00095A8F"/>
    <w:rsid w:val="00096006"/>
    <w:rsid w:val="000960B0"/>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58B6"/>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55C3"/>
    <w:rsid w:val="005455D0"/>
    <w:rsid w:val="00545DEB"/>
    <w:rsid w:val="00546864"/>
    <w:rsid w:val="0054794E"/>
    <w:rsid w:val="00547F66"/>
    <w:rsid w:val="005509F4"/>
    <w:rsid w:val="00550C24"/>
    <w:rsid w:val="0055315C"/>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700A"/>
    <w:rsid w:val="00810DEF"/>
    <w:rsid w:val="00810FEA"/>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2F5"/>
    <w:rsid w:val="0091476D"/>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115"/>
    <w:rsid w:val="00CE21BE"/>
    <w:rsid w:val="00CE27A5"/>
    <w:rsid w:val="00CE3EFE"/>
    <w:rsid w:val="00CE4615"/>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25"/>
    <w:rsid w:val="00D27CEB"/>
    <w:rsid w:val="00D3014A"/>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152"/>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8238</Words>
  <Characters>46960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55088</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Apple - Naveen Palle</cp:lastModifiedBy>
  <cp:revision>3</cp:revision>
  <dcterms:created xsi:type="dcterms:W3CDTF">2021-08-21T14:24:00Z</dcterms:created>
  <dcterms:modified xsi:type="dcterms:W3CDTF">2021-08-21T14:49:00Z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ies>
</file>