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5"/>
        <w:tabs>
          <w:tab w:val="right" w:pos="9639"/>
        </w:tabs>
        <w:spacing w:after="0"/>
        <w:rPr>
          <w:rFonts w:hint="default" w:ascii="Arial" w:hAnsi="Arial" w:eastAsia="宋体" w:cs="Times New Roman"/>
          <w:b/>
          <w:strike w:val="0"/>
          <w:dstrike w:val="0"/>
          <w:kern w:val="2"/>
          <w:sz w:val="24"/>
          <w:szCs w:val="21"/>
          <w:highlight w:val="none"/>
          <w:lang w:val="en-US" w:eastAsia="zh-CN" w:bidi="ar-SA"/>
        </w:rPr>
      </w:pPr>
      <w:bookmarkStart w:id="0" w:name="_Toc18403966"/>
      <w:bookmarkStart w:id="1" w:name="_Toc18404533"/>
      <w:bookmarkStart w:id="2" w:name="_Toc18413600"/>
      <w:bookmarkStart w:id="14" w:name="_GoBack"/>
      <w:bookmarkEnd w:id="14"/>
      <w:r>
        <w:rPr>
          <w:rFonts w:ascii="Times New Roman" w:hAnsi="Times New Roman"/>
          <w:b/>
          <w:strike w:val="0"/>
          <w:dstrike w:val="0"/>
          <w:sz w:val="24"/>
          <w:highlight w:val="none"/>
        </w:rPr>
        <w:t>3GPP TSG-RAN WG2 Meeting #</w:t>
      </w:r>
      <w:r>
        <w:rPr>
          <w:rFonts w:ascii="Times New Roman" w:hAnsi="Times New Roman"/>
          <w:b/>
          <w:strike w:val="0"/>
          <w:dstrike w:val="0"/>
          <w:sz w:val="24"/>
          <w:highlight w:val="none"/>
          <w:lang w:eastAsia="zh-CN"/>
        </w:rPr>
        <w:t>1</w:t>
      </w:r>
      <w:r>
        <w:rPr>
          <w:rFonts w:hint="eastAsia" w:ascii="Times New Roman" w:hAnsi="Times New Roman"/>
          <w:b/>
          <w:strike w:val="0"/>
          <w:dstrike w:val="0"/>
          <w:sz w:val="24"/>
          <w:highlight w:val="none"/>
          <w:lang w:val="en-US" w:eastAsia="zh-CN"/>
        </w:rPr>
        <w:t>1</w:t>
      </w:r>
      <w:r>
        <w:rPr>
          <w:rFonts w:hint="default" w:ascii="Times New Roman" w:hAnsi="Times New Roman"/>
          <w:b/>
          <w:strike w:val="0"/>
          <w:dstrike w:val="0"/>
          <w:sz w:val="24"/>
          <w:highlight w:val="none"/>
          <w:lang w:val="en-US" w:eastAsia="zh-CN"/>
        </w:rPr>
        <w:t>5</w:t>
      </w:r>
      <w:r>
        <w:rPr>
          <w:rFonts w:hint="eastAsia" w:ascii="Times New Roman" w:hAnsi="Times New Roman"/>
          <w:b/>
          <w:strike w:val="0"/>
          <w:dstrike w:val="0"/>
          <w:sz w:val="24"/>
          <w:highlight w:val="none"/>
          <w:lang w:val="en-US" w:eastAsia="zh-CN"/>
        </w:rPr>
        <w:t>-e</w:t>
      </w:r>
      <w:r>
        <w:rPr>
          <w:rFonts w:ascii="Times New Roman" w:hAnsi="Times New Roman"/>
          <w:b/>
          <w:i/>
          <w:strike w:val="0"/>
          <w:dstrike w:val="0"/>
          <w:sz w:val="24"/>
          <w:highlight w:val="none"/>
        </w:rPr>
        <w:t xml:space="preserve"> </w:t>
      </w:r>
      <w:r>
        <w:rPr>
          <w:rFonts w:ascii="Times New Roman" w:hAnsi="Times New Roman"/>
          <w:b/>
          <w:i/>
          <w:strike w:val="0"/>
          <w:dstrike w:val="0"/>
          <w:sz w:val="24"/>
          <w:highlight w:val="none"/>
          <w:lang w:val="en-US" w:eastAsia="zh-CN"/>
        </w:rPr>
        <w:t xml:space="preserve">                       </w:t>
      </w:r>
      <w:r>
        <w:rPr>
          <w:rFonts w:hint="eastAsia" w:ascii="Arial" w:hAnsi="Arial" w:eastAsia="宋体" w:cs="Times New Roman"/>
          <w:b/>
          <w:strike w:val="0"/>
          <w:dstrike w:val="0"/>
          <w:kern w:val="2"/>
          <w:sz w:val="24"/>
          <w:szCs w:val="21"/>
          <w:highlight w:val="none"/>
          <w:lang w:val="en-US" w:eastAsia="zh-CN" w:bidi="ar-SA"/>
        </w:rPr>
        <w:t xml:space="preserve"> </w:t>
      </w:r>
      <w:r>
        <w:rPr>
          <w:rFonts w:hint="eastAsia" w:ascii="Arial" w:hAnsi="Arial" w:eastAsia="宋体" w:cs="Times New Roman"/>
          <w:b/>
          <w:strike w:val="0"/>
          <w:dstrike w:val="0"/>
          <w:kern w:val="2"/>
          <w:sz w:val="24"/>
          <w:szCs w:val="21"/>
          <w:highlight w:val="none"/>
          <w:lang w:val="zh-CN" w:eastAsia="zh-CN" w:bidi="ar-SA"/>
        </w:rPr>
        <w:t>R2-</w:t>
      </w:r>
      <w:r>
        <w:rPr>
          <w:rFonts w:hint="eastAsia" w:cs="Times New Roman"/>
          <w:b/>
          <w:strike w:val="0"/>
          <w:dstrike w:val="0"/>
          <w:kern w:val="2"/>
          <w:sz w:val="24"/>
          <w:szCs w:val="21"/>
          <w:highlight w:val="none"/>
          <w:lang w:val="en-US" w:eastAsia="zh-CN" w:bidi="ar-SA"/>
        </w:rPr>
        <w:t>210</w:t>
      </w:r>
      <w:r>
        <w:rPr>
          <w:rFonts w:hint="default" w:cs="Times New Roman"/>
          <w:b/>
          <w:strike w:val="0"/>
          <w:dstrike w:val="0"/>
          <w:kern w:val="2"/>
          <w:sz w:val="24"/>
          <w:szCs w:val="21"/>
          <w:highlight w:val="none"/>
          <w:lang w:val="en-US" w:eastAsia="zh-CN" w:bidi="ar-SA"/>
        </w:rPr>
        <w:t>8226</w:t>
      </w:r>
    </w:p>
    <w:p>
      <w:pPr>
        <w:pStyle w:val="286"/>
        <w:rPr>
          <w:rFonts w:cs="Arial"/>
          <w:bCs/>
          <w:strike w:val="0"/>
          <w:kern w:val="0"/>
          <w:sz w:val="28"/>
          <w:szCs w:val="28"/>
          <w:highlight w:val="none"/>
        </w:rPr>
      </w:pPr>
      <w:r>
        <w:rPr>
          <w:strike w:val="0"/>
          <w:dstrike w:val="0"/>
          <w:highlight w:val="none"/>
        </w:rPr>
        <w:t xml:space="preserve">Electronic meeting, </w:t>
      </w:r>
      <w:r>
        <w:rPr>
          <w:rFonts w:hint="eastAsia"/>
          <w:strike w:val="0"/>
          <w:dstrike w:val="0"/>
          <w:highlight w:val="none"/>
          <w:lang w:val="en-US" w:eastAsia="zh-CN"/>
        </w:rPr>
        <w:t>9 Aug</w:t>
      </w:r>
      <w:r>
        <w:rPr>
          <w:strike w:val="0"/>
          <w:dstrike w:val="0"/>
          <w:highlight w:val="none"/>
        </w:rPr>
        <w:t xml:space="preserve"> – </w:t>
      </w:r>
      <w:r>
        <w:rPr>
          <w:rFonts w:hint="eastAsia" w:eastAsia="宋体"/>
          <w:strike w:val="0"/>
          <w:dstrike w:val="0"/>
          <w:highlight w:val="none"/>
          <w:lang w:val="en-US" w:eastAsia="zh-CN"/>
        </w:rPr>
        <w:t>27</w:t>
      </w:r>
      <w:r>
        <w:rPr>
          <w:strike w:val="0"/>
          <w:dstrike w:val="0"/>
          <w:highlight w:val="none"/>
        </w:rPr>
        <w:t xml:space="preserve"> </w:t>
      </w:r>
      <w:r>
        <w:rPr>
          <w:rFonts w:hint="eastAsia"/>
          <w:strike w:val="0"/>
          <w:dstrike w:val="0"/>
          <w:highlight w:val="none"/>
          <w:lang w:val="en-US" w:eastAsia="zh-CN"/>
        </w:rPr>
        <w:t>Aug</w:t>
      </w:r>
      <w:r>
        <w:rPr>
          <w:rFonts w:hint="eastAsia" w:eastAsia="宋体"/>
          <w:strike w:val="0"/>
          <w:dstrike w:val="0"/>
          <w:highlight w:val="none"/>
          <w:lang w:val="en-US" w:eastAsia="zh-CN"/>
        </w:rPr>
        <w:t xml:space="preserve"> </w:t>
      </w:r>
      <w:r>
        <w:rPr>
          <w:strike w:val="0"/>
          <w:dstrike w:val="0"/>
          <w:highlight w:val="none"/>
        </w:rPr>
        <w:t>202</w:t>
      </w:r>
      <w:r>
        <w:rPr>
          <w:rFonts w:hint="eastAsia"/>
          <w:strike w:val="0"/>
          <w:dstrike w:val="0"/>
          <w:highlight w:val="none"/>
          <w:lang w:val="en-US" w:eastAsia="zh-CN"/>
        </w:rPr>
        <w:t>1</w:t>
      </w:r>
      <w:r>
        <w:rPr>
          <w:rFonts w:cs="Arial"/>
          <w:bCs/>
          <w:strike w:val="0"/>
          <w:kern w:val="0"/>
          <w:sz w:val="28"/>
          <w:szCs w:val="28"/>
          <w:highlight w:val="none"/>
        </w:rPr>
        <w:tab/>
      </w:r>
      <w:r>
        <w:rPr>
          <w:rFonts w:cs="Arial"/>
          <w:bCs/>
          <w:strike w:val="0"/>
          <w:kern w:val="0"/>
          <w:sz w:val="28"/>
          <w:szCs w:val="28"/>
          <w:highlight w:val="none"/>
        </w:rPr>
        <w:t xml:space="preserve">      </w:t>
      </w:r>
      <w:r>
        <w:rPr>
          <w:rFonts w:cs="Arial"/>
          <w:bCs/>
          <w:strike w:val="0"/>
          <w:color w:val="D9D9D9" w:themeColor="background1" w:themeShade="D9"/>
          <w:kern w:val="0"/>
          <w:sz w:val="20"/>
          <w:szCs w:val="28"/>
          <w:highlight w:val="none"/>
        </w:rPr>
        <w:t xml:space="preserve">   </w:t>
      </w:r>
    </w:p>
    <w:p>
      <w:pPr>
        <w:overflowPunct w:val="0"/>
        <w:autoSpaceDE w:val="0"/>
        <w:autoSpaceDN w:val="0"/>
        <w:adjustRightInd w:val="0"/>
        <w:snapToGrid w:val="0"/>
        <w:spacing w:before="240"/>
        <w:jc w:val="left"/>
        <w:textAlignment w:val="baseline"/>
        <w:rPr>
          <w:b/>
          <w:sz w:val="24"/>
          <w:highlight w:val="none"/>
        </w:rPr>
      </w:pPr>
      <w:r>
        <w:rPr>
          <w:b/>
          <w:sz w:val="24"/>
          <w:highlight w:val="none"/>
        </w:rPr>
        <w:t xml:space="preserve">Source: </w:t>
      </w:r>
      <w:r>
        <w:rPr>
          <w:b/>
          <w:sz w:val="24"/>
          <w:highlight w:val="none"/>
        </w:rPr>
        <w:tab/>
      </w:r>
      <w:r>
        <w:rPr>
          <w:b/>
          <w:sz w:val="24"/>
          <w:highlight w:val="none"/>
        </w:rPr>
        <w:tab/>
      </w:r>
      <w:r>
        <w:rPr>
          <w:b/>
          <w:sz w:val="24"/>
          <w:highlight w:val="none"/>
        </w:rPr>
        <w:tab/>
      </w:r>
      <w:bookmarkStart w:id="3" w:name="OLE_LINK6"/>
      <w:r>
        <w:rPr>
          <w:b/>
          <w:sz w:val="24"/>
          <w:highlight w:val="none"/>
        </w:rPr>
        <w:t>ZTE Corporation, Sanechips</w:t>
      </w:r>
      <w:bookmarkEnd w:id="3"/>
    </w:p>
    <w:p>
      <w:pPr>
        <w:overflowPunct w:val="0"/>
        <w:autoSpaceDE w:val="0"/>
        <w:autoSpaceDN w:val="0"/>
        <w:adjustRightInd w:val="0"/>
        <w:snapToGrid w:val="0"/>
        <w:ind w:left="2100" w:hanging="2100"/>
        <w:jc w:val="left"/>
        <w:textAlignment w:val="baseline"/>
        <w:rPr>
          <w:rFonts w:hint="default"/>
          <w:b/>
          <w:sz w:val="24"/>
          <w:highlight w:val="none"/>
          <w:lang w:val="en-US"/>
        </w:rPr>
      </w:pPr>
      <w:r>
        <w:rPr>
          <w:b/>
          <w:sz w:val="24"/>
          <w:highlight w:val="none"/>
        </w:rPr>
        <w:t xml:space="preserve">Title: </w:t>
      </w:r>
      <w:r>
        <w:rPr>
          <w:b/>
          <w:sz w:val="24"/>
          <w:highlight w:val="none"/>
        </w:rPr>
        <w:tab/>
      </w:r>
      <w:bookmarkStart w:id="4" w:name="OLE_LINK5"/>
      <w:bookmarkStart w:id="5" w:name="OLE_LINK2"/>
      <w:r>
        <w:rPr>
          <w:rFonts w:hint="eastAsia"/>
          <w:b/>
          <w:sz w:val="24"/>
          <w:highlight w:val="none"/>
          <w:lang w:val="en-US" w:eastAsia="zh-CN"/>
        </w:rPr>
        <w:t>Discussion on</w:t>
      </w:r>
      <w:bookmarkEnd w:id="4"/>
      <w:bookmarkEnd w:id="5"/>
      <w:r>
        <w:rPr>
          <w:rFonts w:hint="eastAsia"/>
          <w:b/>
          <w:sz w:val="24"/>
          <w:highlight w:val="none"/>
          <w:lang w:val="en-US" w:eastAsia="zh-CN"/>
        </w:rPr>
        <w:t xml:space="preserve"> </w:t>
      </w:r>
      <w:r>
        <w:rPr>
          <w:rFonts w:hint="default"/>
          <w:b/>
          <w:sz w:val="24"/>
          <w:highlight w:val="none"/>
          <w:lang w:val="en-US" w:eastAsia="zh-CN"/>
        </w:rPr>
        <w:t>NR QoE start and stop</w:t>
      </w:r>
      <w:r>
        <w:rPr>
          <w:rFonts w:hint="eastAsia"/>
          <w:b/>
          <w:sz w:val="24"/>
          <w:highlight w:val="none"/>
          <w:lang w:val="en-US" w:eastAsia="zh-CN"/>
        </w:rPr>
        <w:t xml:space="preserve"> </w:t>
      </w:r>
    </w:p>
    <w:p>
      <w:pPr>
        <w:overflowPunct w:val="0"/>
        <w:autoSpaceDE w:val="0"/>
        <w:autoSpaceDN w:val="0"/>
        <w:adjustRightInd w:val="0"/>
        <w:snapToGrid w:val="0"/>
        <w:jc w:val="left"/>
        <w:textAlignment w:val="baseline"/>
        <w:rPr>
          <w:rFonts w:hint="default" w:eastAsiaTheme="minorEastAsia"/>
          <w:b/>
          <w:sz w:val="24"/>
          <w:highlight w:val="none"/>
          <w:lang w:val="en-US" w:eastAsia="zh-CN"/>
        </w:rPr>
      </w:pPr>
      <w:r>
        <w:rPr>
          <w:b/>
          <w:sz w:val="24"/>
          <w:highlight w:val="none"/>
        </w:rPr>
        <w:t>Agenda item:</w:t>
      </w:r>
      <w:r>
        <w:rPr>
          <w:b/>
          <w:sz w:val="24"/>
          <w:highlight w:val="none"/>
        </w:rPr>
        <w:tab/>
      </w:r>
      <w:bookmarkStart w:id="6" w:name="Source"/>
      <w:bookmarkEnd w:id="6"/>
      <w:r>
        <w:rPr>
          <w:rFonts w:hint="eastAsia"/>
          <w:b/>
          <w:sz w:val="24"/>
          <w:highlight w:val="none"/>
          <w:lang w:val="en-US" w:eastAsia="zh-CN"/>
        </w:rPr>
        <w:tab/>
      </w:r>
      <w:r>
        <w:rPr>
          <w:rFonts w:hint="eastAsia"/>
          <w:b/>
          <w:strike w:val="0"/>
          <w:dstrike w:val="0"/>
          <w:sz w:val="24"/>
          <w:highlight w:val="none"/>
          <w:lang w:val="en-US" w:eastAsia="zh-CN"/>
        </w:rPr>
        <w:t>8.14.2.2</w:t>
      </w:r>
    </w:p>
    <w:p>
      <w:pPr>
        <w:overflowPunct w:val="0"/>
        <w:autoSpaceDE w:val="0"/>
        <w:autoSpaceDN w:val="0"/>
        <w:adjustRightInd w:val="0"/>
        <w:snapToGrid w:val="0"/>
        <w:jc w:val="left"/>
        <w:textAlignment w:val="baseline"/>
        <w:rPr>
          <w:b/>
          <w:sz w:val="24"/>
          <w:highlight w:val="none"/>
        </w:rPr>
      </w:pPr>
      <w:r>
        <w:rPr>
          <w:b/>
          <w:sz w:val="24"/>
          <w:highlight w:val="none"/>
        </w:rPr>
        <w:t>Document for:</w:t>
      </w:r>
      <w:bookmarkStart w:id="7" w:name="DocumentFor"/>
      <w:bookmarkEnd w:id="7"/>
      <w:r>
        <w:rPr>
          <w:rFonts w:hint="eastAsia"/>
          <w:b/>
          <w:sz w:val="24"/>
          <w:highlight w:val="none"/>
        </w:rPr>
        <w:t xml:space="preserve"> </w:t>
      </w:r>
      <w:r>
        <w:rPr>
          <w:b/>
          <w:sz w:val="24"/>
          <w:highlight w:val="none"/>
        </w:rPr>
        <w:tab/>
      </w:r>
      <w:r>
        <w:rPr>
          <w:b/>
          <w:sz w:val="24"/>
          <w:highlight w:val="none"/>
        </w:rPr>
        <w:t>Discussion</w:t>
      </w:r>
      <w:r>
        <w:rPr>
          <w:rFonts w:hint="eastAsia"/>
          <w:b/>
          <w:sz w:val="24"/>
          <w:highlight w:val="none"/>
        </w:rPr>
        <w:t xml:space="preserve"> and Decision</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hint="eastAsia" w:eastAsia="宋体" w:cs="Arial"/>
          <w:color w:val="000000"/>
          <w:sz w:val="21"/>
          <w:lang w:val="en-US" w:eastAsia="zh-CN"/>
        </w:rPr>
      </w:pPr>
      <w:r>
        <w:rPr>
          <w:rFonts w:cs="Arial"/>
          <w:b w:val="0"/>
          <w:bCs w:val="0"/>
          <w:kern w:val="0"/>
          <w:sz w:val="32"/>
          <w:szCs w:val="36"/>
        </w:rPr>
        <w:t>Introduction</w:t>
      </w:r>
      <w:bookmarkEnd w:id="0"/>
      <w:bookmarkEnd w:id="1"/>
      <w:bookmarkEnd w:id="2"/>
    </w:p>
    <w:p>
      <w:pPr>
        <w:rPr>
          <w:rFonts w:hint="eastAsia" w:eastAsia="宋体" w:cs="Arial"/>
          <w:sz w:val="21"/>
          <w:szCs w:val="21"/>
          <w:lang w:val="en-US" w:eastAsia="zh-CN"/>
        </w:rPr>
      </w:pPr>
      <w:r>
        <w:rPr>
          <w:rFonts w:hint="eastAsia" w:eastAsia="宋体" w:cs="Arial"/>
          <w:sz w:val="21"/>
          <w:szCs w:val="21"/>
          <w:lang w:val="en-US" w:eastAsia="zh-CN"/>
        </w:rPr>
        <w:t xml:space="preserve">The agreement companies made </w:t>
      </w:r>
      <w:r>
        <w:rPr>
          <w:rFonts w:hint="eastAsia" w:eastAsia="宋体" w:cs="Arial"/>
          <w:sz w:val="21"/>
          <w:szCs w:val="21"/>
          <w:highlight w:val="none"/>
          <w:lang w:val="en-US" w:eastAsia="zh-CN"/>
        </w:rPr>
        <w:t>in RAN2#11</w:t>
      </w:r>
      <w:r>
        <w:rPr>
          <w:rFonts w:hint="default" w:eastAsia="宋体" w:cs="Arial"/>
          <w:sz w:val="21"/>
          <w:szCs w:val="21"/>
          <w:highlight w:val="none"/>
          <w:lang w:val="en-US" w:eastAsia="zh-CN"/>
        </w:rPr>
        <w:t>4</w:t>
      </w:r>
      <w:r>
        <w:rPr>
          <w:rFonts w:hint="eastAsia" w:eastAsia="宋体" w:cs="Arial"/>
          <w:sz w:val="21"/>
          <w:szCs w:val="21"/>
          <w:highlight w:val="none"/>
          <w:lang w:val="en-US" w:eastAsia="zh-CN"/>
        </w:rPr>
        <w:t xml:space="preserve">e [1] on </w:t>
      </w:r>
      <w:r>
        <w:rPr>
          <w:rFonts w:hint="eastAsia" w:eastAsia="宋体" w:cs="Arial"/>
          <w:sz w:val="21"/>
          <w:szCs w:val="21"/>
          <w:lang w:val="en-US" w:eastAsia="zh-CN"/>
        </w:rPr>
        <w:t xml:space="preserve">the NR QoE </w:t>
      </w:r>
      <w:r>
        <w:rPr>
          <w:rFonts w:hint="default" w:eastAsia="宋体" w:cs="Arial"/>
          <w:sz w:val="21"/>
          <w:szCs w:val="21"/>
          <w:lang w:val="en-US" w:eastAsia="zh-CN"/>
        </w:rPr>
        <w:t>start and stop section</w:t>
      </w:r>
      <w:r>
        <w:rPr>
          <w:rFonts w:hint="eastAsia" w:eastAsia="宋体" w:cs="Arial"/>
          <w:sz w:val="21"/>
          <w:szCs w:val="21"/>
          <w:lang w:val="en-US" w:eastAsia="zh-CN"/>
        </w:rPr>
        <w:t xml:space="preserve"> is shown below:</w:t>
      </w:r>
    </w:p>
    <w:p>
      <w:pPr>
        <w:pBdr>
          <w:top w:val="single" w:color="auto" w:sz="4" w:space="0"/>
          <w:left w:val="single" w:color="auto" w:sz="4" w:space="0"/>
          <w:bottom w:val="single" w:color="auto" w:sz="4" w:space="0"/>
          <w:right w:val="single" w:color="auto" w:sz="4" w:space="0"/>
        </w:pBdr>
        <w:rPr>
          <w:rFonts w:hint="default" w:eastAsia="宋体" w:cs="Arial"/>
          <w:sz w:val="21"/>
          <w:szCs w:val="21"/>
          <w:lang w:val="en-US" w:eastAsia="zh-CN"/>
        </w:rPr>
      </w:pPr>
      <w:r>
        <w:rPr>
          <w:rFonts w:hint="default" w:eastAsia="宋体" w:cs="Arial"/>
          <w:sz w:val="21"/>
          <w:szCs w:val="21"/>
          <w:lang w:val="en-US" w:eastAsia="zh-CN"/>
        </w:rPr>
        <w:t>At reception of QoE release, the UE shall discard any unsent QoE reports corresponding to the released QoE configuration.</w:t>
      </w:r>
    </w:p>
    <w:p>
      <w:pPr>
        <w:pBdr>
          <w:top w:val="single" w:color="auto" w:sz="4" w:space="0"/>
          <w:left w:val="single" w:color="auto" w:sz="4" w:space="0"/>
          <w:bottom w:val="single" w:color="auto" w:sz="4" w:space="0"/>
          <w:right w:val="single" w:color="auto" w:sz="4" w:space="0"/>
        </w:pBdr>
        <w:rPr>
          <w:rFonts w:hint="default" w:eastAsia="宋体" w:cs="Arial"/>
          <w:sz w:val="21"/>
          <w:szCs w:val="21"/>
          <w:lang w:val="en-US" w:eastAsia="zh-CN"/>
        </w:rPr>
      </w:pPr>
      <w:r>
        <w:rPr>
          <w:rFonts w:hint="default" w:eastAsia="宋体" w:cs="Arial"/>
          <w:sz w:val="21"/>
          <w:szCs w:val="21"/>
          <w:lang w:val="en-US" w:eastAsia="zh-CN"/>
        </w:rPr>
        <w:t xml:space="preserve">FFS whether pause resume will affect all configurations or whether pause resume can act selectively per configuration. </w:t>
      </w:r>
    </w:p>
    <w:p>
      <w:pPr>
        <w:pBdr>
          <w:top w:val="single" w:color="auto" w:sz="4" w:space="0"/>
          <w:left w:val="single" w:color="auto" w:sz="4" w:space="0"/>
          <w:bottom w:val="single" w:color="auto" w:sz="4" w:space="0"/>
          <w:right w:val="single" w:color="auto" w:sz="4" w:space="0"/>
        </w:pBdr>
        <w:rPr>
          <w:rFonts w:hint="default" w:eastAsia="宋体" w:cs="Arial"/>
          <w:sz w:val="21"/>
          <w:szCs w:val="21"/>
          <w:lang w:val="en-US" w:eastAsia="zh-CN"/>
        </w:rPr>
      </w:pPr>
      <w:r>
        <w:rPr>
          <w:rFonts w:hint="default" w:eastAsia="宋体" w:cs="Arial"/>
          <w:sz w:val="21"/>
          <w:szCs w:val="21"/>
          <w:lang w:val="en-US" w:eastAsia="zh-CN"/>
        </w:rPr>
        <w:t>On whether to store reports in the AS or the application layer at Pause, Send LS to SA4/SA5/SA3 to inform them about the options and their pros/cons (if possible) and ask them for feedback. RAN2 will continue work on this topic based on the feedback received.</w:t>
      </w:r>
    </w:p>
    <w:p>
      <w:pPr>
        <w:pStyle w:val="53"/>
        <w:spacing w:before="75" w:beforeAutospacing="0" w:after="75" w:afterAutospacing="0" w:line="315" w:lineRule="atLeast"/>
        <w:rPr>
          <w:rFonts w:hint="eastAsia" w:eastAsia="宋体" w:cs="Arial"/>
          <w:color w:val="000000"/>
          <w:sz w:val="21"/>
          <w:lang w:val="en-US" w:eastAsia="zh-CN"/>
        </w:rPr>
      </w:pPr>
      <w:r>
        <w:rPr>
          <w:rFonts w:hint="eastAsia" w:eastAsia="宋体" w:cs="Arial"/>
          <w:color w:val="000000"/>
          <w:sz w:val="21"/>
          <w:lang w:val="en-US" w:eastAsia="zh-CN"/>
        </w:rPr>
        <w:t>The intention of this contribution is to share our views on the pause/resume QoE reporting based on the agreement.</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hint="default" w:cs="Arial"/>
          <w:b w:val="0"/>
          <w:bCs w:val="0"/>
          <w:kern w:val="0"/>
          <w:sz w:val="32"/>
          <w:szCs w:val="36"/>
          <w:lang w:val="en-US" w:eastAsia="zh-CN"/>
        </w:rPr>
      </w:pPr>
      <w:r>
        <w:rPr>
          <w:rFonts w:hint="default" w:cs="Arial"/>
          <w:b w:val="0"/>
          <w:bCs w:val="0"/>
          <w:kern w:val="0"/>
          <w:sz w:val="32"/>
          <w:szCs w:val="36"/>
          <w:lang w:val="en-US" w:eastAsia="zh-CN"/>
        </w:rPr>
        <w:t>Discussion on buffer limitation</w:t>
      </w:r>
    </w:p>
    <w:p>
      <w:pPr>
        <w:rPr>
          <w:rFonts w:hint="default"/>
          <w:lang w:val="en-US" w:eastAsia="zh-CN"/>
        </w:rPr>
      </w:pPr>
      <w:r>
        <w:rPr>
          <w:rFonts w:hint="default"/>
          <w:lang w:val="en-US" w:eastAsia="zh-CN"/>
        </w:rPr>
        <w:t xml:space="preserve">In previous RAN2 meeting, an </w:t>
      </w:r>
      <w:r>
        <w:rPr>
          <w:rFonts w:hint="default"/>
          <w:highlight w:val="none"/>
          <w:lang w:val="en-US" w:eastAsia="zh-CN"/>
        </w:rPr>
        <w:t>LS</w:t>
      </w:r>
      <w:r>
        <w:rPr>
          <w:rFonts w:hint="eastAsia"/>
          <w:highlight w:val="none"/>
          <w:lang w:val="en-US" w:eastAsia="zh-CN"/>
        </w:rPr>
        <w:t>(</w:t>
      </w:r>
      <w:r>
        <w:rPr>
          <w:highlight w:val="none"/>
        </w:rPr>
        <w:t>R2-2106775</w:t>
      </w:r>
      <w:r>
        <w:rPr>
          <w:rFonts w:hint="eastAsia"/>
          <w:highlight w:val="none"/>
          <w:lang w:val="en-US" w:eastAsia="zh-CN"/>
        </w:rPr>
        <w:t>)[</w:t>
      </w:r>
      <w:r>
        <w:rPr>
          <w:rFonts w:hint="default"/>
          <w:highlight w:val="none"/>
          <w:lang w:val="en-US" w:eastAsia="zh-CN"/>
        </w:rPr>
        <w:t>2</w:t>
      </w:r>
      <w:r>
        <w:rPr>
          <w:rFonts w:hint="eastAsia"/>
          <w:highlight w:val="none"/>
          <w:lang w:val="en-US" w:eastAsia="zh-CN"/>
        </w:rPr>
        <w:t>]</w:t>
      </w:r>
      <w:r>
        <w:rPr>
          <w:rFonts w:hint="default"/>
          <w:highlight w:val="none"/>
          <w:lang w:val="en-US" w:eastAsia="zh-CN"/>
        </w:rPr>
        <w:t xml:space="preserve"> on </w:t>
      </w:r>
      <w:r>
        <w:rPr>
          <w:rFonts w:hint="default"/>
          <w:lang w:val="en-US" w:eastAsia="zh-CN"/>
        </w:rPr>
        <w:t xml:space="preserve">whether to store QoE reports in the AS layer or app layer at QoE paused duration has been sent to SA3/4/5. Considering RAN2 is not responsible for the app layer procedures or definitions, if </w:t>
      </w:r>
      <w:r>
        <w:rPr>
          <w:rFonts w:hint="eastAsia"/>
          <w:lang w:val="en-US" w:eastAsia="zh-CN"/>
        </w:rPr>
        <w:t xml:space="preserve">SA WGs </w:t>
      </w:r>
      <w:r>
        <w:rPr>
          <w:rFonts w:hint="default"/>
          <w:lang w:val="en-US" w:eastAsia="zh-CN"/>
        </w:rPr>
        <w:t>finally</w:t>
      </w:r>
      <w:r>
        <w:rPr>
          <w:rFonts w:hint="eastAsia"/>
          <w:lang w:val="en-US" w:eastAsia="zh-CN"/>
        </w:rPr>
        <w:t xml:space="preserve"> decide that </w:t>
      </w:r>
      <w:r>
        <w:rPr>
          <w:rFonts w:hint="default"/>
          <w:lang w:val="en-US" w:eastAsia="zh-CN"/>
        </w:rPr>
        <w:t xml:space="preserve">the buffer for pause/resume QoE reporting function </w:t>
      </w:r>
      <w:r>
        <w:rPr>
          <w:rFonts w:hint="eastAsia"/>
          <w:lang w:val="en-US" w:eastAsia="zh-CN"/>
        </w:rPr>
        <w:t xml:space="preserve">should be </w:t>
      </w:r>
      <w:r>
        <w:rPr>
          <w:rFonts w:hint="default"/>
          <w:lang w:val="en-US" w:eastAsia="zh-CN"/>
        </w:rPr>
        <w:t xml:space="preserve">handled by the app layer, RAN2 does not need to discuss the buffer limitation issue(e.g. validation of the paused data, buffer size, etc) any more. Hence, </w:t>
      </w:r>
      <w:r>
        <w:rPr>
          <w:rFonts w:hint="eastAsia"/>
          <w:lang w:val="en-US" w:eastAsia="zh-CN"/>
        </w:rPr>
        <w:t xml:space="preserve">due to the limit time budget in NR QoE in RAN2, </w:t>
      </w:r>
      <w:r>
        <w:rPr>
          <w:rFonts w:hint="default"/>
          <w:lang w:val="en-US" w:eastAsia="zh-CN"/>
        </w:rPr>
        <w:t xml:space="preserve">the discussion </w:t>
      </w:r>
      <w:r>
        <w:rPr>
          <w:rFonts w:hint="eastAsia"/>
          <w:lang w:val="en-US" w:eastAsia="zh-CN"/>
        </w:rPr>
        <w:t xml:space="preserve">on </w:t>
      </w:r>
      <w:r>
        <w:rPr>
          <w:rFonts w:hint="default"/>
          <w:lang w:val="en-US" w:eastAsia="zh-CN"/>
        </w:rPr>
        <w:t xml:space="preserve">the buffer limitation should be paused and re-checked when RAN2 receives the reply LS from SA3/4/5. </w:t>
      </w:r>
    </w:p>
    <w:p>
      <w:pPr>
        <w:numPr>
          <w:ilvl w:val="0"/>
          <w:numId w:val="0"/>
        </w:numPr>
        <w:rPr>
          <w:rFonts w:hint="default"/>
          <w:b/>
          <w:bCs/>
          <w:lang w:val="en-US" w:eastAsia="zh-CN"/>
        </w:rPr>
      </w:pPr>
      <w:r>
        <w:rPr>
          <w:rFonts w:hint="default"/>
          <w:b/>
          <w:bCs/>
          <w:lang w:val="en-US" w:eastAsia="zh-CN"/>
        </w:rPr>
        <w:t>Proposal 1: The QoE buffer issue(e.g. buffer limitation) discussion should be paused and continue if SA WGs agree to handle the QoE buffer for pause/resume QoE reporting function in AS layer.</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hint="default" w:cs="Arial"/>
          <w:b w:val="0"/>
          <w:bCs w:val="0"/>
          <w:kern w:val="0"/>
          <w:sz w:val="32"/>
          <w:szCs w:val="36"/>
          <w:lang w:val="en-US" w:eastAsia="zh-CN"/>
        </w:rPr>
      </w:pPr>
      <w:r>
        <w:rPr>
          <w:rFonts w:hint="default" w:cs="Arial"/>
          <w:b w:val="0"/>
          <w:bCs w:val="0"/>
          <w:kern w:val="0"/>
          <w:sz w:val="32"/>
          <w:szCs w:val="36"/>
          <w:lang w:val="en-US" w:eastAsia="zh-CN"/>
        </w:rPr>
        <w:t>One procedure for signalling and management based QoE</w:t>
      </w:r>
    </w:p>
    <w:p>
      <w:pPr>
        <w:numPr>
          <w:ilvl w:val="0"/>
          <w:numId w:val="0"/>
        </w:numPr>
        <w:rPr>
          <w:rFonts w:hint="default" w:eastAsia="宋体"/>
          <w:lang w:val="en-US" w:eastAsia="zh-CN"/>
        </w:rPr>
      </w:pPr>
      <w:r>
        <w:rPr>
          <w:rFonts w:hint="eastAsia" w:eastAsia="宋体"/>
          <w:highlight w:val="none"/>
          <w:lang w:val="en-US" w:eastAsia="zh-CN"/>
        </w:rPr>
        <w:t>In RAN#91e [</w:t>
      </w:r>
      <w:r>
        <w:rPr>
          <w:rFonts w:hint="default" w:eastAsia="宋体"/>
          <w:highlight w:val="none"/>
          <w:lang w:val="en-US" w:eastAsia="zh-CN"/>
        </w:rPr>
        <w:t>3</w:t>
      </w:r>
      <w:r>
        <w:rPr>
          <w:rFonts w:hint="eastAsia" w:eastAsia="宋体"/>
          <w:highlight w:val="none"/>
          <w:lang w:val="en-US" w:eastAsia="zh-CN"/>
        </w:rPr>
        <w:t>], co</w:t>
      </w:r>
      <w:r>
        <w:rPr>
          <w:rFonts w:hint="eastAsia" w:eastAsia="宋体"/>
          <w:lang w:val="en-US" w:eastAsia="zh-CN"/>
        </w:rPr>
        <w:t>mpanies agreed to achieve the pause/resume NR QoE reporting due to RAN overload in Rel-17. And the pause/resume can be implemented to all QoE reporting or reporting per QoE configurations in a UE. Detail procedures should be discussed in RAN2. It is clear that both signalling based QoE and management based QoE are going to be supported in NR. From the content of QoE measurement report perspective, there is no different between signalling based QoE and management based QoE. Hence, both signalling based QoE and management based QoE should support the pause/resume QoE reporting function and share the same procedure.</w:t>
      </w:r>
    </w:p>
    <w:p>
      <w:pPr>
        <w:numPr>
          <w:ilvl w:val="0"/>
          <w:numId w:val="0"/>
        </w:numPr>
        <w:rPr>
          <w:rFonts w:hint="default" w:eastAsia="宋体" w:cs="Arial"/>
          <w:color w:val="000000"/>
          <w:sz w:val="21"/>
          <w:lang w:val="en-US" w:eastAsia="zh-CN"/>
        </w:rPr>
      </w:pPr>
      <w:r>
        <w:rPr>
          <w:rFonts w:hint="eastAsia" w:eastAsia="宋体"/>
          <w:b/>
          <w:bCs/>
          <w:lang w:val="en-US" w:eastAsia="zh-CN"/>
        </w:rPr>
        <w:t xml:space="preserve">Proposal </w:t>
      </w:r>
      <w:r>
        <w:rPr>
          <w:rFonts w:hint="default" w:eastAsia="宋体"/>
          <w:b/>
          <w:bCs/>
          <w:lang w:val="en-US" w:eastAsia="zh-CN"/>
        </w:rPr>
        <w:t>2</w:t>
      </w:r>
      <w:r>
        <w:rPr>
          <w:rFonts w:hint="eastAsia" w:eastAsia="宋体"/>
          <w:b/>
          <w:bCs/>
          <w:lang w:val="en-US" w:eastAsia="zh-CN"/>
        </w:rPr>
        <w:t>: RAN2 shall consider to implement one procedure to pause/resume QoE reporting for both signalling based and management based QoE reporting.</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hint="default" w:cs="Arial"/>
          <w:b w:val="0"/>
          <w:bCs w:val="0"/>
          <w:kern w:val="0"/>
          <w:sz w:val="32"/>
          <w:szCs w:val="36"/>
          <w:lang w:val="en-US" w:eastAsia="zh-CN"/>
        </w:rPr>
      </w:pPr>
      <w:r>
        <w:rPr>
          <w:rFonts w:hint="default" w:cs="Arial"/>
          <w:b w:val="0"/>
          <w:bCs w:val="0"/>
          <w:kern w:val="0"/>
          <w:sz w:val="32"/>
          <w:szCs w:val="36"/>
          <w:lang w:val="en-US" w:eastAsia="zh-CN"/>
        </w:rPr>
        <w:t>Partial pause/resume QoE reporting</w:t>
      </w:r>
    </w:p>
    <w:p>
      <w:pPr>
        <w:numPr>
          <w:ilvl w:val="0"/>
          <w:numId w:val="0"/>
        </w:numPr>
        <w:ind w:leftChars="0"/>
        <w:rPr>
          <w:rFonts w:hint="default"/>
          <w:lang w:val="en-US" w:eastAsia="zh-CN"/>
        </w:rPr>
      </w:pPr>
      <w:r>
        <w:rPr>
          <w:rFonts w:hint="default"/>
          <w:highlight w:val="none"/>
          <w:lang w:val="en-US" w:eastAsia="zh-CN"/>
        </w:rPr>
        <w:t>In RAN2#114e</w:t>
      </w:r>
      <w:r>
        <w:rPr>
          <w:rFonts w:hint="eastAsia"/>
          <w:highlight w:val="none"/>
          <w:lang w:val="en-US" w:eastAsia="zh-CN"/>
        </w:rPr>
        <w:t>[</w:t>
      </w:r>
      <w:r>
        <w:rPr>
          <w:rFonts w:hint="default"/>
          <w:highlight w:val="none"/>
          <w:lang w:val="en-US" w:eastAsia="zh-CN"/>
        </w:rPr>
        <w:t>1</w:t>
      </w:r>
      <w:r>
        <w:rPr>
          <w:rFonts w:hint="eastAsia"/>
          <w:highlight w:val="none"/>
          <w:lang w:val="en-US" w:eastAsia="zh-CN"/>
        </w:rPr>
        <w:t>]</w:t>
      </w:r>
      <w:r>
        <w:rPr>
          <w:rFonts w:hint="default"/>
          <w:highlight w:val="none"/>
          <w:lang w:val="en-US" w:eastAsia="zh-CN"/>
        </w:rPr>
        <w:t xml:space="preserve">, companies have different views on whether NG-RAN side can pause partial </w:t>
      </w:r>
      <w:r>
        <w:rPr>
          <w:rFonts w:hint="default"/>
          <w:lang w:val="en-US" w:eastAsia="zh-CN"/>
        </w:rPr>
        <w:t xml:space="preserve">QoE reporting. Based on our understanding, if the NG-RAN can pause/resume partial QoE reporting, the same mechanism/procedure can be used to pause/resume all QoE reporting in a UE. In other words, </w:t>
      </w:r>
      <w:bookmarkStart w:id="8" w:name="OLE_LINK1"/>
      <w:r>
        <w:rPr>
          <w:rFonts w:hint="default"/>
          <w:lang w:val="en-US" w:eastAsia="zh-CN"/>
        </w:rPr>
        <w:t>pause/resume all QoE reporting is a critical situation of pause/resume partial QoE reporting.</w:t>
      </w:r>
      <w:bookmarkEnd w:id="8"/>
    </w:p>
    <w:p>
      <w:pPr>
        <w:numPr>
          <w:ilvl w:val="0"/>
          <w:numId w:val="0"/>
        </w:numPr>
        <w:ind w:leftChars="0"/>
        <w:rPr>
          <w:rFonts w:hint="default"/>
          <w:b/>
          <w:bCs/>
          <w:lang w:val="en-US" w:eastAsia="zh-CN"/>
        </w:rPr>
      </w:pPr>
      <w:r>
        <w:rPr>
          <w:rFonts w:hint="default"/>
          <w:b/>
          <w:bCs/>
          <w:lang w:val="en-US" w:eastAsia="zh-CN"/>
        </w:rPr>
        <w:t>Observation 1: Pause/resume all QoE reporting is a critical situation of pause/resume partial QoE reporting.</w:t>
      </w:r>
    </w:p>
    <w:p>
      <w:pPr>
        <w:numPr>
          <w:ilvl w:val="0"/>
          <w:numId w:val="0"/>
        </w:numPr>
        <w:ind w:leftChars="0"/>
        <w:rPr>
          <w:rFonts w:hint="default"/>
          <w:b/>
          <w:bCs/>
          <w:lang w:val="en-US" w:eastAsia="zh-CN"/>
        </w:rPr>
      </w:pPr>
    </w:p>
    <w:p>
      <w:pPr>
        <w:numPr>
          <w:ilvl w:val="0"/>
          <w:numId w:val="0"/>
        </w:numPr>
        <w:ind w:leftChars="0"/>
        <w:rPr>
          <w:rFonts w:hint="default"/>
          <w:b/>
          <w:bCs/>
          <w:lang w:val="en-US" w:eastAsia="zh-CN"/>
        </w:rPr>
      </w:pPr>
      <w:r>
        <w:rPr>
          <w:rFonts w:hint="default"/>
          <w:b/>
          <w:bCs/>
          <w:lang w:val="en-US" w:eastAsia="zh-CN"/>
        </w:rPr>
        <w:t>Table1. Temporary stop and restart of QoE information reporting during RAN overload</w:t>
      </w:r>
    </w:p>
    <w:tbl>
      <w:tblPr>
        <w:tblStyle w:val="5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1"/>
        <w:gridCol w:w="6649"/>
        <w:gridCol w:w="1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631" w:type="dxa"/>
            <w:noWrap w:val="0"/>
            <w:vAlign w:val="center"/>
          </w:tcPr>
          <w:p>
            <w:pPr>
              <w:pStyle w:val="287"/>
              <w:rPr>
                <w:sz w:val="20"/>
                <w:lang w:bidi="ar-KW"/>
              </w:rPr>
            </w:pPr>
            <w:r>
              <w:rPr>
                <w:sz w:val="20"/>
                <w:lang w:bidi="ar-KW"/>
              </w:rPr>
              <w:t>Use case stage</w:t>
            </w:r>
          </w:p>
        </w:tc>
        <w:tc>
          <w:tcPr>
            <w:tcW w:w="6649" w:type="dxa"/>
            <w:noWrap w:val="0"/>
            <w:vAlign w:val="center"/>
          </w:tcPr>
          <w:p>
            <w:pPr>
              <w:pStyle w:val="287"/>
              <w:rPr>
                <w:sz w:val="20"/>
                <w:lang w:bidi="ar-KW"/>
              </w:rPr>
            </w:pPr>
            <w:r>
              <w:rPr>
                <w:sz w:val="20"/>
                <w:lang w:bidi="ar-KW"/>
              </w:rPr>
              <w:t>Evolution/Specification</w:t>
            </w:r>
          </w:p>
        </w:tc>
        <w:tc>
          <w:tcPr>
            <w:tcW w:w="1359" w:type="dxa"/>
            <w:noWrap w:val="0"/>
            <w:vAlign w:val="center"/>
          </w:tcPr>
          <w:p>
            <w:pPr>
              <w:pStyle w:val="287"/>
              <w:rPr>
                <w:sz w:val="20"/>
                <w:lang w:bidi="ar-KW"/>
              </w:rPr>
            </w:pPr>
            <w:r>
              <w:rPr>
                <w:sz w:val="20"/>
                <w:lang w:bidi="ar-KW"/>
              </w:rPr>
              <w:t>&lt;&lt;Uses&gt;&gt;</w:t>
            </w:r>
            <w:r>
              <w:rPr>
                <w:sz w:val="20"/>
                <w:lang w:bidi="ar-KW"/>
              </w:rPr>
              <w:br w:type="textWrapping"/>
            </w:r>
            <w:r>
              <w:rPr>
                <w:sz w:val="20"/>
                <w:lang w:bidi="ar-KW"/>
              </w:rPr>
              <w:t>Related use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31" w:type="dxa"/>
            <w:noWrap w:val="0"/>
            <w:vAlign w:val="top"/>
          </w:tcPr>
          <w:p>
            <w:pPr>
              <w:pStyle w:val="288"/>
              <w:rPr>
                <w:sz w:val="20"/>
              </w:rPr>
            </w:pPr>
            <w:r>
              <w:rPr>
                <w:sz w:val="20"/>
              </w:rPr>
              <w:t>Goal</w:t>
            </w:r>
          </w:p>
        </w:tc>
        <w:tc>
          <w:tcPr>
            <w:tcW w:w="6649" w:type="dxa"/>
            <w:noWrap w:val="0"/>
            <w:vAlign w:val="top"/>
          </w:tcPr>
          <w:p>
            <w:pPr>
              <w:pStyle w:val="288"/>
              <w:rPr>
                <w:sz w:val="20"/>
              </w:rPr>
            </w:pPr>
            <w:r>
              <w:rPr>
                <w:sz w:val="20"/>
                <w:highlight w:val="green"/>
              </w:rPr>
              <w:t>At RAN overload RAN may stop or delay the QoE information reporting from the UEs that has started it.</w:t>
            </w:r>
          </w:p>
        </w:tc>
        <w:tc>
          <w:tcPr>
            <w:tcW w:w="1359" w:type="dxa"/>
            <w:noWrap w:val="0"/>
            <w:vAlign w:val="top"/>
          </w:tcPr>
          <w:p>
            <w:pPr>
              <w:pStyle w:val="288"/>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31" w:type="dxa"/>
            <w:noWrap w:val="0"/>
            <w:vAlign w:val="top"/>
          </w:tcPr>
          <w:p>
            <w:pPr>
              <w:pStyle w:val="288"/>
              <w:rPr>
                <w:sz w:val="20"/>
              </w:rPr>
            </w:pPr>
            <w:r>
              <w:rPr>
                <w:sz w:val="20"/>
              </w:rPr>
              <w:t>Actors and roles</w:t>
            </w:r>
          </w:p>
        </w:tc>
        <w:tc>
          <w:tcPr>
            <w:tcW w:w="6649" w:type="dxa"/>
            <w:noWrap w:val="0"/>
            <w:vAlign w:val="top"/>
          </w:tcPr>
          <w:p>
            <w:pPr>
              <w:pStyle w:val="288"/>
              <w:rPr>
                <w:sz w:val="20"/>
              </w:rPr>
            </w:pPr>
            <w:r>
              <w:rPr>
                <w:sz w:val="20"/>
              </w:rPr>
              <w:t>The RAN node which is the requester of delaying the QoE information reporting.</w:t>
            </w:r>
          </w:p>
        </w:tc>
        <w:tc>
          <w:tcPr>
            <w:tcW w:w="1359" w:type="dxa"/>
            <w:noWrap w:val="0"/>
            <w:vAlign w:val="top"/>
          </w:tcPr>
          <w:p>
            <w:pPr>
              <w:pStyle w:val="288"/>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31" w:type="dxa"/>
            <w:noWrap w:val="0"/>
            <w:vAlign w:val="top"/>
          </w:tcPr>
          <w:p>
            <w:pPr>
              <w:pStyle w:val="288"/>
              <w:rPr>
                <w:sz w:val="20"/>
              </w:rPr>
            </w:pPr>
            <w:r>
              <w:rPr>
                <w:sz w:val="20"/>
              </w:rPr>
              <w:t>Telecom resources</w:t>
            </w:r>
          </w:p>
        </w:tc>
        <w:tc>
          <w:tcPr>
            <w:tcW w:w="6649" w:type="dxa"/>
            <w:noWrap w:val="0"/>
            <w:vAlign w:val="top"/>
          </w:tcPr>
          <w:p>
            <w:pPr>
              <w:pStyle w:val="288"/>
              <w:rPr>
                <w:sz w:val="20"/>
              </w:rPr>
            </w:pPr>
            <w:r>
              <w:rPr>
                <w:sz w:val="20"/>
              </w:rPr>
              <w:t>The RAN node and the UE.</w:t>
            </w:r>
          </w:p>
        </w:tc>
        <w:tc>
          <w:tcPr>
            <w:tcW w:w="1359" w:type="dxa"/>
            <w:noWrap w:val="0"/>
            <w:vAlign w:val="top"/>
          </w:tcPr>
          <w:p>
            <w:pPr>
              <w:pStyle w:val="288"/>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31" w:type="dxa"/>
            <w:noWrap w:val="0"/>
            <w:vAlign w:val="top"/>
          </w:tcPr>
          <w:p>
            <w:pPr>
              <w:pStyle w:val="288"/>
              <w:rPr>
                <w:sz w:val="20"/>
              </w:rPr>
            </w:pPr>
            <w:r>
              <w:rPr>
                <w:sz w:val="20"/>
              </w:rPr>
              <w:t>Assumptions</w:t>
            </w:r>
          </w:p>
        </w:tc>
        <w:tc>
          <w:tcPr>
            <w:tcW w:w="6649" w:type="dxa"/>
            <w:noWrap w:val="0"/>
            <w:vAlign w:val="top"/>
          </w:tcPr>
          <w:p>
            <w:pPr>
              <w:pStyle w:val="288"/>
              <w:rPr>
                <w:sz w:val="20"/>
              </w:rPr>
            </w:pPr>
            <w:r>
              <w:rPr>
                <w:sz w:val="20"/>
              </w:rPr>
              <w:t>-</w:t>
            </w:r>
          </w:p>
        </w:tc>
        <w:tc>
          <w:tcPr>
            <w:tcW w:w="1359" w:type="dxa"/>
            <w:noWrap w:val="0"/>
            <w:vAlign w:val="top"/>
          </w:tcPr>
          <w:p>
            <w:pPr>
              <w:pStyle w:val="288"/>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31" w:type="dxa"/>
            <w:noWrap w:val="0"/>
            <w:vAlign w:val="top"/>
          </w:tcPr>
          <w:p>
            <w:pPr>
              <w:pStyle w:val="288"/>
              <w:rPr>
                <w:sz w:val="20"/>
              </w:rPr>
            </w:pPr>
            <w:r>
              <w:rPr>
                <w:sz w:val="20"/>
              </w:rPr>
              <w:t>Pre-conditions</w:t>
            </w:r>
          </w:p>
        </w:tc>
        <w:tc>
          <w:tcPr>
            <w:tcW w:w="6649" w:type="dxa"/>
            <w:noWrap w:val="0"/>
            <w:vAlign w:val="top"/>
          </w:tcPr>
          <w:p>
            <w:pPr>
              <w:pStyle w:val="288"/>
              <w:rPr>
                <w:sz w:val="20"/>
              </w:rPr>
            </w:pPr>
            <w:r>
              <w:rPr>
                <w:sz w:val="20"/>
              </w:rPr>
              <w:t>Selected UEs have started QoE information collection.</w:t>
            </w:r>
          </w:p>
        </w:tc>
        <w:tc>
          <w:tcPr>
            <w:tcW w:w="1359" w:type="dxa"/>
            <w:noWrap w:val="0"/>
            <w:vAlign w:val="top"/>
          </w:tcPr>
          <w:p>
            <w:pPr>
              <w:pStyle w:val="288"/>
              <w:rPr>
                <w:sz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31" w:type="dxa"/>
            <w:noWrap w:val="0"/>
            <w:vAlign w:val="top"/>
          </w:tcPr>
          <w:p>
            <w:pPr>
              <w:pStyle w:val="288"/>
              <w:rPr>
                <w:sz w:val="20"/>
              </w:rPr>
            </w:pPr>
            <w:r>
              <w:rPr>
                <w:sz w:val="20"/>
              </w:rPr>
              <w:t xml:space="preserve">Begins when </w:t>
            </w:r>
          </w:p>
        </w:tc>
        <w:tc>
          <w:tcPr>
            <w:tcW w:w="6649" w:type="dxa"/>
            <w:noWrap w:val="0"/>
            <w:vAlign w:val="top"/>
          </w:tcPr>
          <w:p>
            <w:pPr>
              <w:pStyle w:val="288"/>
              <w:rPr>
                <w:sz w:val="20"/>
              </w:rPr>
            </w:pPr>
            <w:r>
              <w:rPr>
                <w:sz w:val="20"/>
              </w:rPr>
              <w:t>The RAN node detects that it is overloaded.</w:t>
            </w:r>
          </w:p>
        </w:tc>
        <w:tc>
          <w:tcPr>
            <w:tcW w:w="1359" w:type="dxa"/>
            <w:noWrap w:val="0"/>
            <w:vAlign w:val="top"/>
          </w:tcPr>
          <w:p>
            <w:pPr>
              <w:pStyle w:val="288"/>
              <w:rPr>
                <w:sz w:val="20"/>
              </w:rPr>
            </w:pPr>
          </w:p>
        </w:tc>
      </w:tr>
    </w:tbl>
    <w:p>
      <w:pPr>
        <w:numPr>
          <w:ilvl w:val="0"/>
          <w:numId w:val="0"/>
        </w:numPr>
        <w:ind w:leftChars="0"/>
        <w:rPr>
          <w:rFonts w:hint="default"/>
          <w:b/>
          <w:bCs/>
          <w:lang w:val="en-US" w:eastAsia="zh-CN"/>
        </w:rPr>
      </w:pPr>
    </w:p>
    <w:p>
      <w:pPr>
        <w:numPr>
          <w:ilvl w:val="0"/>
          <w:numId w:val="0"/>
        </w:numPr>
        <w:ind w:leftChars="0"/>
        <w:rPr>
          <w:rFonts w:hint="default"/>
          <w:lang w:val="en-US" w:eastAsia="zh-CN"/>
        </w:rPr>
      </w:pPr>
      <w:r>
        <w:rPr>
          <w:rFonts w:hint="default"/>
          <w:lang w:val="en-US" w:eastAsia="zh-CN"/>
        </w:rPr>
        <w:t>As the content i</w:t>
      </w:r>
      <w:r>
        <w:rPr>
          <w:rFonts w:hint="default"/>
          <w:highlight w:val="none"/>
          <w:lang w:val="en-US" w:eastAsia="zh-CN"/>
        </w:rPr>
        <w:t>n TS 28.404[4] shown ab</w:t>
      </w:r>
      <w:r>
        <w:rPr>
          <w:rFonts w:hint="default"/>
          <w:lang w:val="en-US" w:eastAsia="zh-CN"/>
        </w:rPr>
        <w:t>ove, the reason why we need the pause/resume QoE reporting function is to relief the RAN overload situation</w:t>
      </w:r>
      <w:r>
        <w:rPr>
          <w:rFonts w:hint="eastAsia"/>
          <w:lang w:val="en-US" w:eastAsia="zh-CN"/>
        </w:rPr>
        <w:t xml:space="preserve"> if needed</w:t>
      </w:r>
      <w:r>
        <w:rPr>
          <w:rFonts w:hint="default"/>
          <w:lang w:val="en-US" w:eastAsia="zh-CN"/>
        </w:rPr>
        <w:t xml:space="preserve">. It is clear that the </w:t>
      </w:r>
      <w:r>
        <w:rPr>
          <w:rFonts w:hint="eastAsia"/>
          <w:lang w:val="en-US" w:eastAsia="zh-CN"/>
        </w:rPr>
        <w:t xml:space="preserve">degree of </w:t>
      </w:r>
      <w:r>
        <w:rPr>
          <w:rFonts w:hint="default"/>
          <w:lang w:val="en-US" w:eastAsia="zh-CN"/>
        </w:rPr>
        <w:t xml:space="preserve">RAN overload </w:t>
      </w:r>
      <w:r>
        <w:rPr>
          <w:rFonts w:hint="eastAsia"/>
          <w:lang w:val="en-US" w:eastAsia="zh-CN"/>
        </w:rPr>
        <w:t xml:space="preserve">may be various in different cases. Hence, pause/resume all QoE reporting may not be an appropriate selection in all cases. </w:t>
      </w:r>
      <w:r>
        <w:rPr>
          <w:rFonts w:hint="default"/>
          <w:lang w:val="en-US" w:eastAsia="zh-CN"/>
        </w:rPr>
        <w:t xml:space="preserve">From our point of view, the capability of partial pause/resume QoE reporting can let NG-RAN node have more flexible process to handle different RAN overload situations. </w:t>
      </w:r>
    </w:p>
    <w:p>
      <w:pPr>
        <w:numPr>
          <w:ilvl w:val="0"/>
          <w:numId w:val="0"/>
        </w:numPr>
        <w:ind w:leftChars="0"/>
        <w:rPr>
          <w:rFonts w:hint="default"/>
          <w:lang w:val="en-US" w:eastAsia="zh-CN"/>
        </w:rPr>
      </w:pPr>
      <w:r>
        <w:rPr>
          <w:rFonts w:hint="default"/>
          <w:lang w:val="en-US" w:eastAsia="zh-CN"/>
        </w:rPr>
        <w:t>For example, NG-RAN node can pause all QoE reporting when a severe RAN overload occurs. In addition, if NG-RAN node foresees the RAN overload will happen, it can partially pause some QoE reporting to avoid the potential RAN overload. Or if the RAN overload is not heavy, the RAN node can also pause the management based QoE reporting to treat the overload condition.</w:t>
      </w:r>
    </w:p>
    <w:p>
      <w:pPr>
        <w:numPr>
          <w:ilvl w:val="0"/>
          <w:numId w:val="0"/>
        </w:numPr>
        <w:ind w:leftChars="0"/>
        <w:rPr>
          <w:rFonts w:hint="default"/>
          <w:lang w:val="en-US" w:eastAsia="zh-CN"/>
        </w:rPr>
      </w:pPr>
      <w:r>
        <w:rPr>
          <w:rFonts w:hint="default"/>
          <w:lang w:val="en-US" w:eastAsia="zh-CN"/>
        </w:rPr>
        <w:t>From the procedure prospective, RAN2 does not need to introduce a complex procedure to support pause/resume partial QoE reporting function. Hence, It is proposed that RAN2 shall support pause/resume partial QoE reporting. Details can be FFS.</w:t>
      </w:r>
    </w:p>
    <w:p>
      <w:pPr>
        <w:numPr>
          <w:ilvl w:val="0"/>
          <w:numId w:val="0"/>
        </w:numPr>
        <w:rPr>
          <w:rFonts w:hint="default"/>
          <w:lang w:val="en-US" w:eastAsia="zh-CN"/>
        </w:rPr>
      </w:pPr>
      <w:r>
        <w:rPr>
          <w:rFonts w:hint="default"/>
          <w:b/>
          <w:bCs/>
          <w:lang w:val="en-US" w:eastAsia="zh-CN"/>
        </w:rPr>
        <w:t xml:space="preserve">Proposal 3: </w:t>
      </w:r>
      <w:r>
        <w:rPr>
          <w:rFonts w:hint="eastAsia"/>
          <w:b/>
          <w:bCs/>
          <w:lang w:val="en-US" w:eastAsia="zh-CN"/>
        </w:rPr>
        <w:t>I</w:t>
      </w:r>
      <w:r>
        <w:rPr>
          <w:rFonts w:hint="default"/>
          <w:b/>
          <w:bCs/>
          <w:lang w:val="en-US" w:eastAsia="zh-CN"/>
        </w:rPr>
        <w:t>t is proposed that RAN2 shall support pause/resume partial QoE reporting. Details can be FFS.</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pPr>
        <w:bidi w:val="0"/>
        <w:rPr>
          <w:rFonts w:hint="eastAsia"/>
          <w:lang w:val="en-US" w:eastAsia="zh-CN"/>
        </w:rPr>
      </w:pPr>
      <w:r>
        <w:rPr>
          <w:rFonts w:hint="eastAsia"/>
          <w:lang w:val="en-US" w:eastAsia="zh-CN"/>
        </w:rPr>
        <w:t>Based on the discussions above, we have the following proposal.</w:t>
      </w:r>
    </w:p>
    <w:p>
      <w:pPr>
        <w:numPr>
          <w:ilvl w:val="0"/>
          <w:numId w:val="0"/>
        </w:numPr>
        <w:rPr>
          <w:rFonts w:hint="default"/>
          <w:b/>
          <w:bCs/>
          <w:lang w:val="en-US" w:eastAsia="zh-CN"/>
        </w:rPr>
      </w:pPr>
      <w:bookmarkStart w:id="9" w:name="_Toc18413612"/>
      <w:bookmarkStart w:id="10" w:name="_Toc18403976"/>
      <w:bookmarkStart w:id="11" w:name="_Toc18404543"/>
      <w:bookmarkStart w:id="12" w:name="OLE_LINK4"/>
      <w:r>
        <w:rPr>
          <w:rFonts w:hint="default"/>
          <w:b/>
          <w:bCs/>
          <w:lang w:val="en-US" w:eastAsia="zh-CN"/>
        </w:rPr>
        <w:t>Proposal 1: The QoE buffer issue(e.g. buffer limitation) discussion should be paused and continue if SA WGs agree to handle the QoE buffer for pause/resume QoE reporting function in AS layer.</w:t>
      </w:r>
    </w:p>
    <w:p>
      <w:pPr>
        <w:numPr>
          <w:ilvl w:val="0"/>
          <w:numId w:val="0"/>
        </w:numPr>
        <w:rPr>
          <w:rFonts w:hint="default" w:eastAsia="宋体" w:cs="Arial"/>
          <w:color w:val="000000"/>
          <w:sz w:val="21"/>
          <w:lang w:val="en-US" w:eastAsia="zh-CN"/>
        </w:rPr>
      </w:pPr>
      <w:r>
        <w:rPr>
          <w:rFonts w:hint="eastAsia" w:eastAsia="宋体"/>
          <w:b/>
          <w:bCs/>
          <w:lang w:val="en-US" w:eastAsia="zh-CN"/>
        </w:rPr>
        <w:t xml:space="preserve">Proposal </w:t>
      </w:r>
      <w:r>
        <w:rPr>
          <w:rFonts w:hint="default" w:eastAsia="宋体"/>
          <w:b/>
          <w:bCs/>
          <w:lang w:val="en-US" w:eastAsia="zh-CN"/>
        </w:rPr>
        <w:t>2</w:t>
      </w:r>
      <w:r>
        <w:rPr>
          <w:rFonts w:hint="eastAsia" w:eastAsia="宋体"/>
          <w:b/>
          <w:bCs/>
          <w:lang w:val="en-US" w:eastAsia="zh-CN"/>
        </w:rPr>
        <w:t>: RAN2 shall consider to implement one procedure to pause/resume QoE reporting for both signalling based and management based QoE reporting.</w:t>
      </w:r>
    </w:p>
    <w:p>
      <w:pPr>
        <w:numPr>
          <w:ilvl w:val="0"/>
          <w:numId w:val="0"/>
        </w:numPr>
        <w:ind w:leftChars="0"/>
        <w:rPr>
          <w:rFonts w:hint="default"/>
          <w:b/>
          <w:bCs/>
          <w:lang w:val="en-US" w:eastAsia="zh-CN"/>
        </w:rPr>
      </w:pPr>
      <w:r>
        <w:rPr>
          <w:rFonts w:hint="default"/>
          <w:b/>
          <w:bCs/>
          <w:lang w:val="en-US" w:eastAsia="zh-CN"/>
        </w:rPr>
        <w:t>Observation 1: Pause/resume all QoE reporting is a critical situation of pause/resume partial QoE reporting.</w:t>
      </w:r>
    </w:p>
    <w:p>
      <w:pPr>
        <w:numPr>
          <w:ilvl w:val="0"/>
          <w:numId w:val="0"/>
        </w:numPr>
        <w:rPr>
          <w:rFonts w:hint="default"/>
          <w:b/>
          <w:bCs/>
          <w:lang w:val="en-US" w:eastAsia="zh-CN"/>
        </w:rPr>
      </w:pPr>
      <w:r>
        <w:rPr>
          <w:rFonts w:hint="default"/>
          <w:b/>
          <w:bCs/>
          <w:lang w:val="en-US" w:eastAsia="zh-CN"/>
        </w:rPr>
        <w:t xml:space="preserve">Proposal 3: </w:t>
      </w:r>
      <w:r>
        <w:rPr>
          <w:rFonts w:hint="eastAsia"/>
          <w:b/>
          <w:bCs/>
          <w:lang w:val="en-US" w:eastAsia="zh-CN"/>
        </w:rPr>
        <w:t>I</w:t>
      </w:r>
      <w:r>
        <w:rPr>
          <w:rFonts w:hint="default"/>
          <w:b/>
          <w:bCs/>
          <w:lang w:val="en-US" w:eastAsia="zh-CN"/>
        </w:rPr>
        <w:t>t is proposed that RAN2 shall support pause/resume partial QoE reporting. Details can be FFS.</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9"/>
      <w:bookmarkEnd w:id="10"/>
      <w:bookmarkEnd w:id="11"/>
    </w:p>
    <w:p>
      <w:pPr>
        <w:numPr>
          <w:ilvl w:val="0"/>
          <w:numId w:val="6"/>
        </w:numPr>
        <w:spacing w:line="240" w:lineRule="auto"/>
        <w:rPr>
          <w:rFonts w:eastAsia="宋体" w:cs="Arial"/>
          <w:highlight w:val="none"/>
          <w:lang w:val="en-US" w:eastAsia="zh-CN"/>
        </w:rPr>
      </w:pPr>
      <w:bookmarkStart w:id="13" w:name="OLE_LINK3"/>
      <w:r>
        <w:rPr>
          <w:rFonts w:hint="eastAsia" w:eastAsia="宋体" w:cs="Arial"/>
          <w:sz w:val="21"/>
          <w:szCs w:val="21"/>
          <w:highlight w:val="none"/>
          <w:lang w:val="en-US" w:eastAsia="zh-CN"/>
        </w:rPr>
        <w:t>Chairman note for RAN2-114-e.</w:t>
      </w:r>
    </w:p>
    <w:p>
      <w:pPr>
        <w:numPr>
          <w:ilvl w:val="0"/>
          <w:numId w:val="6"/>
        </w:numPr>
        <w:spacing w:line="240" w:lineRule="auto"/>
        <w:rPr>
          <w:rFonts w:eastAsia="宋体" w:cs="Arial"/>
          <w:highlight w:val="none"/>
          <w:lang w:val="en-US" w:eastAsia="zh-CN"/>
        </w:rPr>
      </w:pPr>
      <w:r>
        <w:rPr>
          <w:rFonts w:hint="default"/>
          <w:highlight w:val="none"/>
          <w:lang w:val="en-US"/>
        </w:rPr>
        <w:t xml:space="preserve">RAN2 </w:t>
      </w:r>
      <w:r>
        <w:rPr>
          <w:highlight w:val="none"/>
        </w:rPr>
        <w:t>R2-2106775</w:t>
      </w:r>
      <w:r>
        <w:rPr>
          <w:rFonts w:hint="default"/>
          <w:highlight w:val="none"/>
          <w:lang w:val="en-US"/>
        </w:rPr>
        <w:t>, “LS on QoE report handling at QoE pause”.</w:t>
      </w:r>
    </w:p>
    <w:p>
      <w:pPr>
        <w:numPr>
          <w:ilvl w:val="0"/>
          <w:numId w:val="6"/>
        </w:numPr>
        <w:spacing w:line="240" w:lineRule="auto"/>
        <w:rPr>
          <w:rFonts w:eastAsia="宋体" w:cs="Arial"/>
          <w:highlight w:val="none"/>
          <w:lang w:val="en-US" w:eastAsia="zh-CN"/>
        </w:rPr>
      </w:pPr>
      <w:r>
        <w:rPr>
          <w:rFonts w:hint="eastAsia" w:eastAsia="宋体" w:cs="Arial"/>
          <w:highlight w:val="none"/>
          <w:lang w:val="en-US" w:eastAsia="zh-CN"/>
        </w:rPr>
        <w:t xml:space="preserve">3GPP </w:t>
      </w:r>
      <w:r>
        <w:rPr>
          <w:rFonts w:eastAsia="宋体" w:cs="Arial"/>
          <w:highlight w:val="none"/>
          <w:lang w:val="en-US" w:eastAsia="zh-CN"/>
        </w:rPr>
        <w:t>RP-</w:t>
      </w:r>
      <w:r>
        <w:rPr>
          <w:rFonts w:hint="eastAsia" w:eastAsia="宋体" w:cs="Arial"/>
          <w:highlight w:val="none"/>
          <w:lang w:val="en-US" w:eastAsia="zh-CN"/>
        </w:rPr>
        <w:t>210903,</w:t>
      </w:r>
      <w:r>
        <w:rPr>
          <w:rFonts w:eastAsia="宋体" w:cs="Arial"/>
          <w:highlight w:val="none"/>
          <w:lang w:val="en-US" w:eastAsia="zh-CN"/>
        </w:rPr>
        <w:t xml:space="preserve">“Work Item Description: </w:t>
      </w:r>
      <w:r>
        <w:rPr>
          <w:rFonts w:hint="eastAsia" w:eastAsia="宋体" w:cs="Arial"/>
          <w:highlight w:val="none"/>
          <w:lang w:val="en-US" w:eastAsia="zh-CN"/>
        </w:rPr>
        <w:t>NR Positioning Enhancements</w:t>
      </w:r>
      <w:r>
        <w:rPr>
          <w:rFonts w:eastAsia="宋体" w:cs="Arial"/>
          <w:highlight w:val="none"/>
          <w:lang w:val="en-US" w:eastAsia="zh-CN"/>
        </w:rPr>
        <w:t>”, RAN</w:t>
      </w:r>
      <w:r>
        <w:rPr>
          <w:rFonts w:hint="eastAsia" w:eastAsia="宋体" w:cs="Arial"/>
          <w:highlight w:val="none"/>
          <w:lang w:val="en-US" w:eastAsia="zh-CN"/>
        </w:rPr>
        <w:t>,Mar,26, 2021.</w:t>
      </w:r>
    </w:p>
    <w:bookmarkEnd w:id="13"/>
    <w:p>
      <w:pPr>
        <w:pStyle w:val="53"/>
        <w:numPr>
          <w:ilvl w:val="0"/>
          <w:numId w:val="6"/>
        </w:numPr>
        <w:spacing w:before="75" w:beforeAutospacing="0" w:after="75" w:afterAutospacing="0" w:line="240" w:lineRule="auto"/>
        <w:rPr>
          <w:rFonts w:cs="Arial"/>
          <w:color w:val="000000"/>
          <w:sz w:val="21"/>
          <w:szCs w:val="21"/>
          <w:highlight w:val="none"/>
        </w:rPr>
      </w:pPr>
      <w:r>
        <w:rPr>
          <w:rFonts w:hint="eastAsia" w:eastAsia="宋体" w:cs="Arial"/>
          <w:color w:val="000000"/>
          <w:sz w:val="21"/>
          <w:szCs w:val="21"/>
          <w:highlight w:val="none"/>
          <w:lang w:val="en-US" w:eastAsia="zh-CN"/>
        </w:rPr>
        <w:t>3GPP T</w:t>
      </w:r>
      <w:r>
        <w:rPr>
          <w:rFonts w:hint="default" w:eastAsia="宋体" w:cs="Arial"/>
          <w:color w:val="000000"/>
          <w:sz w:val="21"/>
          <w:szCs w:val="21"/>
          <w:highlight w:val="none"/>
          <w:lang w:val="en-US" w:eastAsia="zh-CN"/>
        </w:rPr>
        <w:t>S 28.404</w:t>
      </w:r>
      <w:r>
        <w:rPr>
          <w:rFonts w:hint="eastAsia" w:eastAsia="宋体" w:cs="Arial"/>
          <w:color w:val="000000"/>
          <w:sz w:val="21"/>
          <w:szCs w:val="21"/>
          <w:highlight w:val="none"/>
          <w:lang w:val="en-US" w:eastAsia="zh-CN"/>
        </w:rPr>
        <w:t xml:space="preserve">, </w:t>
      </w:r>
      <w:r>
        <w:rPr>
          <w:rFonts w:eastAsia="宋体" w:cs="Arial"/>
          <w:color w:val="000000"/>
          <w:sz w:val="21"/>
          <w:szCs w:val="21"/>
          <w:highlight w:val="none"/>
          <w:lang w:val="en-US" w:eastAsia="zh-CN"/>
        </w:rPr>
        <w:t>“</w:t>
      </w:r>
      <w:r>
        <w:rPr>
          <w:rFonts w:hint="eastAsia" w:eastAsia="宋体" w:cs="Arial"/>
          <w:color w:val="000000"/>
          <w:sz w:val="21"/>
          <w:szCs w:val="21"/>
          <w:highlight w:val="none"/>
          <w:lang w:val="en-US" w:eastAsia="zh-CN"/>
        </w:rPr>
        <w:t>Quality of Experience (QoE) measurement collection;Concepts, use cases and requirements</w:t>
      </w:r>
      <w:r>
        <w:rPr>
          <w:rFonts w:eastAsia="宋体" w:cs="Arial"/>
          <w:color w:val="000000"/>
          <w:sz w:val="21"/>
          <w:szCs w:val="21"/>
          <w:highlight w:val="none"/>
          <w:lang w:val="en-US" w:eastAsia="zh-CN"/>
        </w:rPr>
        <w:t>”</w:t>
      </w:r>
      <w:r>
        <w:rPr>
          <w:rFonts w:hint="eastAsia" w:eastAsia="宋体" w:cs="Arial"/>
          <w:color w:val="000000"/>
          <w:sz w:val="21"/>
          <w:szCs w:val="21"/>
          <w:highlight w:val="none"/>
          <w:lang w:val="en-US" w:eastAsia="zh-CN"/>
        </w:rPr>
        <w:t>, Release 1</w:t>
      </w:r>
      <w:r>
        <w:rPr>
          <w:rFonts w:hint="default" w:eastAsia="宋体" w:cs="Arial"/>
          <w:color w:val="000000"/>
          <w:sz w:val="21"/>
          <w:szCs w:val="21"/>
          <w:highlight w:val="none"/>
          <w:lang w:val="en-US" w:eastAsia="zh-CN"/>
        </w:rPr>
        <w:t>6</w:t>
      </w:r>
      <w:r>
        <w:rPr>
          <w:rFonts w:hint="eastAsia" w:eastAsia="宋体" w:cs="Arial"/>
          <w:color w:val="000000"/>
          <w:sz w:val="21"/>
          <w:szCs w:val="21"/>
          <w:highlight w:val="none"/>
          <w:lang w:val="en-US" w:eastAsia="zh-CN"/>
        </w:rPr>
        <w:t>,v</w:t>
      </w:r>
      <w:r>
        <w:rPr>
          <w:rFonts w:hint="default" w:eastAsia="宋体" w:cs="Arial"/>
          <w:color w:val="000000"/>
          <w:sz w:val="21"/>
          <w:szCs w:val="21"/>
          <w:highlight w:val="none"/>
          <w:lang w:val="en-US" w:eastAsia="zh-CN"/>
        </w:rPr>
        <w:t>16</w:t>
      </w:r>
      <w:r>
        <w:rPr>
          <w:rFonts w:hint="eastAsia" w:eastAsia="宋体" w:cs="Arial"/>
          <w:color w:val="000000"/>
          <w:sz w:val="21"/>
          <w:szCs w:val="21"/>
          <w:highlight w:val="none"/>
          <w:lang w:val="en-US" w:eastAsia="zh-CN"/>
        </w:rPr>
        <w:t>.</w:t>
      </w:r>
      <w:r>
        <w:rPr>
          <w:rFonts w:hint="default" w:eastAsia="宋体" w:cs="Arial"/>
          <w:color w:val="000000"/>
          <w:sz w:val="21"/>
          <w:szCs w:val="21"/>
          <w:highlight w:val="none"/>
          <w:lang w:val="en-US" w:eastAsia="zh-CN"/>
        </w:rPr>
        <w:t>2</w:t>
      </w:r>
      <w:r>
        <w:rPr>
          <w:rFonts w:hint="eastAsia" w:eastAsia="宋体" w:cs="Arial"/>
          <w:color w:val="000000"/>
          <w:sz w:val="21"/>
          <w:szCs w:val="21"/>
          <w:highlight w:val="none"/>
          <w:lang w:val="en-US" w:eastAsia="zh-CN"/>
        </w:rPr>
        <w:t xml:space="preserve">.0, </w:t>
      </w:r>
      <w:r>
        <w:rPr>
          <w:rFonts w:hint="default" w:eastAsia="宋体" w:cs="Arial"/>
          <w:color w:val="000000"/>
          <w:sz w:val="21"/>
          <w:szCs w:val="21"/>
          <w:highlight w:val="none"/>
          <w:lang w:val="en-US" w:eastAsia="zh-CN"/>
        </w:rPr>
        <w:t>March</w:t>
      </w:r>
      <w:r>
        <w:rPr>
          <w:rFonts w:hint="eastAsia" w:eastAsia="宋体" w:cs="Arial"/>
          <w:color w:val="000000"/>
          <w:sz w:val="21"/>
          <w:szCs w:val="21"/>
          <w:highlight w:val="none"/>
          <w:lang w:val="en-US" w:eastAsia="zh-CN"/>
        </w:rPr>
        <w:t>, 2020.</w:t>
      </w:r>
      <w:bookmarkEnd w:id="12"/>
    </w:p>
    <w:p>
      <w:pPr>
        <w:pStyle w:val="53"/>
        <w:numPr>
          <w:ilvl w:val="0"/>
          <w:numId w:val="0"/>
        </w:numPr>
        <w:spacing w:before="75" w:beforeAutospacing="0" w:after="75" w:afterAutospacing="0" w:line="240" w:lineRule="auto"/>
        <w:rPr>
          <w:rFonts w:cs="Arial"/>
          <w:color w:val="000000"/>
          <w:sz w:val="21"/>
          <w:szCs w:val="21"/>
          <w:highlight w:val="yellow"/>
        </w:rPr>
      </w:pPr>
    </w:p>
    <w:sectPr>
      <w:headerReference r:id="rId3" w:type="default"/>
      <w:footerReference r:id="rId4" w:type="default"/>
      <w:footerReference r:id="rId5" w:type="even"/>
      <w:pgSz w:w="11906" w:h="16838"/>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0"/>
      </w:rPr>
    </w:pPr>
    <w:r>
      <w:rPr>
        <w:rStyle w:val="60"/>
      </w:rPr>
      <w:fldChar w:fldCharType="begin"/>
    </w:r>
    <w:r>
      <w:rPr>
        <w:rStyle w:val="60"/>
      </w:rPr>
      <w:instrText xml:space="preserve">PAGE  </w:instrText>
    </w:r>
    <w:r>
      <w:rPr>
        <w:rStyle w:val="60"/>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65565A"/>
    <w:multiLevelType w:val="singleLevel"/>
    <w:tmpl w:val="B165565A"/>
    <w:lvl w:ilvl="0" w:tentative="0">
      <w:start w:val="1"/>
      <w:numFmt w:val="decimal"/>
      <w:suff w:val="space"/>
      <w:lvlText w:val="[%1]"/>
      <w:lvlJc w:val="left"/>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2DA70D6B"/>
    <w:multiLevelType w:val="multilevel"/>
    <w:tmpl w:val="2DA70D6B"/>
    <w:lvl w:ilvl="0" w:tentative="0">
      <w:start w:val="1"/>
      <w:numFmt w:val="decimal"/>
      <w:pStyle w:val="281"/>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2F5807BB"/>
    <w:multiLevelType w:val="multilevel"/>
    <w:tmpl w:val="2F5807BB"/>
    <w:lvl w:ilvl="0" w:tentative="0">
      <w:start w:val="1"/>
      <w:numFmt w:val="decimal"/>
      <w:pStyle w:val="28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1"/>
  </w:num>
  <w:num w:numId="2">
    <w:abstractNumId w:val="5"/>
  </w:num>
  <w:num w:numId="3">
    <w:abstractNumId w:val="3"/>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bordersDoNotSurroundHeader w:val="0"/>
  <w:bordersDoNotSurroundFooter w:val="0"/>
  <w:documentProtection w:enforcement="0"/>
  <w:defaultTabStop w:val="420"/>
  <w:hyphenationZone w:val="425"/>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521"/>
    <w:rsid w:val="0001674A"/>
    <w:rsid w:val="00017BA5"/>
    <w:rsid w:val="00021259"/>
    <w:rsid w:val="00021359"/>
    <w:rsid w:val="000223BE"/>
    <w:rsid w:val="000248FC"/>
    <w:rsid w:val="00024E29"/>
    <w:rsid w:val="0002660A"/>
    <w:rsid w:val="00026899"/>
    <w:rsid w:val="0002698B"/>
    <w:rsid w:val="00027EEC"/>
    <w:rsid w:val="00030321"/>
    <w:rsid w:val="00035A1E"/>
    <w:rsid w:val="00035EF9"/>
    <w:rsid w:val="00037973"/>
    <w:rsid w:val="00040A63"/>
    <w:rsid w:val="0004105F"/>
    <w:rsid w:val="00042E6F"/>
    <w:rsid w:val="00043923"/>
    <w:rsid w:val="00043FCA"/>
    <w:rsid w:val="00044EB3"/>
    <w:rsid w:val="00045EDE"/>
    <w:rsid w:val="00046E3D"/>
    <w:rsid w:val="000513C0"/>
    <w:rsid w:val="000563ED"/>
    <w:rsid w:val="000603D6"/>
    <w:rsid w:val="00063276"/>
    <w:rsid w:val="0007093A"/>
    <w:rsid w:val="00071D0A"/>
    <w:rsid w:val="0007205B"/>
    <w:rsid w:val="0007372F"/>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F0A49"/>
    <w:rsid w:val="000F0A7B"/>
    <w:rsid w:val="000F4CFF"/>
    <w:rsid w:val="000F4D2A"/>
    <w:rsid w:val="00100030"/>
    <w:rsid w:val="00101A67"/>
    <w:rsid w:val="00111739"/>
    <w:rsid w:val="00111C96"/>
    <w:rsid w:val="00111CE0"/>
    <w:rsid w:val="00111DF0"/>
    <w:rsid w:val="001135C5"/>
    <w:rsid w:val="00114117"/>
    <w:rsid w:val="001147C0"/>
    <w:rsid w:val="001156DF"/>
    <w:rsid w:val="001253A3"/>
    <w:rsid w:val="00126145"/>
    <w:rsid w:val="0012673B"/>
    <w:rsid w:val="001277F8"/>
    <w:rsid w:val="00131F75"/>
    <w:rsid w:val="0013288E"/>
    <w:rsid w:val="00134275"/>
    <w:rsid w:val="00134595"/>
    <w:rsid w:val="0013534D"/>
    <w:rsid w:val="00137B0E"/>
    <w:rsid w:val="00137D4E"/>
    <w:rsid w:val="00140571"/>
    <w:rsid w:val="001413B6"/>
    <w:rsid w:val="00141835"/>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7FEF"/>
    <w:rsid w:val="00190A8D"/>
    <w:rsid w:val="0019547D"/>
    <w:rsid w:val="00195E1F"/>
    <w:rsid w:val="00196645"/>
    <w:rsid w:val="001978AE"/>
    <w:rsid w:val="00197997"/>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3D8C"/>
    <w:rsid w:val="001E43EF"/>
    <w:rsid w:val="001E44CD"/>
    <w:rsid w:val="001E6F40"/>
    <w:rsid w:val="001F0A3C"/>
    <w:rsid w:val="001F1606"/>
    <w:rsid w:val="001F31F0"/>
    <w:rsid w:val="001F3DF5"/>
    <w:rsid w:val="001F4346"/>
    <w:rsid w:val="00201FFE"/>
    <w:rsid w:val="00202949"/>
    <w:rsid w:val="00202C4B"/>
    <w:rsid w:val="00203B88"/>
    <w:rsid w:val="00206380"/>
    <w:rsid w:val="002155FA"/>
    <w:rsid w:val="00216E24"/>
    <w:rsid w:val="002176DE"/>
    <w:rsid w:val="002177BC"/>
    <w:rsid w:val="00217C8F"/>
    <w:rsid w:val="00223B64"/>
    <w:rsid w:val="00224BF7"/>
    <w:rsid w:val="0023029F"/>
    <w:rsid w:val="00231281"/>
    <w:rsid w:val="00231DC2"/>
    <w:rsid w:val="002333B7"/>
    <w:rsid w:val="002344F2"/>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70A1C"/>
    <w:rsid w:val="00271ED8"/>
    <w:rsid w:val="002730ED"/>
    <w:rsid w:val="00281718"/>
    <w:rsid w:val="002855D0"/>
    <w:rsid w:val="002901F1"/>
    <w:rsid w:val="00290E18"/>
    <w:rsid w:val="002910B9"/>
    <w:rsid w:val="00291D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3001C"/>
    <w:rsid w:val="00330072"/>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3E62"/>
    <w:rsid w:val="003C4DF4"/>
    <w:rsid w:val="003D01E0"/>
    <w:rsid w:val="003D0AC7"/>
    <w:rsid w:val="003D0EF8"/>
    <w:rsid w:val="003D1455"/>
    <w:rsid w:val="003D19BD"/>
    <w:rsid w:val="003D2B72"/>
    <w:rsid w:val="003D42C7"/>
    <w:rsid w:val="003D4338"/>
    <w:rsid w:val="003D62B1"/>
    <w:rsid w:val="003D7765"/>
    <w:rsid w:val="003E1518"/>
    <w:rsid w:val="003E2FC9"/>
    <w:rsid w:val="003E42F6"/>
    <w:rsid w:val="003E48E7"/>
    <w:rsid w:val="003E6BF7"/>
    <w:rsid w:val="003E6F50"/>
    <w:rsid w:val="003E7C95"/>
    <w:rsid w:val="003E7D68"/>
    <w:rsid w:val="003F1437"/>
    <w:rsid w:val="003F3365"/>
    <w:rsid w:val="003F39E3"/>
    <w:rsid w:val="003F448B"/>
    <w:rsid w:val="003F58F6"/>
    <w:rsid w:val="003F6316"/>
    <w:rsid w:val="003F75E0"/>
    <w:rsid w:val="00401149"/>
    <w:rsid w:val="00402720"/>
    <w:rsid w:val="00402985"/>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2BBB"/>
    <w:rsid w:val="00485114"/>
    <w:rsid w:val="00485AE4"/>
    <w:rsid w:val="00486111"/>
    <w:rsid w:val="00490BB5"/>
    <w:rsid w:val="0049176F"/>
    <w:rsid w:val="00492EA5"/>
    <w:rsid w:val="00493247"/>
    <w:rsid w:val="00494981"/>
    <w:rsid w:val="00495E19"/>
    <w:rsid w:val="0049613E"/>
    <w:rsid w:val="0049650D"/>
    <w:rsid w:val="004A0053"/>
    <w:rsid w:val="004A014A"/>
    <w:rsid w:val="004A0572"/>
    <w:rsid w:val="004A1051"/>
    <w:rsid w:val="004A1B41"/>
    <w:rsid w:val="004A2687"/>
    <w:rsid w:val="004A402F"/>
    <w:rsid w:val="004A759D"/>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34869"/>
    <w:rsid w:val="0053653D"/>
    <w:rsid w:val="005371D2"/>
    <w:rsid w:val="00537528"/>
    <w:rsid w:val="005417DB"/>
    <w:rsid w:val="00542ED7"/>
    <w:rsid w:val="00545A76"/>
    <w:rsid w:val="005505EB"/>
    <w:rsid w:val="005506C7"/>
    <w:rsid w:val="005514AA"/>
    <w:rsid w:val="00553234"/>
    <w:rsid w:val="00553A61"/>
    <w:rsid w:val="0055402E"/>
    <w:rsid w:val="0055689F"/>
    <w:rsid w:val="005604D2"/>
    <w:rsid w:val="00560AD9"/>
    <w:rsid w:val="00561349"/>
    <w:rsid w:val="00561E2F"/>
    <w:rsid w:val="00563B02"/>
    <w:rsid w:val="005657FC"/>
    <w:rsid w:val="00565A4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220B"/>
    <w:rsid w:val="005B2E19"/>
    <w:rsid w:val="005B66D2"/>
    <w:rsid w:val="005B69F7"/>
    <w:rsid w:val="005B7842"/>
    <w:rsid w:val="005C1A52"/>
    <w:rsid w:val="005C1AC7"/>
    <w:rsid w:val="005C20A4"/>
    <w:rsid w:val="005C2356"/>
    <w:rsid w:val="005D289C"/>
    <w:rsid w:val="005D3051"/>
    <w:rsid w:val="005D57F1"/>
    <w:rsid w:val="005D680C"/>
    <w:rsid w:val="005D7B3F"/>
    <w:rsid w:val="005E06D3"/>
    <w:rsid w:val="005E27C0"/>
    <w:rsid w:val="005E2ED6"/>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53DC"/>
    <w:rsid w:val="00607058"/>
    <w:rsid w:val="0060767B"/>
    <w:rsid w:val="00607A6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8B7"/>
    <w:rsid w:val="00672B24"/>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5CB0"/>
    <w:rsid w:val="006C60A2"/>
    <w:rsid w:val="006C60B2"/>
    <w:rsid w:val="006C6193"/>
    <w:rsid w:val="006D0533"/>
    <w:rsid w:val="006D5430"/>
    <w:rsid w:val="006D63EF"/>
    <w:rsid w:val="006D783C"/>
    <w:rsid w:val="006D79B7"/>
    <w:rsid w:val="006D7C19"/>
    <w:rsid w:val="006D7CA8"/>
    <w:rsid w:val="006E2FE4"/>
    <w:rsid w:val="006E36C6"/>
    <w:rsid w:val="006E3B73"/>
    <w:rsid w:val="006E4123"/>
    <w:rsid w:val="006E7570"/>
    <w:rsid w:val="006F1491"/>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7D4D"/>
    <w:rsid w:val="00731322"/>
    <w:rsid w:val="00731E30"/>
    <w:rsid w:val="00733A47"/>
    <w:rsid w:val="00733B79"/>
    <w:rsid w:val="00734617"/>
    <w:rsid w:val="00736CDD"/>
    <w:rsid w:val="00736FEF"/>
    <w:rsid w:val="00737516"/>
    <w:rsid w:val="00741230"/>
    <w:rsid w:val="0074310F"/>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6028"/>
    <w:rsid w:val="007C0BA7"/>
    <w:rsid w:val="007C1074"/>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1489"/>
    <w:rsid w:val="00835356"/>
    <w:rsid w:val="00836D5A"/>
    <w:rsid w:val="0083795A"/>
    <w:rsid w:val="00837C9F"/>
    <w:rsid w:val="00841B23"/>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FA9"/>
    <w:rsid w:val="00872250"/>
    <w:rsid w:val="008731B8"/>
    <w:rsid w:val="00873D16"/>
    <w:rsid w:val="008757FA"/>
    <w:rsid w:val="008768D2"/>
    <w:rsid w:val="00876B45"/>
    <w:rsid w:val="00880F6C"/>
    <w:rsid w:val="0088223F"/>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61D8"/>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1B8C"/>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400CF"/>
    <w:rsid w:val="00940533"/>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B155B"/>
    <w:rsid w:val="009B183F"/>
    <w:rsid w:val="009B1F5B"/>
    <w:rsid w:val="009B3DB8"/>
    <w:rsid w:val="009B4769"/>
    <w:rsid w:val="009B4FF0"/>
    <w:rsid w:val="009C2086"/>
    <w:rsid w:val="009C3006"/>
    <w:rsid w:val="009C5F45"/>
    <w:rsid w:val="009D159F"/>
    <w:rsid w:val="009D2A16"/>
    <w:rsid w:val="009D6952"/>
    <w:rsid w:val="009D7F9A"/>
    <w:rsid w:val="009E068F"/>
    <w:rsid w:val="009E1B89"/>
    <w:rsid w:val="009E47DB"/>
    <w:rsid w:val="009E6103"/>
    <w:rsid w:val="009E619C"/>
    <w:rsid w:val="009E7020"/>
    <w:rsid w:val="009E7045"/>
    <w:rsid w:val="009E748B"/>
    <w:rsid w:val="009F1449"/>
    <w:rsid w:val="009F2244"/>
    <w:rsid w:val="009F3D12"/>
    <w:rsid w:val="009F4BCF"/>
    <w:rsid w:val="00A03D3F"/>
    <w:rsid w:val="00A04BEB"/>
    <w:rsid w:val="00A04DE2"/>
    <w:rsid w:val="00A05412"/>
    <w:rsid w:val="00A117FD"/>
    <w:rsid w:val="00A11A20"/>
    <w:rsid w:val="00A11DFB"/>
    <w:rsid w:val="00A11F1E"/>
    <w:rsid w:val="00A14BA5"/>
    <w:rsid w:val="00A14E89"/>
    <w:rsid w:val="00A15C80"/>
    <w:rsid w:val="00A15DA4"/>
    <w:rsid w:val="00A20607"/>
    <w:rsid w:val="00A20D0F"/>
    <w:rsid w:val="00A215EC"/>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89"/>
    <w:rsid w:val="00A44BE1"/>
    <w:rsid w:val="00A4500D"/>
    <w:rsid w:val="00A504A8"/>
    <w:rsid w:val="00A50E73"/>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132A"/>
    <w:rsid w:val="00B029C1"/>
    <w:rsid w:val="00B07903"/>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5BF6"/>
    <w:rsid w:val="00B670CE"/>
    <w:rsid w:val="00B67B79"/>
    <w:rsid w:val="00B67E74"/>
    <w:rsid w:val="00B716F8"/>
    <w:rsid w:val="00B82234"/>
    <w:rsid w:val="00B8283E"/>
    <w:rsid w:val="00B832A6"/>
    <w:rsid w:val="00B837AA"/>
    <w:rsid w:val="00B87D03"/>
    <w:rsid w:val="00B909E8"/>
    <w:rsid w:val="00B916CC"/>
    <w:rsid w:val="00B928EE"/>
    <w:rsid w:val="00B92AD5"/>
    <w:rsid w:val="00B94BA4"/>
    <w:rsid w:val="00B96D07"/>
    <w:rsid w:val="00B97DB5"/>
    <w:rsid w:val="00BA52AE"/>
    <w:rsid w:val="00BA7178"/>
    <w:rsid w:val="00BB1325"/>
    <w:rsid w:val="00BB156E"/>
    <w:rsid w:val="00BB3ABA"/>
    <w:rsid w:val="00BB4FEC"/>
    <w:rsid w:val="00BB65B1"/>
    <w:rsid w:val="00BB69D5"/>
    <w:rsid w:val="00BC03E1"/>
    <w:rsid w:val="00BC34F8"/>
    <w:rsid w:val="00BC4593"/>
    <w:rsid w:val="00BC6C9C"/>
    <w:rsid w:val="00BC6CA4"/>
    <w:rsid w:val="00BD05BF"/>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403E"/>
    <w:rsid w:val="00BF53E9"/>
    <w:rsid w:val="00BF5C82"/>
    <w:rsid w:val="00BF7A5E"/>
    <w:rsid w:val="00C0085D"/>
    <w:rsid w:val="00C00E47"/>
    <w:rsid w:val="00C010AA"/>
    <w:rsid w:val="00C013EF"/>
    <w:rsid w:val="00C02D2A"/>
    <w:rsid w:val="00C0358E"/>
    <w:rsid w:val="00C057BD"/>
    <w:rsid w:val="00C11D21"/>
    <w:rsid w:val="00C11EFC"/>
    <w:rsid w:val="00C1675F"/>
    <w:rsid w:val="00C2052B"/>
    <w:rsid w:val="00C21AFA"/>
    <w:rsid w:val="00C21F2D"/>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50168"/>
    <w:rsid w:val="00C5115B"/>
    <w:rsid w:val="00C5180C"/>
    <w:rsid w:val="00C518AE"/>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6816"/>
    <w:rsid w:val="00C97FD3"/>
    <w:rsid w:val="00CA0363"/>
    <w:rsid w:val="00CA06A4"/>
    <w:rsid w:val="00CA2343"/>
    <w:rsid w:val="00CA501F"/>
    <w:rsid w:val="00CA59FA"/>
    <w:rsid w:val="00CA61CF"/>
    <w:rsid w:val="00CA759F"/>
    <w:rsid w:val="00CB08EB"/>
    <w:rsid w:val="00CB0C90"/>
    <w:rsid w:val="00CB1749"/>
    <w:rsid w:val="00CB3A9F"/>
    <w:rsid w:val="00CB447F"/>
    <w:rsid w:val="00CB5048"/>
    <w:rsid w:val="00CB59EC"/>
    <w:rsid w:val="00CC10DA"/>
    <w:rsid w:val="00CC156D"/>
    <w:rsid w:val="00CC58C3"/>
    <w:rsid w:val="00CD229F"/>
    <w:rsid w:val="00CE2D1F"/>
    <w:rsid w:val="00CE316E"/>
    <w:rsid w:val="00CE52F0"/>
    <w:rsid w:val="00CF121A"/>
    <w:rsid w:val="00CF18A3"/>
    <w:rsid w:val="00CF356A"/>
    <w:rsid w:val="00CF4A61"/>
    <w:rsid w:val="00CF4B9A"/>
    <w:rsid w:val="00D0108B"/>
    <w:rsid w:val="00D029CB"/>
    <w:rsid w:val="00D04274"/>
    <w:rsid w:val="00D05A8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E14"/>
    <w:rsid w:val="00D4755C"/>
    <w:rsid w:val="00D52834"/>
    <w:rsid w:val="00D544FE"/>
    <w:rsid w:val="00D5596F"/>
    <w:rsid w:val="00D56F3F"/>
    <w:rsid w:val="00D61F13"/>
    <w:rsid w:val="00D62134"/>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1BA2"/>
    <w:rsid w:val="00DC22BE"/>
    <w:rsid w:val="00DC5F62"/>
    <w:rsid w:val="00DC7FAF"/>
    <w:rsid w:val="00DD02BA"/>
    <w:rsid w:val="00DD100B"/>
    <w:rsid w:val="00DD34FE"/>
    <w:rsid w:val="00DD42F9"/>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57E"/>
    <w:rsid w:val="00E1018A"/>
    <w:rsid w:val="00E120F4"/>
    <w:rsid w:val="00E136D8"/>
    <w:rsid w:val="00E153F6"/>
    <w:rsid w:val="00E15F7E"/>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65A"/>
    <w:rsid w:val="00E47D3F"/>
    <w:rsid w:val="00E505FB"/>
    <w:rsid w:val="00E521EE"/>
    <w:rsid w:val="00E52223"/>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53FB"/>
    <w:rsid w:val="00E85E3C"/>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6D11"/>
    <w:rsid w:val="00ED7856"/>
    <w:rsid w:val="00ED792B"/>
    <w:rsid w:val="00ED7DC2"/>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53EF"/>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3D21"/>
    <w:rsid w:val="00F73DFD"/>
    <w:rsid w:val="00F742DE"/>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010B71C0"/>
    <w:rsid w:val="016F2955"/>
    <w:rsid w:val="01E06294"/>
    <w:rsid w:val="02090528"/>
    <w:rsid w:val="02096E03"/>
    <w:rsid w:val="021A15C5"/>
    <w:rsid w:val="0276200A"/>
    <w:rsid w:val="02852DB6"/>
    <w:rsid w:val="02AF57A1"/>
    <w:rsid w:val="02C63FE5"/>
    <w:rsid w:val="03695ACD"/>
    <w:rsid w:val="037439E2"/>
    <w:rsid w:val="03BC3684"/>
    <w:rsid w:val="0427122D"/>
    <w:rsid w:val="04405CD4"/>
    <w:rsid w:val="044F0676"/>
    <w:rsid w:val="052A346F"/>
    <w:rsid w:val="05AE40A8"/>
    <w:rsid w:val="05D1293B"/>
    <w:rsid w:val="06270E5D"/>
    <w:rsid w:val="06301129"/>
    <w:rsid w:val="07332E45"/>
    <w:rsid w:val="07393CB3"/>
    <w:rsid w:val="07645E7E"/>
    <w:rsid w:val="07815AA2"/>
    <w:rsid w:val="07DB31F6"/>
    <w:rsid w:val="08036844"/>
    <w:rsid w:val="083828A5"/>
    <w:rsid w:val="083A052C"/>
    <w:rsid w:val="08634AA9"/>
    <w:rsid w:val="086A0D8F"/>
    <w:rsid w:val="08870B03"/>
    <w:rsid w:val="09253E9C"/>
    <w:rsid w:val="0929781C"/>
    <w:rsid w:val="095438C6"/>
    <w:rsid w:val="098B1EF5"/>
    <w:rsid w:val="09911B95"/>
    <w:rsid w:val="09945F3A"/>
    <w:rsid w:val="09CB5A6C"/>
    <w:rsid w:val="09F00BD8"/>
    <w:rsid w:val="09F318B6"/>
    <w:rsid w:val="09FD6E02"/>
    <w:rsid w:val="0A1A74F5"/>
    <w:rsid w:val="0A1D73FF"/>
    <w:rsid w:val="0A750F68"/>
    <w:rsid w:val="0AE61C59"/>
    <w:rsid w:val="0AEC356E"/>
    <w:rsid w:val="0B545B44"/>
    <w:rsid w:val="0BAF148B"/>
    <w:rsid w:val="0C34609D"/>
    <w:rsid w:val="0C4A196E"/>
    <w:rsid w:val="0CBA1583"/>
    <w:rsid w:val="0CBC415D"/>
    <w:rsid w:val="0CD249CC"/>
    <w:rsid w:val="0CE47597"/>
    <w:rsid w:val="0D9222C1"/>
    <w:rsid w:val="0DC045AB"/>
    <w:rsid w:val="0DF763D2"/>
    <w:rsid w:val="0DFF7D07"/>
    <w:rsid w:val="0E374CA0"/>
    <w:rsid w:val="0E425586"/>
    <w:rsid w:val="0E6F0740"/>
    <w:rsid w:val="0EC0431F"/>
    <w:rsid w:val="0F321E2D"/>
    <w:rsid w:val="0F4E2E70"/>
    <w:rsid w:val="0F510AE0"/>
    <w:rsid w:val="0F6715A1"/>
    <w:rsid w:val="0F8070F6"/>
    <w:rsid w:val="0FA731D6"/>
    <w:rsid w:val="10232DBB"/>
    <w:rsid w:val="103246BB"/>
    <w:rsid w:val="103F55E5"/>
    <w:rsid w:val="104A07DF"/>
    <w:rsid w:val="108C2AA3"/>
    <w:rsid w:val="10DE14BF"/>
    <w:rsid w:val="10DF3115"/>
    <w:rsid w:val="10E00123"/>
    <w:rsid w:val="113E3C41"/>
    <w:rsid w:val="11B5797D"/>
    <w:rsid w:val="11DD4AE3"/>
    <w:rsid w:val="11E15AE5"/>
    <w:rsid w:val="11E53E9B"/>
    <w:rsid w:val="11FC5F30"/>
    <w:rsid w:val="120048B1"/>
    <w:rsid w:val="12015140"/>
    <w:rsid w:val="12394E59"/>
    <w:rsid w:val="1299671F"/>
    <w:rsid w:val="12A742B1"/>
    <w:rsid w:val="131813A1"/>
    <w:rsid w:val="13C866DF"/>
    <w:rsid w:val="13DC640D"/>
    <w:rsid w:val="13F01C1F"/>
    <w:rsid w:val="141842FE"/>
    <w:rsid w:val="14352831"/>
    <w:rsid w:val="144A0A3E"/>
    <w:rsid w:val="146B64E1"/>
    <w:rsid w:val="14993B21"/>
    <w:rsid w:val="14D73601"/>
    <w:rsid w:val="15014A40"/>
    <w:rsid w:val="156B4B8B"/>
    <w:rsid w:val="15890495"/>
    <w:rsid w:val="15D71B32"/>
    <w:rsid w:val="15E03D6F"/>
    <w:rsid w:val="15EF5060"/>
    <w:rsid w:val="169C366A"/>
    <w:rsid w:val="16DA1E4D"/>
    <w:rsid w:val="16FB015A"/>
    <w:rsid w:val="17003574"/>
    <w:rsid w:val="17535B24"/>
    <w:rsid w:val="17675E68"/>
    <w:rsid w:val="17A31370"/>
    <w:rsid w:val="17B06B1C"/>
    <w:rsid w:val="17D92C65"/>
    <w:rsid w:val="17F53DC6"/>
    <w:rsid w:val="180B4FFB"/>
    <w:rsid w:val="18211C57"/>
    <w:rsid w:val="1842664F"/>
    <w:rsid w:val="18543673"/>
    <w:rsid w:val="186B7D0B"/>
    <w:rsid w:val="189D065F"/>
    <w:rsid w:val="18BC6F6C"/>
    <w:rsid w:val="18C25348"/>
    <w:rsid w:val="18CE583B"/>
    <w:rsid w:val="18F32BCE"/>
    <w:rsid w:val="18FF4ABB"/>
    <w:rsid w:val="19343406"/>
    <w:rsid w:val="195B2085"/>
    <w:rsid w:val="1A45032B"/>
    <w:rsid w:val="1A640E62"/>
    <w:rsid w:val="1A713779"/>
    <w:rsid w:val="1A84217D"/>
    <w:rsid w:val="1A9B1F53"/>
    <w:rsid w:val="1ABB54B3"/>
    <w:rsid w:val="1AC25553"/>
    <w:rsid w:val="1AE025B8"/>
    <w:rsid w:val="1B3D4012"/>
    <w:rsid w:val="1B481AFB"/>
    <w:rsid w:val="1B7A1663"/>
    <w:rsid w:val="1B7A249F"/>
    <w:rsid w:val="1B8F6978"/>
    <w:rsid w:val="1BA23557"/>
    <w:rsid w:val="1BC27038"/>
    <w:rsid w:val="1BC73993"/>
    <w:rsid w:val="1BD24B16"/>
    <w:rsid w:val="1BF62321"/>
    <w:rsid w:val="1C130C67"/>
    <w:rsid w:val="1C2D5D31"/>
    <w:rsid w:val="1C5D6CC2"/>
    <w:rsid w:val="1C696E9C"/>
    <w:rsid w:val="1CA21F0A"/>
    <w:rsid w:val="1CBD093F"/>
    <w:rsid w:val="1CC83450"/>
    <w:rsid w:val="1CE21C50"/>
    <w:rsid w:val="1CE9601A"/>
    <w:rsid w:val="1D235F66"/>
    <w:rsid w:val="1D665A9E"/>
    <w:rsid w:val="1D667D51"/>
    <w:rsid w:val="1D8D3AB3"/>
    <w:rsid w:val="1DC566C0"/>
    <w:rsid w:val="1DE501D0"/>
    <w:rsid w:val="1E21472F"/>
    <w:rsid w:val="1E2804C4"/>
    <w:rsid w:val="1E2C49A1"/>
    <w:rsid w:val="1E3722FA"/>
    <w:rsid w:val="1E8146DA"/>
    <w:rsid w:val="1EA46EA2"/>
    <w:rsid w:val="1EAA39F6"/>
    <w:rsid w:val="1EB2633F"/>
    <w:rsid w:val="1EB847E9"/>
    <w:rsid w:val="1F8E0455"/>
    <w:rsid w:val="1FA76059"/>
    <w:rsid w:val="1FAF272D"/>
    <w:rsid w:val="1FD0672A"/>
    <w:rsid w:val="1FE374E8"/>
    <w:rsid w:val="1FFC5344"/>
    <w:rsid w:val="204934AB"/>
    <w:rsid w:val="20573F56"/>
    <w:rsid w:val="20705710"/>
    <w:rsid w:val="20840318"/>
    <w:rsid w:val="20930DFA"/>
    <w:rsid w:val="20CE5836"/>
    <w:rsid w:val="20D02BC7"/>
    <w:rsid w:val="20F0405B"/>
    <w:rsid w:val="210637EE"/>
    <w:rsid w:val="210948AE"/>
    <w:rsid w:val="211E529B"/>
    <w:rsid w:val="213A5E32"/>
    <w:rsid w:val="214425B4"/>
    <w:rsid w:val="215B24B5"/>
    <w:rsid w:val="21D36B48"/>
    <w:rsid w:val="21D93ECC"/>
    <w:rsid w:val="221B7641"/>
    <w:rsid w:val="222E4F94"/>
    <w:rsid w:val="224F5646"/>
    <w:rsid w:val="22666B0B"/>
    <w:rsid w:val="229A0A46"/>
    <w:rsid w:val="22D5441E"/>
    <w:rsid w:val="22D61F71"/>
    <w:rsid w:val="232660FF"/>
    <w:rsid w:val="23BE01FF"/>
    <w:rsid w:val="24004246"/>
    <w:rsid w:val="2410019C"/>
    <w:rsid w:val="2418652F"/>
    <w:rsid w:val="245A1846"/>
    <w:rsid w:val="248512BD"/>
    <w:rsid w:val="24E51B39"/>
    <w:rsid w:val="25173A41"/>
    <w:rsid w:val="252D5DCC"/>
    <w:rsid w:val="255B75CB"/>
    <w:rsid w:val="25841D88"/>
    <w:rsid w:val="25A45302"/>
    <w:rsid w:val="25A94E88"/>
    <w:rsid w:val="25E135DF"/>
    <w:rsid w:val="261E413F"/>
    <w:rsid w:val="263E633F"/>
    <w:rsid w:val="267E599C"/>
    <w:rsid w:val="26C17FC8"/>
    <w:rsid w:val="27242E3E"/>
    <w:rsid w:val="277340DD"/>
    <w:rsid w:val="27B132D6"/>
    <w:rsid w:val="27FF1FDA"/>
    <w:rsid w:val="28915210"/>
    <w:rsid w:val="28937E74"/>
    <w:rsid w:val="29095102"/>
    <w:rsid w:val="293E1B9C"/>
    <w:rsid w:val="29A81AA0"/>
    <w:rsid w:val="29B32846"/>
    <w:rsid w:val="29ED63D5"/>
    <w:rsid w:val="2A275682"/>
    <w:rsid w:val="2A275D46"/>
    <w:rsid w:val="2A406DE2"/>
    <w:rsid w:val="2A9376BC"/>
    <w:rsid w:val="2AA14025"/>
    <w:rsid w:val="2B2348E2"/>
    <w:rsid w:val="2B5D0645"/>
    <w:rsid w:val="2B907720"/>
    <w:rsid w:val="2BCD0751"/>
    <w:rsid w:val="2C7F2EA6"/>
    <w:rsid w:val="2C8C2358"/>
    <w:rsid w:val="2C8E4E6A"/>
    <w:rsid w:val="2C9927E7"/>
    <w:rsid w:val="2CA56F60"/>
    <w:rsid w:val="2CAF2767"/>
    <w:rsid w:val="2CFB59F1"/>
    <w:rsid w:val="2D125EB2"/>
    <w:rsid w:val="2D1E05D5"/>
    <w:rsid w:val="2D5627A8"/>
    <w:rsid w:val="2D8D29A8"/>
    <w:rsid w:val="2D9A6090"/>
    <w:rsid w:val="2D9D4CC1"/>
    <w:rsid w:val="2DBD4FAF"/>
    <w:rsid w:val="2E09336F"/>
    <w:rsid w:val="2E615D6D"/>
    <w:rsid w:val="2EC27772"/>
    <w:rsid w:val="2ED0428B"/>
    <w:rsid w:val="2F263E1B"/>
    <w:rsid w:val="2F337D9E"/>
    <w:rsid w:val="2F6E2BFC"/>
    <w:rsid w:val="300160A4"/>
    <w:rsid w:val="3003631E"/>
    <w:rsid w:val="30745F5B"/>
    <w:rsid w:val="3078124A"/>
    <w:rsid w:val="3090209F"/>
    <w:rsid w:val="30953FB5"/>
    <w:rsid w:val="31623402"/>
    <w:rsid w:val="31EB4942"/>
    <w:rsid w:val="31EC5E5F"/>
    <w:rsid w:val="32187B45"/>
    <w:rsid w:val="32362071"/>
    <w:rsid w:val="3273050E"/>
    <w:rsid w:val="32817193"/>
    <w:rsid w:val="32891F62"/>
    <w:rsid w:val="328C1583"/>
    <w:rsid w:val="32C9080C"/>
    <w:rsid w:val="32CA0CF4"/>
    <w:rsid w:val="334275F5"/>
    <w:rsid w:val="33636F14"/>
    <w:rsid w:val="33670485"/>
    <w:rsid w:val="33C54618"/>
    <w:rsid w:val="34211C7C"/>
    <w:rsid w:val="347A4EB8"/>
    <w:rsid w:val="35183D8B"/>
    <w:rsid w:val="35387D52"/>
    <w:rsid w:val="35513FB8"/>
    <w:rsid w:val="356926AE"/>
    <w:rsid w:val="35746D1B"/>
    <w:rsid w:val="358E0757"/>
    <w:rsid w:val="35AE7101"/>
    <w:rsid w:val="35BB43C3"/>
    <w:rsid w:val="35F9212A"/>
    <w:rsid w:val="36281B26"/>
    <w:rsid w:val="36336C04"/>
    <w:rsid w:val="365C0D8B"/>
    <w:rsid w:val="366043F8"/>
    <w:rsid w:val="366626F2"/>
    <w:rsid w:val="366F5A51"/>
    <w:rsid w:val="374F6194"/>
    <w:rsid w:val="377F6041"/>
    <w:rsid w:val="37BC7D72"/>
    <w:rsid w:val="37E15A1B"/>
    <w:rsid w:val="382E42A6"/>
    <w:rsid w:val="38626E95"/>
    <w:rsid w:val="38A75F14"/>
    <w:rsid w:val="38BD2C6C"/>
    <w:rsid w:val="38FA0996"/>
    <w:rsid w:val="38FA513B"/>
    <w:rsid w:val="39467E4B"/>
    <w:rsid w:val="396E02FE"/>
    <w:rsid w:val="3982272C"/>
    <w:rsid w:val="399133F9"/>
    <w:rsid w:val="399648C1"/>
    <w:rsid w:val="39BB3B43"/>
    <w:rsid w:val="3A156CE0"/>
    <w:rsid w:val="3A277789"/>
    <w:rsid w:val="3A2D66D3"/>
    <w:rsid w:val="3A891A0E"/>
    <w:rsid w:val="3A9620D1"/>
    <w:rsid w:val="3AA26C9B"/>
    <w:rsid w:val="3ADC5E36"/>
    <w:rsid w:val="3AFC2B33"/>
    <w:rsid w:val="3AFC41BB"/>
    <w:rsid w:val="3B6C5507"/>
    <w:rsid w:val="3B7F2802"/>
    <w:rsid w:val="3B8B43E4"/>
    <w:rsid w:val="3BC33F8E"/>
    <w:rsid w:val="3BCE7F95"/>
    <w:rsid w:val="3C087392"/>
    <w:rsid w:val="3C3F7E0E"/>
    <w:rsid w:val="3C851465"/>
    <w:rsid w:val="3C893061"/>
    <w:rsid w:val="3CB674D9"/>
    <w:rsid w:val="3CC937E3"/>
    <w:rsid w:val="3D0F30FA"/>
    <w:rsid w:val="3D634A82"/>
    <w:rsid w:val="3D9210CE"/>
    <w:rsid w:val="3D96634B"/>
    <w:rsid w:val="3DAC0E95"/>
    <w:rsid w:val="3E7A082F"/>
    <w:rsid w:val="3E926EC3"/>
    <w:rsid w:val="3E93478A"/>
    <w:rsid w:val="3E9F10BF"/>
    <w:rsid w:val="3EA41691"/>
    <w:rsid w:val="3EB7148B"/>
    <w:rsid w:val="3EC40624"/>
    <w:rsid w:val="3EF93E2B"/>
    <w:rsid w:val="3F0875E3"/>
    <w:rsid w:val="3F09726C"/>
    <w:rsid w:val="3F0F2BD0"/>
    <w:rsid w:val="3F1F25CF"/>
    <w:rsid w:val="3F495E7B"/>
    <w:rsid w:val="3F5B21D1"/>
    <w:rsid w:val="3FB60A94"/>
    <w:rsid w:val="3FBD74AC"/>
    <w:rsid w:val="402D7D95"/>
    <w:rsid w:val="402F67F2"/>
    <w:rsid w:val="402F7D1A"/>
    <w:rsid w:val="405E7B10"/>
    <w:rsid w:val="411531A3"/>
    <w:rsid w:val="414B0A93"/>
    <w:rsid w:val="415723A1"/>
    <w:rsid w:val="41643432"/>
    <w:rsid w:val="421B0E01"/>
    <w:rsid w:val="42481B2A"/>
    <w:rsid w:val="437906BF"/>
    <w:rsid w:val="43945CC5"/>
    <w:rsid w:val="43CE3BC6"/>
    <w:rsid w:val="43FB5AF0"/>
    <w:rsid w:val="440B4BBE"/>
    <w:rsid w:val="44211E9A"/>
    <w:rsid w:val="4454633F"/>
    <w:rsid w:val="44555A83"/>
    <w:rsid w:val="446A1C8A"/>
    <w:rsid w:val="44C70D28"/>
    <w:rsid w:val="44EE2D37"/>
    <w:rsid w:val="44FB1A24"/>
    <w:rsid w:val="45465A74"/>
    <w:rsid w:val="457210D8"/>
    <w:rsid w:val="459C31A4"/>
    <w:rsid w:val="45E30915"/>
    <w:rsid w:val="45E40321"/>
    <w:rsid w:val="4625557D"/>
    <w:rsid w:val="464F0E9C"/>
    <w:rsid w:val="465173C0"/>
    <w:rsid w:val="467E3F9B"/>
    <w:rsid w:val="46825B05"/>
    <w:rsid w:val="4684656F"/>
    <w:rsid w:val="46867C6B"/>
    <w:rsid w:val="46CC7A0B"/>
    <w:rsid w:val="46FB6BA0"/>
    <w:rsid w:val="47047ED5"/>
    <w:rsid w:val="470D32F9"/>
    <w:rsid w:val="473D266B"/>
    <w:rsid w:val="479A47C1"/>
    <w:rsid w:val="47A30EFE"/>
    <w:rsid w:val="47B952BD"/>
    <w:rsid w:val="47FE7D60"/>
    <w:rsid w:val="48110BF4"/>
    <w:rsid w:val="48200D75"/>
    <w:rsid w:val="48283643"/>
    <w:rsid w:val="484C3C28"/>
    <w:rsid w:val="48516D40"/>
    <w:rsid w:val="486A5C7B"/>
    <w:rsid w:val="48BB3F94"/>
    <w:rsid w:val="48E03D9C"/>
    <w:rsid w:val="49374149"/>
    <w:rsid w:val="49613924"/>
    <w:rsid w:val="496D0F3E"/>
    <w:rsid w:val="49E12571"/>
    <w:rsid w:val="49E378C6"/>
    <w:rsid w:val="4A447511"/>
    <w:rsid w:val="4A834EBE"/>
    <w:rsid w:val="4A84625B"/>
    <w:rsid w:val="4AE42FC1"/>
    <w:rsid w:val="4B3040AF"/>
    <w:rsid w:val="4B55574A"/>
    <w:rsid w:val="4B8B3072"/>
    <w:rsid w:val="4BA90131"/>
    <w:rsid w:val="4BB36285"/>
    <w:rsid w:val="4BD35EC5"/>
    <w:rsid w:val="4BF55CE7"/>
    <w:rsid w:val="4C1B3C0A"/>
    <w:rsid w:val="4C4846F9"/>
    <w:rsid w:val="4CBC728A"/>
    <w:rsid w:val="4CED6111"/>
    <w:rsid w:val="4CFB69A6"/>
    <w:rsid w:val="4D2316EA"/>
    <w:rsid w:val="4D267491"/>
    <w:rsid w:val="4D331FE6"/>
    <w:rsid w:val="4D830955"/>
    <w:rsid w:val="4DF641D3"/>
    <w:rsid w:val="4E3E017D"/>
    <w:rsid w:val="4E5F59DA"/>
    <w:rsid w:val="4EA44C2A"/>
    <w:rsid w:val="4EB546B6"/>
    <w:rsid w:val="4EF23E87"/>
    <w:rsid w:val="4F2941D5"/>
    <w:rsid w:val="4FF955FD"/>
    <w:rsid w:val="4FFC0A94"/>
    <w:rsid w:val="4FFF2F7D"/>
    <w:rsid w:val="50081059"/>
    <w:rsid w:val="504F4E51"/>
    <w:rsid w:val="509E2AE6"/>
    <w:rsid w:val="50F36CD9"/>
    <w:rsid w:val="512E641B"/>
    <w:rsid w:val="517D059D"/>
    <w:rsid w:val="51FA56D9"/>
    <w:rsid w:val="521723B7"/>
    <w:rsid w:val="523F7F97"/>
    <w:rsid w:val="52CA24EF"/>
    <w:rsid w:val="53047529"/>
    <w:rsid w:val="53133561"/>
    <w:rsid w:val="53B9060B"/>
    <w:rsid w:val="54107975"/>
    <w:rsid w:val="5451551D"/>
    <w:rsid w:val="548C2C0D"/>
    <w:rsid w:val="54D6790A"/>
    <w:rsid w:val="55205953"/>
    <w:rsid w:val="553A4CBA"/>
    <w:rsid w:val="557E6857"/>
    <w:rsid w:val="55E15918"/>
    <w:rsid w:val="55E65C45"/>
    <w:rsid w:val="55EA2DA9"/>
    <w:rsid w:val="55F9753C"/>
    <w:rsid w:val="55FA344A"/>
    <w:rsid w:val="5616542D"/>
    <w:rsid w:val="563A460F"/>
    <w:rsid w:val="566B6C45"/>
    <w:rsid w:val="56975E59"/>
    <w:rsid w:val="569C350B"/>
    <w:rsid w:val="56AB26BC"/>
    <w:rsid w:val="56BF0EA2"/>
    <w:rsid w:val="56EA3918"/>
    <w:rsid w:val="57460503"/>
    <w:rsid w:val="575272DC"/>
    <w:rsid w:val="575370FA"/>
    <w:rsid w:val="57B642BC"/>
    <w:rsid w:val="57BD0A78"/>
    <w:rsid w:val="57DC6FDD"/>
    <w:rsid w:val="57FB5F50"/>
    <w:rsid w:val="58984B29"/>
    <w:rsid w:val="589E7340"/>
    <w:rsid w:val="58B03A4A"/>
    <w:rsid w:val="590D5DDF"/>
    <w:rsid w:val="596F34AA"/>
    <w:rsid w:val="59C407FC"/>
    <w:rsid w:val="59C754AB"/>
    <w:rsid w:val="59E079AB"/>
    <w:rsid w:val="5A375749"/>
    <w:rsid w:val="5A726BA0"/>
    <w:rsid w:val="5AD3204F"/>
    <w:rsid w:val="5B071BBA"/>
    <w:rsid w:val="5B3C55BF"/>
    <w:rsid w:val="5B63756F"/>
    <w:rsid w:val="5B725B6B"/>
    <w:rsid w:val="5BBE026D"/>
    <w:rsid w:val="5BD439A7"/>
    <w:rsid w:val="5BDF3319"/>
    <w:rsid w:val="5BEF3BBE"/>
    <w:rsid w:val="5C991133"/>
    <w:rsid w:val="5C995E25"/>
    <w:rsid w:val="5CEF7FAB"/>
    <w:rsid w:val="5CF36DFF"/>
    <w:rsid w:val="5D5144C0"/>
    <w:rsid w:val="5DFB2BCA"/>
    <w:rsid w:val="5E2A7858"/>
    <w:rsid w:val="5E790BE8"/>
    <w:rsid w:val="5E973039"/>
    <w:rsid w:val="5EA87B0A"/>
    <w:rsid w:val="5EB119EE"/>
    <w:rsid w:val="5EEF7AA9"/>
    <w:rsid w:val="5F3E2940"/>
    <w:rsid w:val="5F4945D9"/>
    <w:rsid w:val="5F4E4F30"/>
    <w:rsid w:val="5F825446"/>
    <w:rsid w:val="5FAE4FA2"/>
    <w:rsid w:val="5FBE69BB"/>
    <w:rsid w:val="5FCB4192"/>
    <w:rsid w:val="601A7A49"/>
    <w:rsid w:val="602F4794"/>
    <w:rsid w:val="604D1869"/>
    <w:rsid w:val="607F4912"/>
    <w:rsid w:val="60881A7C"/>
    <w:rsid w:val="609751E5"/>
    <w:rsid w:val="60C10976"/>
    <w:rsid w:val="61563C9D"/>
    <w:rsid w:val="61C16E82"/>
    <w:rsid w:val="61D81A5C"/>
    <w:rsid w:val="620D1678"/>
    <w:rsid w:val="62800B8F"/>
    <w:rsid w:val="62B8321C"/>
    <w:rsid w:val="62D625D5"/>
    <w:rsid w:val="630962B4"/>
    <w:rsid w:val="63766DF5"/>
    <w:rsid w:val="63BE6B4B"/>
    <w:rsid w:val="63E41E32"/>
    <w:rsid w:val="6406254B"/>
    <w:rsid w:val="643636FB"/>
    <w:rsid w:val="64522BD2"/>
    <w:rsid w:val="646766DC"/>
    <w:rsid w:val="64E010F2"/>
    <w:rsid w:val="6503009D"/>
    <w:rsid w:val="651E5E20"/>
    <w:rsid w:val="65535A1B"/>
    <w:rsid w:val="657E2D0B"/>
    <w:rsid w:val="65817DB1"/>
    <w:rsid w:val="65FE510C"/>
    <w:rsid w:val="660E507B"/>
    <w:rsid w:val="66373410"/>
    <w:rsid w:val="664D4AB5"/>
    <w:rsid w:val="66576902"/>
    <w:rsid w:val="668D6BED"/>
    <w:rsid w:val="669369C9"/>
    <w:rsid w:val="66943B2D"/>
    <w:rsid w:val="669B1282"/>
    <w:rsid w:val="66CA61B4"/>
    <w:rsid w:val="67165E6D"/>
    <w:rsid w:val="675A1CF7"/>
    <w:rsid w:val="6761194F"/>
    <w:rsid w:val="677F7400"/>
    <w:rsid w:val="67A01566"/>
    <w:rsid w:val="67A63D55"/>
    <w:rsid w:val="67A84465"/>
    <w:rsid w:val="67AB3B49"/>
    <w:rsid w:val="68384317"/>
    <w:rsid w:val="685F312A"/>
    <w:rsid w:val="68603781"/>
    <w:rsid w:val="68CC70D7"/>
    <w:rsid w:val="69291ACC"/>
    <w:rsid w:val="6933530D"/>
    <w:rsid w:val="693F57CE"/>
    <w:rsid w:val="69433D4A"/>
    <w:rsid w:val="696B32FD"/>
    <w:rsid w:val="69797C2C"/>
    <w:rsid w:val="69AB78DD"/>
    <w:rsid w:val="69D171A3"/>
    <w:rsid w:val="69D74CDC"/>
    <w:rsid w:val="6A206938"/>
    <w:rsid w:val="6A2F1F48"/>
    <w:rsid w:val="6A6C5A40"/>
    <w:rsid w:val="6A9B47A1"/>
    <w:rsid w:val="6AB91DE7"/>
    <w:rsid w:val="6AFF14C0"/>
    <w:rsid w:val="6B0E13E7"/>
    <w:rsid w:val="6B1301B0"/>
    <w:rsid w:val="6B29781B"/>
    <w:rsid w:val="6B5068BA"/>
    <w:rsid w:val="6BCA3BDA"/>
    <w:rsid w:val="6BFF0085"/>
    <w:rsid w:val="6CA61585"/>
    <w:rsid w:val="6CC16C4E"/>
    <w:rsid w:val="6D17028B"/>
    <w:rsid w:val="6D2552D8"/>
    <w:rsid w:val="6D302D5D"/>
    <w:rsid w:val="6D3C235D"/>
    <w:rsid w:val="6D935AB0"/>
    <w:rsid w:val="6DA62403"/>
    <w:rsid w:val="6DF5498C"/>
    <w:rsid w:val="6E087119"/>
    <w:rsid w:val="6E0A3A07"/>
    <w:rsid w:val="6E372360"/>
    <w:rsid w:val="6E4F724A"/>
    <w:rsid w:val="6E60770D"/>
    <w:rsid w:val="6F037853"/>
    <w:rsid w:val="6F7B3028"/>
    <w:rsid w:val="6FA027BC"/>
    <w:rsid w:val="6FC55DFE"/>
    <w:rsid w:val="70020A66"/>
    <w:rsid w:val="700B0E5F"/>
    <w:rsid w:val="701A03F2"/>
    <w:rsid w:val="701B6FD8"/>
    <w:rsid w:val="70206DE6"/>
    <w:rsid w:val="704266E6"/>
    <w:rsid w:val="70584FED"/>
    <w:rsid w:val="706A7B0F"/>
    <w:rsid w:val="7080412D"/>
    <w:rsid w:val="7127456D"/>
    <w:rsid w:val="712914EF"/>
    <w:rsid w:val="71764F8C"/>
    <w:rsid w:val="717C199B"/>
    <w:rsid w:val="71EF2FA5"/>
    <w:rsid w:val="7210341D"/>
    <w:rsid w:val="72C12A96"/>
    <w:rsid w:val="73624F26"/>
    <w:rsid w:val="736C6888"/>
    <w:rsid w:val="737F4DAF"/>
    <w:rsid w:val="739169DE"/>
    <w:rsid w:val="739B1EBD"/>
    <w:rsid w:val="73AF18CB"/>
    <w:rsid w:val="73B9425D"/>
    <w:rsid w:val="73ED4A58"/>
    <w:rsid w:val="73F12374"/>
    <w:rsid w:val="73F674A1"/>
    <w:rsid w:val="740422B3"/>
    <w:rsid w:val="74796ABE"/>
    <w:rsid w:val="74A87093"/>
    <w:rsid w:val="74C80433"/>
    <w:rsid w:val="74E229B4"/>
    <w:rsid w:val="74E9694C"/>
    <w:rsid w:val="74EC26A7"/>
    <w:rsid w:val="75034CF7"/>
    <w:rsid w:val="75673F89"/>
    <w:rsid w:val="756F302F"/>
    <w:rsid w:val="757946EE"/>
    <w:rsid w:val="75DF32A0"/>
    <w:rsid w:val="75ED010F"/>
    <w:rsid w:val="760A43BF"/>
    <w:rsid w:val="761321E0"/>
    <w:rsid w:val="761450E8"/>
    <w:rsid w:val="764A52E7"/>
    <w:rsid w:val="765D589D"/>
    <w:rsid w:val="76695B00"/>
    <w:rsid w:val="76A133C0"/>
    <w:rsid w:val="76D36025"/>
    <w:rsid w:val="772F2936"/>
    <w:rsid w:val="776B6DA8"/>
    <w:rsid w:val="77703BB9"/>
    <w:rsid w:val="77930FF3"/>
    <w:rsid w:val="77AF6C41"/>
    <w:rsid w:val="77B21E06"/>
    <w:rsid w:val="780F0912"/>
    <w:rsid w:val="784F6AB7"/>
    <w:rsid w:val="78D61CB2"/>
    <w:rsid w:val="78F104FB"/>
    <w:rsid w:val="79493EB1"/>
    <w:rsid w:val="797C66CF"/>
    <w:rsid w:val="79F13202"/>
    <w:rsid w:val="7A7550A6"/>
    <w:rsid w:val="7AAF3771"/>
    <w:rsid w:val="7AEC001A"/>
    <w:rsid w:val="7B475761"/>
    <w:rsid w:val="7B49298E"/>
    <w:rsid w:val="7B7B57F5"/>
    <w:rsid w:val="7B7D3C44"/>
    <w:rsid w:val="7BE208A5"/>
    <w:rsid w:val="7BE3068E"/>
    <w:rsid w:val="7C150EF5"/>
    <w:rsid w:val="7C3133CB"/>
    <w:rsid w:val="7C465BE7"/>
    <w:rsid w:val="7C665A9A"/>
    <w:rsid w:val="7C6731A8"/>
    <w:rsid w:val="7CAF51D0"/>
    <w:rsid w:val="7CAF6655"/>
    <w:rsid w:val="7D2A73BF"/>
    <w:rsid w:val="7D6E224F"/>
    <w:rsid w:val="7D850A77"/>
    <w:rsid w:val="7D87285F"/>
    <w:rsid w:val="7D9B3B81"/>
    <w:rsid w:val="7DA87B6D"/>
    <w:rsid w:val="7DA957CB"/>
    <w:rsid w:val="7DC82C31"/>
    <w:rsid w:val="7DF35247"/>
    <w:rsid w:val="7DF366F8"/>
    <w:rsid w:val="7E0F7674"/>
    <w:rsid w:val="7E1F6225"/>
    <w:rsid w:val="7E5940F2"/>
    <w:rsid w:val="7E5B35FF"/>
    <w:rsid w:val="7E6916D3"/>
    <w:rsid w:val="7EA33491"/>
    <w:rsid w:val="7EF21D44"/>
    <w:rsid w:val="7EFE1A4D"/>
    <w:rsid w:val="7F2137F9"/>
    <w:rsid w:val="7F504ACB"/>
    <w:rsid w:val="7F5F63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1"/>
    <w:next w:val="1"/>
    <w:link w:val="70"/>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28"/>
      <w:szCs w:val="32"/>
    </w:rPr>
  </w:style>
  <w:style w:type="paragraph" w:styleId="4">
    <w:name w:val="heading 3"/>
    <w:basedOn w:val="3"/>
    <w:next w:val="1"/>
    <w:link w:val="71"/>
    <w:qFormat/>
    <w:uiPriority w:val="0"/>
    <w:pPr>
      <w:numPr>
        <w:ilvl w:val="2"/>
        <w:numId w:val="1"/>
      </w:numPr>
      <w:spacing w:before="260" w:after="260" w:line="416" w:lineRule="auto"/>
      <w:outlineLvl w:val="2"/>
    </w:pPr>
    <w:rPr>
      <w:b/>
      <w:bCs/>
    </w:rPr>
  </w:style>
  <w:style w:type="paragraph" w:styleId="5">
    <w:name w:val="heading 4"/>
    <w:basedOn w:val="1"/>
    <w:next w:val="1"/>
    <w:link w:val="72"/>
    <w:qFormat/>
    <w:uiPriority w:val="0"/>
    <w:pPr>
      <w:keepNext/>
      <w:keepLines/>
      <w:tabs>
        <w:tab w:val="left" w:pos="864"/>
        <w:tab w:val="left" w:pos="2071"/>
      </w:tabs>
      <w:spacing w:before="280" w:after="290" w:line="372" w:lineRule="auto"/>
      <w:ind w:left="1884" w:hanging="528"/>
      <w:outlineLvl w:val="3"/>
    </w:pPr>
    <w:rPr>
      <w:rFonts w:eastAsia="黑体"/>
      <w:b/>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eastAsia="MS Mincho"/>
      <w:kern w:val="0"/>
      <w:sz w:val="20"/>
    </w:rPr>
  </w:style>
  <w:style w:type="paragraph" w:styleId="12">
    <w:name w:val="toc 7"/>
    <w:basedOn w:val="1"/>
    <w:next w:val="1"/>
    <w:qFormat/>
    <w:uiPriority w:val="0"/>
    <w:pPr>
      <w:tabs>
        <w:tab w:val="right" w:leader="dot" w:pos="9241"/>
      </w:tabs>
      <w:ind w:firstLine="500" w:firstLineChars="500"/>
      <w:jc w:val="left"/>
    </w:pPr>
    <w:rPr>
      <w:rFonts w:ascii="宋体"/>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89"/>
    <w:qFormat/>
    <w:uiPriority w:val="0"/>
    <w:pPr>
      <w:spacing w:before="152"/>
    </w:pPr>
    <w:rPr>
      <w:rFonts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8"/>
    <w:unhideWhenUsed/>
    <w:qFormat/>
    <w:uiPriority w:val="0"/>
    <w:rPr>
      <w:rFonts w:ascii="宋体"/>
      <w:sz w:val="18"/>
      <w:szCs w:val="18"/>
    </w:rPr>
  </w:style>
  <w:style w:type="paragraph" w:styleId="24">
    <w:name w:val="annotation text"/>
    <w:basedOn w:val="1"/>
    <w:link w:val="175"/>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4"/>
    <w:qFormat/>
    <w:uiPriority w:val="0"/>
    <w:pPr>
      <w:widowControl/>
      <w:spacing w:before="40" w:after="120"/>
      <w:jc w:val="left"/>
    </w:pPr>
    <w:rPr>
      <w:rFonts w:eastAsia="MS Mincho"/>
      <w:kern w:val="0"/>
      <w:sz w:val="20"/>
    </w:rPr>
  </w:style>
  <w:style w:type="paragraph" w:styleId="27">
    <w:name w:val="List 2"/>
    <w:basedOn w:val="1"/>
    <w:unhideWhenUsed/>
    <w:qFormat/>
    <w:uiPriority w:val="0"/>
    <w:pPr>
      <w:ind w:left="100" w:leftChars="200" w:hanging="200" w:hangingChars="200"/>
      <w:contextualSpacing/>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rPr>
  </w:style>
  <w:style w:type="paragraph" w:styleId="30">
    <w:name w:val="toc 3"/>
    <w:basedOn w:val="1"/>
    <w:next w:val="1"/>
    <w:qFormat/>
    <w:uiPriority w:val="39"/>
    <w:pPr>
      <w:tabs>
        <w:tab w:val="right" w:leader="dot" w:pos="9241"/>
      </w:tabs>
      <w:ind w:firstLine="100" w:firstLineChars="100"/>
      <w:jc w:val="left"/>
    </w:pPr>
    <w:rPr>
      <w:rFonts w:ascii="宋体"/>
    </w:rPr>
  </w:style>
  <w:style w:type="paragraph" w:styleId="31">
    <w:name w:val="Plain Text"/>
    <w:basedOn w:val="1"/>
    <w:link w:val="116"/>
    <w:unhideWhenUsed/>
    <w:qFormat/>
    <w:uiPriority w:val="99"/>
    <w:pPr>
      <w:widowControl/>
      <w:spacing w:before="40"/>
      <w:jc w:val="left"/>
    </w:pPr>
    <w:rPr>
      <w:rFonts w:ascii="Consolas" w:hAnsi="Consolas" w:eastAsia="Calibri"/>
      <w:kern w:val="0"/>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6"/>
    <w:unhideWhenUsed/>
    <w:qFormat/>
    <w:uiPriority w:val="0"/>
    <w:rPr>
      <w:sz w:val="18"/>
      <w:szCs w:val="18"/>
    </w:rPr>
  </w:style>
  <w:style w:type="paragraph" w:styleId="37">
    <w:name w:val="footer"/>
    <w:basedOn w:val="1"/>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style>
  <w:style w:type="paragraph" w:styleId="40">
    <w:name w:val="toc 4"/>
    <w:basedOn w:val="1"/>
    <w:next w:val="1"/>
    <w:qFormat/>
    <w:uiPriority w:val="0"/>
    <w:pPr>
      <w:tabs>
        <w:tab w:val="right" w:leader="dot" w:pos="9241"/>
      </w:tabs>
      <w:ind w:firstLine="200" w:firstLineChars="200"/>
      <w:jc w:val="left"/>
    </w:pPr>
    <w:rPr>
      <w:rFonts w:ascii="宋体"/>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1">
    <w:name w:val="toc 2"/>
    <w:basedOn w:val="1"/>
    <w:next w:val="1"/>
    <w:qFormat/>
    <w:uiPriority w:val="39"/>
    <w:pPr>
      <w:tabs>
        <w:tab w:val="right" w:leader="dot" w:pos="9242"/>
      </w:tabs>
    </w:pPr>
    <w:rPr>
      <w:rFonts w:ascii="宋体"/>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1"/>
    <w:semiHidden/>
    <w:qFormat/>
    <w:uiPriority w:val="0"/>
    <w:pPr>
      <w:widowControl/>
      <w:spacing w:before="40"/>
    </w:pPr>
    <w:rPr>
      <w:rFonts w:eastAsia="MS Mincho"/>
      <w:b/>
      <w:bCs/>
      <w:kern w:val="0"/>
      <w:sz w:val="20"/>
      <w:szCs w:val="20"/>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character" w:customStyle="1" w:styleId="66">
    <w:name w:val="批注框文本 Char"/>
    <w:basedOn w:val="58"/>
    <w:link w:val="36"/>
    <w:qFormat/>
    <w:uiPriority w:val="0"/>
    <w:rPr>
      <w:kern w:val="2"/>
      <w:sz w:val="18"/>
      <w:szCs w:val="18"/>
    </w:rPr>
  </w:style>
  <w:style w:type="paragraph" w:styleId="67">
    <w:name w:val="List Paragraph"/>
    <w:basedOn w:val="1"/>
    <w:link w:val="272"/>
    <w:unhideWhenUsed/>
    <w:qFormat/>
    <w:uiPriority w:val="34"/>
    <w:pPr>
      <w:ind w:firstLine="420" w:firstLineChars="200"/>
    </w:pPr>
  </w:style>
  <w:style w:type="character" w:customStyle="1" w:styleId="68">
    <w:name w:val="文档结构图 Char"/>
    <w:basedOn w:val="58"/>
    <w:link w:val="23"/>
    <w:qFormat/>
    <w:uiPriority w:val="0"/>
    <w:rPr>
      <w:rFonts w:ascii="宋体"/>
      <w:kern w:val="2"/>
      <w:sz w:val="18"/>
      <w:szCs w:val="18"/>
    </w:rPr>
  </w:style>
  <w:style w:type="character" w:customStyle="1" w:styleId="69">
    <w:name w:val="标题 1 Char"/>
    <w:basedOn w:val="58"/>
    <w:link w:val="2"/>
    <w:qFormat/>
    <w:uiPriority w:val="0"/>
    <w:rPr>
      <w:b/>
      <w:bCs/>
      <w:kern w:val="44"/>
      <w:sz w:val="44"/>
      <w:szCs w:val="44"/>
    </w:rPr>
  </w:style>
  <w:style w:type="character" w:customStyle="1" w:styleId="70">
    <w:name w:val="标题 2 Char"/>
    <w:basedOn w:val="58"/>
    <w:link w:val="3"/>
    <w:qFormat/>
    <w:uiPriority w:val="0"/>
    <w:rPr>
      <w:rFonts w:ascii="Arial" w:hAnsi="Arial" w:eastAsia="MS Mincho"/>
      <w:sz w:val="28"/>
      <w:szCs w:val="32"/>
      <w:lang w:val="en-GB"/>
    </w:rPr>
  </w:style>
  <w:style w:type="character" w:customStyle="1" w:styleId="71">
    <w:name w:val="标题 3 Char"/>
    <w:basedOn w:val="58"/>
    <w:link w:val="4"/>
    <w:qFormat/>
    <w:uiPriority w:val="0"/>
    <w:rPr>
      <w:b/>
      <w:bCs/>
      <w:kern w:val="2"/>
      <w:sz w:val="32"/>
      <w:szCs w:val="32"/>
    </w:rPr>
  </w:style>
  <w:style w:type="character" w:customStyle="1" w:styleId="72">
    <w:name w:val="标题 4 Char"/>
    <w:basedOn w:val="58"/>
    <w:link w:val="5"/>
    <w:qFormat/>
    <w:uiPriority w:val="0"/>
    <w:rPr>
      <w:rFonts w:ascii="Arial" w:hAnsi="Arial" w:eastAsia="黑体"/>
      <w:b/>
      <w:kern w:val="2"/>
      <w:sz w:val="28"/>
      <w:szCs w:val="24"/>
    </w:rPr>
  </w:style>
  <w:style w:type="character" w:customStyle="1" w:styleId="73">
    <w:name w:val="标题 5 Char"/>
    <w:basedOn w:val="58"/>
    <w:link w:val="6"/>
    <w:qFormat/>
    <w:uiPriority w:val="0"/>
    <w:rPr>
      <w:b/>
      <w:kern w:val="2"/>
      <w:sz w:val="28"/>
      <w:szCs w:val="24"/>
    </w:rPr>
  </w:style>
  <w:style w:type="character" w:customStyle="1" w:styleId="74">
    <w:name w:val="标题 6 Char"/>
    <w:basedOn w:val="58"/>
    <w:link w:val="7"/>
    <w:qFormat/>
    <w:uiPriority w:val="0"/>
    <w:rPr>
      <w:rFonts w:ascii="Arial" w:hAnsi="Arial" w:eastAsia="黑体"/>
      <w:b/>
      <w:kern w:val="2"/>
      <w:sz w:val="24"/>
      <w:szCs w:val="24"/>
    </w:rPr>
  </w:style>
  <w:style w:type="character" w:customStyle="1" w:styleId="75">
    <w:name w:val="标题 7 Char"/>
    <w:basedOn w:val="58"/>
    <w:link w:val="8"/>
    <w:qFormat/>
    <w:uiPriority w:val="0"/>
    <w:rPr>
      <w:b/>
      <w:kern w:val="2"/>
      <w:sz w:val="24"/>
      <w:szCs w:val="24"/>
    </w:rPr>
  </w:style>
  <w:style w:type="character" w:customStyle="1" w:styleId="76">
    <w:name w:val="标题 8 Char"/>
    <w:basedOn w:val="58"/>
    <w:link w:val="9"/>
    <w:qFormat/>
    <w:uiPriority w:val="0"/>
    <w:rPr>
      <w:rFonts w:ascii="Arial" w:hAnsi="Arial" w:eastAsia="黑体"/>
      <w:kern w:val="2"/>
      <w:sz w:val="24"/>
      <w:szCs w:val="24"/>
    </w:rPr>
  </w:style>
  <w:style w:type="character" w:customStyle="1" w:styleId="77">
    <w:name w:val="标题 9 Char"/>
    <w:basedOn w:val="58"/>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eastAsia="MS Mincho"/>
      <w:kern w:val="0"/>
      <w:sz w:val="20"/>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eastAsia="MS Mincho"/>
      <w:b/>
      <w:kern w:val="0"/>
      <w:sz w:val="20"/>
    </w:rPr>
  </w:style>
  <w:style w:type="paragraph" w:customStyle="1" w:styleId="86">
    <w:name w:val="Doc-title"/>
    <w:basedOn w:val="1"/>
    <w:next w:val="82"/>
    <w:link w:val="110"/>
    <w:qFormat/>
    <w:uiPriority w:val="0"/>
    <w:pPr>
      <w:widowControl/>
      <w:ind w:left="1260" w:hanging="1260"/>
      <w:jc w:val="left"/>
    </w:pPr>
    <w:rPr>
      <w:rFonts w:eastAsia="MS Mincho"/>
      <w:kern w:val="0"/>
      <w:sz w:val="20"/>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eastAsia="Batang"/>
      <w:b/>
      <w:color w:val="0000FF"/>
      <w:sz w:val="20"/>
      <w:szCs w:val="20"/>
      <w:lang w:eastAsia="en-US"/>
    </w:rPr>
  </w:style>
  <w:style w:type="character" w:customStyle="1" w:styleId="89">
    <w:name w:val="题注 Char"/>
    <w:link w:val="21"/>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批注主题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eastAsia="MS Mincho"/>
      <w:i/>
      <w:kern w:val="0"/>
      <w:sz w:val="18"/>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5">
    <w:name w:val="B2 Char"/>
    <w:link w:val="106"/>
    <w:qFormat/>
    <w:uiPriority w:val="0"/>
    <w:rPr>
      <w:rFonts w:eastAsia="MS Mincho"/>
      <w:lang w:val="en-GB" w:eastAsia="ja-JP"/>
    </w:rPr>
  </w:style>
  <w:style w:type="paragraph" w:customStyle="1" w:styleId="106">
    <w:name w:val="B2"/>
    <w:basedOn w:val="27"/>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页脚 Char"/>
    <w:link w:val="37"/>
    <w:qFormat/>
    <w:uiPriority w:val="99"/>
    <w:rPr>
      <w:kern w:val="2"/>
      <w:sz w:val="18"/>
      <w:szCs w:val="18"/>
    </w:rPr>
  </w:style>
  <w:style w:type="character" w:styleId="113">
    <w:name w:val="Placeholder Text"/>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纯文本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正文文本 Char"/>
    <w:basedOn w:val="58"/>
    <w:link w:val="26"/>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eastAsia="MS Mincho"/>
      <w:b/>
      <w:kern w:val="0"/>
      <w:sz w:val="20"/>
    </w:rPr>
  </w:style>
  <w:style w:type="character" w:customStyle="1" w:styleId="129">
    <w:name w:val="页眉 Char"/>
    <w:link w:val="38"/>
    <w:qFormat/>
    <w:uiPriority w:val="99"/>
    <w:rPr>
      <w:kern w:val="2"/>
      <w:sz w:val="18"/>
      <w:szCs w:val="18"/>
    </w:rPr>
  </w:style>
  <w:style w:type="character" w:customStyle="1" w:styleId="130">
    <w:name w:val="Doc-text2 Char Char"/>
    <w:basedOn w:val="58"/>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脚注文本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1">
    <w:name w:val="正文表标题"/>
    <w:next w:val="43"/>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eastAsia="MS Mincho"/>
      <w:kern w:val="0"/>
      <w:sz w:val="20"/>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5">
    <w:name w:val="批注文字 Char1"/>
    <w:basedOn w:val="58"/>
    <w:link w:val="24"/>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eastAsia="MS Mincho"/>
      <w:b/>
      <w:kern w:val="0"/>
      <w:sz w:val="20"/>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89">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2">
    <w:name w:val="尾注文本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4">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199">
    <w:name w:val="TAH"/>
    <w:basedOn w:val="200"/>
    <w:qFormat/>
    <w:uiPriority w:val="0"/>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200">
    <w:name w:val="TAC"/>
    <w:basedOn w:val="104"/>
    <w:qFormat/>
    <w:uiPriority w:val="0"/>
    <w:pPr>
      <w:jc w:val="center"/>
    </w:pPr>
    <w:rPr>
      <w:szCs w:val="20"/>
      <w:lang w:eastAsia="en-US"/>
    </w:rPr>
  </w:style>
  <w:style w:type="paragraph" w:customStyle="1" w:styleId="201">
    <w:name w:val="示例后文字"/>
    <w:basedOn w:val="43"/>
    <w:next w:val="43"/>
    <w:qFormat/>
    <w:uiPriority w:val="0"/>
    <w:pPr>
      <w:ind w:firstLine="360"/>
    </w:pPr>
    <w:rPr>
      <w:sz w:val="18"/>
    </w:rPr>
  </w:style>
  <w:style w:type="paragraph" w:customStyle="1" w:styleId="202">
    <w:name w:val="图标脚注说明"/>
    <w:basedOn w:val="43"/>
    <w:qFormat/>
    <w:uiPriority w:val="0"/>
    <w:pPr>
      <w:ind w:left="840" w:hanging="420" w:firstLineChars="0"/>
    </w:pPr>
    <w:rPr>
      <w:sz w:val="18"/>
      <w:szCs w:val="18"/>
    </w:rPr>
  </w:style>
  <w:style w:type="paragraph" w:customStyle="1" w:styleId="203">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4">
    <w:name w:val="图表脚注说明"/>
    <w:basedOn w:val="1"/>
    <w:qFormat/>
    <w:uiPriority w:val="0"/>
    <w:pPr>
      <w:tabs>
        <w:tab w:val="left" w:pos="360"/>
      </w:tabs>
      <w:ind w:left="360" w:hanging="360"/>
    </w:pPr>
    <w:rPr>
      <w:rFonts w:ascii="宋体"/>
      <w:sz w:val="18"/>
      <w:szCs w:val="18"/>
    </w:rPr>
  </w:style>
  <w:style w:type="paragraph" w:customStyle="1" w:styleId="205">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6">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7">
    <w:name w:val="正文图标题"/>
    <w:next w:val="43"/>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8">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09">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0">
    <w:name w:val="其他实施日期"/>
    <w:basedOn w:val="164"/>
    <w:qFormat/>
    <w:uiPriority w:val="0"/>
  </w:style>
  <w:style w:type="paragraph" w:customStyle="1" w:styleId="211">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2">
    <w:name w:val="四级无"/>
    <w:basedOn w:val="148"/>
    <w:qFormat/>
    <w:uiPriority w:val="0"/>
    <w:rPr>
      <w:rFonts w:ascii="宋体" w:eastAsia="宋体"/>
    </w:rPr>
  </w:style>
  <w:style w:type="paragraph" w:customStyle="1" w:styleId="213">
    <w:name w:val="示例×："/>
    <w:basedOn w:val="150"/>
    <w:qFormat/>
    <w:uiPriority w:val="0"/>
    <w:pPr>
      <w:spacing w:beforeLines="0" w:afterLines="0"/>
      <w:ind w:firstLine="397"/>
      <w:outlineLvl w:val="9"/>
    </w:pPr>
    <w:rPr>
      <w:rFonts w:ascii="宋体" w:eastAsia="宋体"/>
      <w:sz w:val="18"/>
      <w:szCs w:val="18"/>
    </w:rPr>
  </w:style>
  <w:style w:type="paragraph" w:customStyle="1" w:styleId="214">
    <w:name w:val="EmailDiscussion2"/>
    <w:basedOn w:val="82"/>
    <w:qFormat/>
    <w:uiPriority w:val="0"/>
  </w:style>
  <w:style w:type="paragraph" w:customStyle="1" w:styleId="215">
    <w:name w:val="B5"/>
    <w:basedOn w:val="46"/>
    <w:qFormat/>
    <w:uiPriority w:val="0"/>
  </w:style>
  <w:style w:type="paragraph" w:customStyle="1" w:styleId="216">
    <w:name w:val="其他发布日期"/>
    <w:basedOn w:val="165"/>
    <w:qFormat/>
    <w:uiPriority w:val="0"/>
  </w:style>
  <w:style w:type="paragraph" w:customStyle="1" w:styleId="217">
    <w:name w:val="B4"/>
    <w:basedOn w:val="47"/>
    <w:link w:val="274"/>
    <w:qFormat/>
    <w:uiPriority w:val="0"/>
  </w:style>
  <w:style w:type="paragraph" w:customStyle="1" w:styleId="218">
    <w:name w:val="NO"/>
    <w:basedOn w:val="1"/>
    <w:link w:val="277"/>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19">
    <w:name w:val="Review-comment2"/>
    <w:basedOn w:val="159"/>
    <w:qFormat/>
    <w:uiPriority w:val="0"/>
    <w:rPr>
      <w:color w:val="0070C0"/>
    </w:rPr>
  </w:style>
  <w:style w:type="paragraph" w:customStyle="1" w:styleId="220">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1">
    <w:name w:val="附录表标号"/>
    <w:basedOn w:val="1"/>
    <w:next w:val="43"/>
    <w:qFormat/>
    <w:uiPriority w:val="0"/>
    <w:pPr>
      <w:spacing w:line="14" w:lineRule="exact"/>
      <w:ind w:left="811" w:hanging="448"/>
      <w:jc w:val="center"/>
      <w:outlineLvl w:val="0"/>
    </w:pPr>
    <w:rPr>
      <w:color w:val="FFFFFF"/>
    </w:rPr>
  </w:style>
  <w:style w:type="paragraph" w:customStyle="1" w:styleId="222">
    <w:name w:val="附录图标题"/>
    <w:basedOn w:val="1"/>
    <w:next w:val="43"/>
    <w:qFormat/>
    <w:uiPriority w:val="0"/>
    <w:pPr>
      <w:tabs>
        <w:tab w:val="left" w:pos="363"/>
      </w:tabs>
      <w:spacing w:beforeLines="50" w:afterLines="50"/>
      <w:jc w:val="center"/>
    </w:pPr>
    <w:rPr>
      <w:rFonts w:ascii="黑体" w:eastAsia="黑体"/>
    </w:rPr>
  </w:style>
  <w:style w:type="paragraph" w:customStyle="1" w:styleId="223">
    <w:name w:val="附录标题"/>
    <w:basedOn w:val="43"/>
    <w:next w:val="43"/>
    <w:qFormat/>
    <w:uiPriority w:val="0"/>
    <w:pPr>
      <w:ind w:firstLine="0" w:firstLineChars="0"/>
      <w:jc w:val="center"/>
    </w:pPr>
    <w:rPr>
      <w:rFonts w:ascii="黑体" w:eastAsia="黑体"/>
    </w:rPr>
  </w:style>
  <w:style w:type="paragraph" w:customStyle="1" w:styleId="224">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1">
    <w:name w:val="NW"/>
    <w:basedOn w:val="218"/>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8"/>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6">
    <w:name w:val="NF"/>
    <w:basedOn w:val="218"/>
    <w:qFormat/>
    <w:uiPriority w:val="0"/>
    <w:pPr>
      <w:keepNext/>
      <w:spacing w:after="0"/>
    </w:pPr>
    <w:rPr>
      <w:rFonts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jc w:val="left"/>
    </w:pPr>
    <w:rPr>
      <w:rFonts w:eastAsia="MS Mincho" w:cs="Arial"/>
      <w:bCs/>
      <w:kern w:val="0"/>
      <w:sz w:val="22"/>
      <w:szCs w:val="28"/>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eastAsia="Calibri" w:cs="Arial"/>
      <w:i/>
      <w:iCs/>
      <w:kern w:val="0"/>
      <w:sz w:val="18"/>
      <w:szCs w:val="18"/>
      <w:lang w:eastAsia="en-US"/>
    </w:rPr>
  </w:style>
  <w:style w:type="paragraph" w:customStyle="1" w:styleId="254">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rPr>
  </w:style>
  <w:style w:type="paragraph" w:customStyle="1" w:styleId="261">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7">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5"/>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7"/>
    <w:qFormat/>
    <w:uiPriority w:val="0"/>
    <w:rPr>
      <w:rFonts w:eastAsia="MS Mincho"/>
      <w:lang w:val="en-GB" w:eastAsia="en-US"/>
    </w:rPr>
  </w:style>
  <w:style w:type="paragraph" w:customStyle="1" w:styleId="275">
    <w:name w:val="Guidance"/>
    <w:basedOn w:val="1"/>
    <w:link w:val="278"/>
    <w:qFormat/>
    <w:uiPriority w:val="0"/>
    <w:pPr>
      <w:widowControl/>
      <w:spacing w:after="180"/>
      <w:jc w:val="left"/>
    </w:pPr>
    <w:rPr>
      <w:i/>
      <w:color w:val="0000FF"/>
      <w:kern w:val="0"/>
      <w:sz w:val="20"/>
      <w:szCs w:val="20"/>
      <w:lang w:eastAsia="en-US"/>
    </w:rPr>
  </w:style>
  <w:style w:type="character" w:customStyle="1" w:styleId="276">
    <w:name w:val="B1 Zchn"/>
    <w:qFormat/>
    <w:uiPriority w:val="0"/>
    <w:rPr>
      <w:lang w:eastAsia="en-US"/>
    </w:rPr>
  </w:style>
  <w:style w:type="character" w:customStyle="1" w:styleId="277">
    <w:name w:val="NO Zchn"/>
    <w:link w:val="218"/>
    <w:qFormat/>
    <w:uiPriority w:val="0"/>
    <w:rPr>
      <w:lang w:val="en-GB" w:eastAsia="ja-JP"/>
    </w:rPr>
  </w:style>
  <w:style w:type="character" w:customStyle="1" w:styleId="278">
    <w:name w:val="Guidance Char"/>
    <w:link w:val="275"/>
    <w:qFormat/>
    <w:uiPriority w:val="0"/>
    <w:rPr>
      <w:i/>
      <w:color w:val="0000FF"/>
      <w:lang w:val="en-GB" w:eastAsia="en-US"/>
    </w:rPr>
  </w:style>
  <w:style w:type="character" w:customStyle="1" w:styleId="279">
    <w:name w:val="apple-converted-space"/>
    <w:basedOn w:val="58"/>
    <w:qFormat/>
    <w:uiPriority w:val="0"/>
  </w:style>
  <w:style w:type="paragraph" w:customStyle="1" w:styleId="280">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1">
    <w:name w:val="3GPPProposal"/>
    <w:basedOn w:val="67"/>
    <w:link w:val="283"/>
    <w:qFormat/>
    <w:uiPriority w:val="0"/>
    <w:pPr>
      <w:numPr>
        <w:ilvl w:val="0"/>
        <w:numId w:val="3"/>
      </w:numPr>
      <w:ind w:firstLine="0" w:firstLineChars="0"/>
    </w:pPr>
    <w:rPr>
      <w:rFonts w:cs="Arial"/>
      <w:color w:val="000000"/>
    </w:rPr>
  </w:style>
  <w:style w:type="paragraph" w:customStyle="1" w:styleId="282">
    <w:name w:val="3GPPObservation"/>
    <w:basedOn w:val="67"/>
    <w:link w:val="284"/>
    <w:qFormat/>
    <w:uiPriority w:val="0"/>
    <w:pPr>
      <w:numPr>
        <w:ilvl w:val="0"/>
        <w:numId w:val="4"/>
      </w:numPr>
      <w:ind w:firstLine="0" w:firstLineChars="0"/>
    </w:pPr>
    <w:rPr>
      <w:rFonts w:cs="Arial"/>
      <w:color w:val="000000"/>
    </w:rPr>
  </w:style>
  <w:style w:type="character" w:customStyle="1" w:styleId="283">
    <w:name w:val="3GPPProposal Char"/>
    <w:basedOn w:val="272"/>
    <w:link w:val="281"/>
    <w:qFormat/>
    <w:uiPriority w:val="0"/>
    <w:rPr>
      <w:rFonts w:ascii="Arial" w:hAnsi="Arial" w:cs="Arial"/>
      <w:color w:val="000000"/>
      <w:kern w:val="2"/>
      <w:sz w:val="21"/>
      <w:szCs w:val="21"/>
      <w:lang w:val="en-US" w:eastAsia="zh-CN"/>
    </w:rPr>
  </w:style>
  <w:style w:type="character" w:customStyle="1" w:styleId="284">
    <w:name w:val="3GPPObservation Char"/>
    <w:basedOn w:val="272"/>
    <w:link w:val="282"/>
    <w:qFormat/>
    <w:uiPriority w:val="0"/>
    <w:rPr>
      <w:rFonts w:cs="Arial"/>
      <w:color w:val="000000"/>
      <w:kern w:val="2"/>
      <w:sz w:val="21"/>
      <w:szCs w:val="24"/>
    </w:rPr>
  </w:style>
  <w:style w:type="paragraph" w:customStyle="1" w:styleId="285">
    <w:name w:val="CR Cover Page"/>
    <w:qFormat/>
    <w:uiPriority w:val="0"/>
    <w:pPr>
      <w:spacing w:after="120"/>
    </w:pPr>
    <w:rPr>
      <w:rFonts w:ascii="Arial" w:hAnsi="Arial" w:eastAsia="宋体" w:cs="Times New Roman"/>
      <w:lang w:val="en-GB" w:eastAsia="en-US" w:bidi="ar-SA"/>
    </w:rPr>
  </w:style>
  <w:style w:type="paragraph" w:customStyle="1" w:styleId="286">
    <w:name w:val="3GPP_Header"/>
    <w:basedOn w:val="1"/>
    <w:qFormat/>
    <w:uiPriority w:val="0"/>
    <w:pPr>
      <w:tabs>
        <w:tab w:val="left" w:pos="1701"/>
        <w:tab w:val="right" w:pos="9639"/>
      </w:tabs>
      <w:spacing w:after="240"/>
    </w:pPr>
    <w:rPr>
      <w:b/>
      <w:sz w:val="24"/>
    </w:rPr>
  </w:style>
  <w:style w:type="paragraph" w:customStyle="1" w:styleId="287">
    <w:name w:val="Table_head"/>
    <w:basedOn w:val="1"/>
    <w:next w:val="288"/>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宋体"/>
      <w:b/>
      <w:sz w:val="22"/>
    </w:rPr>
  </w:style>
  <w:style w:type="paragraph" w:customStyle="1" w:styleId="288">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E227BC-2AD7-4F96-978A-F11E81010415}">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6</Pages>
  <Words>1877</Words>
  <Characters>10700</Characters>
  <Lines>89</Lines>
  <Paragraphs>25</Paragraphs>
  <TotalTime>2</TotalTime>
  <ScaleCrop>false</ScaleCrop>
  <LinksUpToDate>false</LinksUpToDate>
  <CharactersWithSpaces>12552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2020-07-28T15:41:00Z</dcterms:created>
  <dc:creator>10033860</dc:creator>
  <cp:lastModifiedBy>ZTE</cp:lastModifiedBy>
  <cp:lastPrinted>2113-01-01T00:00:00Z</cp:lastPrinted>
  <dcterms:modified xsi:type="dcterms:W3CDTF">2021-08-05T14:20:34Z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