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r>
              <w:rPr>
                <w:rFonts w:eastAsia="Yu Mincho" w:cs="Arial"/>
                <w:lang w:val="en-GB" w:eastAsia="ja-JP"/>
              </w:rPr>
              <w:t>Hisashi Futaki</w:t>
            </w:r>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r>
              <w:rPr>
                <w:rFonts w:eastAsia="Yu Mincho" w:cs="Arial" w:hint="eastAsia"/>
                <w:lang w:val="en-GB" w:eastAsia="ja-JP"/>
              </w:rPr>
              <w:t>hisashi.futaki</w:t>
            </w:r>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Li Yanwei</w:t>
            </w:r>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K</w:t>
            </w:r>
            <w:r>
              <w:rPr>
                <w:rFonts w:eastAsia="Yu Mincho"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r>
              <w:rPr>
                <w:rFonts w:eastAsia="Yu Mincho" w:cs="Arial"/>
                <w:lang w:val="en-GB" w:eastAsia="ja-JP"/>
              </w:rPr>
              <w:t>kyosuke_inoue[at]sharp.co.jp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r>
              <w:rPr>
                <w:rFonts w:cs="Arial"/>
                <w:lang w:val="en-GB" w:eastAsia="zh-CN"/>
              </w:rPr>
              <w:t>Jincan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r>
              <w:rPr>
                <w:rFonts w:cs="Arial"/>
                <w:lang w:val="en-GB"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985FB4"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492076C7" w:rsidR="00985FB4" w:rsidRPr="00375A69" w:rsidRDefault="00985FB4" w:rsidP="00694370">
            <w:pPr>
              <w:pStyle w:val="TAC"/>
              <w:spacing w:before="20" w:after="20"/>
              <w:ind w:left="57" w:right="57"/>
              <w:jc w:val="left"/>
              <w:rPr>
                <w:rFonts w:cs="Arial"/>
                <w:lang w:val="en-GB" w:eastAsia="zh-CN"/>
              </w:rPr>
            </w:pPr>
            <w:r>
              <w:rPr>
                <w:rFonts w:cs="Arial"/>
                <w:lang w:val="en-GB" w:eastAsia="zh-CN"/>
              </w:rPr>
              <w:t>Samsung</w:t>
            </w:r>
          </w:p>
        </w:tc>
        <w:tc>
          <w:tcPr>
            <w:tcW w:w="1888" w:type="dxa"/>
            <w:tcBorders>
              <w:top w:val="single" w:sz="4" w:space="0" w:color="auto"/>
              <w:left w:val="single" w:sz="4" w:space="0" w:color="auto"/>
              <w:bottom w:val="single" w:sz="4" w:space="0" w:color="auto"/>
              <w:right w:val="single" w:sz="4" w:space="0" w:color="auto"/>
            </w:tcBorders>
          </w:tcPr>
          <w:p w14:paraId="2B8B36A7" w14:textId="7D79991D"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 van der Velde</w:t>
            </w:r>
          </w:p>
        </w:tc>
        <w:tc>
          <w:tcPr>
            <w:tcW w:w="4555" w:type="dxa"/>
            <w:tcBorders>
              <w:top w:val="single" w:sz="4" w:space="0" w:color="auto"/>
              <w:left w:val="single" w:sz="4" w:space="0" w:color="auto"/>
              <w:bottom w:val="single" w:sz="4" w:space="0" w:color="auto"/>
              <w:right w:val="single" w:sz="4" w:space="0" w:color="auto"/>
            </w:tcBorders>
          </w:tcPr>
          <w:p w14:paraId="16BC6B07" w14:textId="3CF3F229"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himke.vandervelde@gmail.com</w:t>
            </w:r>
          </w:p>
        </w:tc>
      </w:tr>
      <w:tr w:rsidR="009E57AA" w:rsidRPr="00375A69" w14:paraId="2BC83C24"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A2BB833" w14:textId="01F1815C" w:rsidR="009E57AA" w:rsidRDefault="009E57AA" w:rsidP="009E57AA">
            <w:pPr>
              <w:pStyle w:val="TAC"/>
              <w:spacing w:before="20" w:after="20"/>
              <w:ind w:left="57" w:right="57"/>
              <w:jc w:val="left"/>
              <w:rPr>
                <w:rFonts w:cs="Arial"/>
                <w:lang w:val="en-GB" w:eastAsia="zh-CN"/>
              </w:rPr>
            </w:pPr>
            <w:r>
              <w:rPr>
                <w:rFonts w:cs="Arial" w:hint="eastAsia"/>
                <w:lang w:val="en-GB" w:eastAsia="zh-CN"/>
              </w:rPr>
              <w:t>Spreadtrum</w:t>
            </w:r>
          </w:p>
        </w:tc>
        <w:tc>
          <w:tcPr>
            <w:tcW w:w="1888" w:type="dxa"/>
            <w:tcBorders>
              <w:top w:val="single" w:sz="4" w:space="0" w:color="auto"/>
              <w:left w:val="single" w:sz="4" w:space="0" w:color="auto"/>
              <w:bottom w:val="single" w:sz="4" w:space="0" w:color="auto"/>
              <w:right w:val="single" w:sz="4" w:space="0" w:color="auto"/>
            </w:tcBorders>
          </w:tcPr>
          <w:p w14:paraId="7A4670BD" w14:textId="28FC5FBE" w:rsidR="009E57AA" w:rsidRDefault="009E57AA" w:rsidP="009E57AA">
            <w:pPr>
              <w:pStyle w:val="TAC"/>
              <w:spacing w:before="20" w:after="20"/>
              <w:ind w:left="57" w:right="57"/>
              <w:jc w:val="left"/>
              <w:rPr>
                <w:rFonts w:cs="Arial"/>
                <w:lang w:val="en-GB" w:eastAsia="zh-CN"/>
              </w:rPr>
            </w:pPr>
            <w:r>
              <w:rPr>
                <w:rFonts w:cs="Arial" w:hint="eastAsia"/>
                <w:lang w:val="en-GB" w:eastAsia="zh-CN"/>
              </w:rPr>
              <w:t>Lifeng Han</w:t>
            </w:r>
          </w:p>
        </w:tc>
        <w:tc>
          <w:tcPr>
            <w:tcW w:w="4555" w:type="dxa"/>
            <w:tcBorders>
              <w:top w:val="single" w:sz="4" w:space="0" w:color="auto"/>
              <w:left w:val="single" w:sz="4" w:space="0" w:color="auto"/>
              <w:bottom w:val="single" w:sz="4" w:space="0" w:color="auto"/>
              <w:right w:val="single" w:sz="4" w:space="0" w:color="auto"/>
            </w:tcBorders>
          </w:tcPr>
          <w:p w14:paraId="7B5FF85F" w14:textId="74F1D423" w:rsidR="009E57AA" w:rsidRDefault="009E57AA" w:rsidP="009E57AA">
            <w:pPr>
              <w:pStyle w:val="TAC"/>
              <w:spacing w:before="20" w:after="20"/>
              <w:ind w:left="57" w:right="57"/>
              <w:jc w:val="left"/>
              <w:rPr>
                <w:rFonts w:cs="Arial"/>
                <w:lang w:val="en-GB" w:eastAsia="zh-CN"/>
              </w:rPr>
            </w:pPr>
            <w:r>
              <w:rPr>
                <w:rFonts w:cs="Arial"/>
                <w:lang w:val="en-GB" w:eastAsia="zh-CN"/>
              </w:rPr>
              <w:t xml:space="preserve"> Lifeng.Han@unisoc.com</w:t>
            </w: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a"/>
        <w:tblW w:w="0" w:type="auto"/>
        <w:tblLook w:val="04A0" w:firstRow="1" w:lastRow="0" w:firstColumn="1" w:lastColumn="0" w:noHBand="0" w:noVBand="1"/>
      </w:tblPr>
      <w:tblGrid>
        <w:gridCol w:w="1366"/>
        <w:gridCol w:w="1162"/>
        <w:gridCol w:w="7101"/>
      </w:tblGrid>
      <w:tr w:rsidR="00375A69" w:rsidRPr="00375A69" w14:paraId="097917C4" w14:textId="77777777" w:rsidTr="001D03C4">
        <w:tc>
          <w:tcPr>
            <w:tcW w:w="1183"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1D03C4">
        <w:tc>
          <w:tcPr>
            <w:tcW w:w="1183"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7"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1D03C4">
        <w:tc>
          <w:tcPr>
            <w:tcW w:w="1183"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7"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r>
              <w:rPr>
                <w:rFonts w:ascii="Arial" w:hAnsi="Arial"/>
                <w:b/>
                <w:bCs/>
                <w:lang w:val="en-GB"/>
              </w:rPr>
              <w:t>atleast</w:t>
            </w:r>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1D03C4">
        <w:tc>
          <w:tcPr>
            <w:tcW w:w="1183"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7"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1D03C4">
        <w:tc>
          <w:tcPr>
            <w:tcW w:w="1183"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277"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1D03C4">
        <w:tc>
          <w:tcPr>
            <w:tcW w:w="1183"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277"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1D03C4">
        <w:tc>
          <w:tcPr>
            <w:tcW w:w="1183"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9"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277"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1D03C4">
        <w:tc>
          <w:tcPr>
            <w:tcW w:w="1183"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9" w:type="dxa"/>
          </w:tcPr>
          <w:p w14:paraId="463E1A69" w14:textId="52C869CD" w:rsidR="00DA1BA3" w:rsidRDefault="005B5C24" w:rsidP="00CD451F">
            <w:pPr>
              <w:spacing w:after="0"/>
              <w:rPr>
                <w:rFonts w:ascii="Arial" w:eastAsia="Yu Mincho" w:hAnsi="Arial"/>
              </w:rPr>
            </w:pPr>
            <w:r>
              <w:rPr>
                <w:rFonts w:ascii="Arial" w:eastAsia="Yu Mincho" w:hAnsi="Arial" w:hint="eastAsia"/>
              </w:rPr>
              <w:t>No</w:t>
            </w:r>
          </w:p>
        </w:tc>
        <w:tc>
          <w:tcPr>
            <w:tcW w:w="7277" w:type="dxa"/>
          </w:tcPr>
          <w:p w14:paraId="57881AF0" w14:textId="0E51C0B7" w:rsidR="00DA1BA3" w:rsidRDefault="005B5C24" w:rsidP="00697B27">
            <w:pPr>
              <w:spacing w:after="0"/>
              <w:rPr>
                <w:rFonts w:ascii="Arial" w:eastAsia="Yu Mincho" w:hAnsi="Arial"/>
              </w:rPr>
            </w:pPr>
            <w:r>
              <w:rPr>
                <w:rFonts w:ascii="Arial" w:eastAsia="Yu Mincho" w:hAnsi="Arial"/>
              </w:rPr>
              <w:t>We agree with Apple,</w:t>
            </w:r>
            <w:r w:rsidR="00697B27">
              <w:rPr>
                <w:rFonts w:ascii="Arial" w:eastAsia="Yu Mincho" w:hAnsi="Arial"/>
              </w:rPr>
              <w:t xml:space="preserve"> op1 is just a usual way to reactive the SCG, while</w:t>
            </w:r>
            <w:r>
              <w:rPr>
                <w:rFonts w:ascii="Arial" w:eastAsia="Yu Mincho" w:hAnsi="Arial"/>
              </w:rPr>
              <w:t xml:space="preserve"> op2 is </w:t>
            </w:r>
            <w:r w:rsidR="00697B27">
              <w:rPr>
                <w:rFonts w:ascii="Arial" w:eastAsia="Yu Mincho" w:hAnsi="Arial"/>
              </w:rPr>
              <w:t>used</w:t>
            </w:r>
            <w:r>
              <w:rPr>
                <w:rFonts w:ascii="Arial" w:eastAsia="Yu Mincho" w:hAnsi="Arial"/>
              </w:rPr>
              <w:t xml:space="preserve"> to</w:t>
            </w:r>
            <w:r w:rsidR="00697B27">
              <w:rPr>
                <w:rFonts w:ascii="Arial" w:eastAsia="Yu Mincho" w:hAnsi="Arial"/>
              </w:rPr>
              <w:t xml:space="preserve"> achieve faster SCG activation.</w:t>
            </w:r>
          </w:p>
        </w:tc>
      </w:tr>
      <w:tr w:rsidR="00FB5984" w:rsidRPr="00375A69" w14:paraId="6C3A3B9A" w14:textId="77777777" w:rsidTr="001D03C4">
        <w:tc>
          <w:tcPr>
            <w:tcW w:w="1183"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9"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277" w:type="dxa"/>
          </w:tcPr>
          <w:p w14:paraId="7335A650" w14:textId="34B5EC46" w:rsidR="00FB5984" w:rsidRDefault="00FB5984" w:rsidP="00FB5984">
            <w:pPr>
              <w:spacing w:after="0"/>
              <w:rPr>
                <w:rFonts w:ascii="Arial" w:eastAsia="Yu Mincho" w:hAnsi="Arial"/>
              </w:rPr>
            </w:pPr>
            <w:r>
              <w:rPr>
                <w:rFonts w:ascii="Arial" w:eastAsia="Yu Mincho" w:hAnsi="Arial"/>
                <w:lang w:val="en-GB"/>
              </w:rPr>
              <w:t>Before discussing deprioritisation of option 2, we should make more progress on UE behaviours (beam management, RLM, BFD, etc.) in deactivated SCG.</w:t>
            </w:r>
          </w:p>
        </w:tc>
      </w:tr>
      <w:tr w:rsidR="00665BC6" w:rsidRPr="00375A69" w14:paraId="589800A5" w14:textId="77777777" w:rsidTr="001D03C4">
        <w:tc>
          <w:tcPr>
            <w:tcW w:w="1183"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9"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1D03C4">
        <w:tc>
          <w:tcPr>
            <w:tcW w:w="1183"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9" w:type="dxa"/>
          </w:tcPr>
          <w:p w14:paraId="6151C524" w14:textId="14CD8FD1"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 xml:space="preserve">o </w:t>
            </w:r>
          </w:p>
        </w:tc>
        <w:tc>
          <w:tcPr>
            <w:tcW w:w="7277"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are needed.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 xml:space="preserve">Option 2a (without RACH before TA timer expire) is more like legacy UE Scell activation behaviour. </w:t>
            </w:r>
          </w:p>
          <w:p w14:paraId="3720A459" w14:textId="3FEE0E15" w:rsidR="00DE5735" w:rsidRPr="00DE5735" w:rsidRDefault="00DE5735" w:rsidP="00FB5984">
            <w:pPr>
              <w:spacing w:after="0"/>
              <w:rPr>
                <w:rFonts w:ascii="Arial" w:eastAsiaTheme="minorEastAsia" w:hAnsi="Arial"/>
                <w:lang w:eastAsia="zh-CN"/>
              </w:rPr>
            </w:pPr>
            <w:r>
              <w:rPr>
                <w:rFonts w:ascii="Arial" w:eastAsiaTheme="minorEastAsia" w:hAnsi="Arial"/>
                <w:lang w:eastAsia="zh-CN"/>
              </w:rPr>
              <w:t xml:space="preserve">Furthermore, we even </w:t>
            </w:r>
            <w:r w:rsidR="00660806">
              <w:rPr>
                <w:rFonts w:ascii="Arial" w:eastAsiaTheme="minorEastAsia" w:hAnsi="Arial"/>
                <w:lang w:eastAsia="zh-CN"/>
              </w:rPr>
              <w:t xml:space="preserve">can </w:t>
            </w:r>
            <w:r>
              <w:rPr>
                <w:rFonts w:ascii="Arial" w:eastAsiaTheme="minorEastAsia" w:hAnsi="Arial"/>
                <w:lang w:eastAsia="zh-CN"/>
              </w:rPr>
              <w:t>seperate UL and DL in option2</w:t>
            </w:r>
            <w:r w:rsidR="00660806">
              <w:rPr>
                <w:rFonts w:ascii="Arial" w:eastAsiaTheme="minorEastAsia" w:hAnsi="Arial"/>
                <w:lang w:eastAsia="zh-CN"/>
              </w:rPr>
              <w:t xml:space="preserve">. For UL insync case, the UE still can monitors PDCCH for CFRA for UL sync when the cell is </w:t>
            </w:r>
            <w:r w:rsidR="00C207E1">
              <w:rPr>
                <w:rFonts w:ascii="Arial" w:eastAsiaTheme="minorEastAsia" w:hAnsi="Arial"/>
                <w:lang w:eastAsia="zh-CN"/>
              </w:rPr>
              <w:t xml:space="preserve">in </w:t>
            </w:r>
            <w:r w:rsidR="00660806">
              <w:rPr>
                <w:rFonts w:ascii="Arial" w:eastAsiaTheme="minorEastAsia" w:hAnsi="Arial"/>
                <w:lang w:eastAsia="zh-CN"/>
              </w:rPr>
              <w:t xml:space="preserve">activation state and just suspend UL transmission. </w:t>
            </w:r>
          </w:p>
          <w:p w14:paraId="1904EC9E" w14:textId="2D13146D" w:rsidR="00DE5735" w:rsidRDefault="00DE5735" w:rsidP="00FB5984">
            <w:pPr>
              <w:spacing w:after="0"/>
              <w:rPr>
                <w:rFonts w:ascii="Arial" w:eastAsia="Yu Mincho" w:hAnsi="Arial"/>
              </w:rPr>
            </w:pPr>
          </w:p>
        </w:tc>
      </w:tr>
      <w:tr w:rsidR="00985FB4" w:rsidRPr="00375A69" w14:paraId="715C3785" w14:textId="77777777" w:rsidTr="001D03C4">
        <w:tc>
          <w:tcPr>
            <w:tcW w:w="1183" w:type="dxa"/>
          </w:tcPr>
          <w:p w14:paraId="4ACC0DEA" w14:textId="502C4D67" w:rsidR="00985FB4" w:rsidRDefault="00985FB4" w:rsidP="00FB5984">
            <w:pPr>
              <w:spacing w:after="0"/>
              <w:rPr>
                <w:rFonts w:ascii="Arial" w:eastAsiaTheme="minorEastAsia" w:hAnsi="Arial"/>
                <w:lang w:eastAsia="zh-CN"/>
              </w:rPr>
            </w:pPr>
            <w:r>
              <w:rPr>
                <w:rFonts w:ascii="Arial" w:eastAsia="Yu Mincho" w:hAnsi="Arial"/>
              </w:rPr>
              <w:t>Samsung</w:t>
            </w:r>
          </w:p>
        </w:tc>
        <w:tc>
          <w:tcPr>
            <w:tcW w:w="1169" w:type="dxa"/>
          </w:tcPr>
          <w:p w14:paraId="113EAA85" w14:textId="4EA23D3C" w:rsidR="00985FB4" w:rsidRDefault="00985FB4" w:rsidP="00FB5984">
            <w:pPr>
              <w:spacing w:after="0"/>
              <w:rPr>
                <w:rFonts w:ascii="Arial" w:eastAsiaTheme="minorEastAsia" w:hAnsi="Arial"/>
                <w:lang w:eastAsia="zh-CN"/>
              </w:rPr>
            </w:pPr>
            <w:r w:rsidRPr="006843F8">
              <w:rPr>
                <w:rFonts w:ascii="Arial" w:eastAsia="Malgun Gothic" w:hAnsi="Arial"/>
                <w:sz w:val="20"/>
                <w:szCs w:val="20"/>
                <w:lang w:val="en-GB" w:eastAsia="ko-KR"/>
              </w:rPr>
              <w:t>Yes</w:t>
            </w:r>
          </w:p>
        </w:tc>
        <w:tc>
          <w:tcPr>
            <w:tcW w:w="7277" w:type="dxa"/>
          </w:tcPr>
          <w:p w14:paraId="2C2061FF" w14:textId="3EFF7825" w:rsidR="00985FB4" w:rsidRDefault="00985FB4" w:rsidP="00985FB4">
            <w:pPr>
              <w:spacing w:after="0"/>
              <w:rPr>
                <w:rFonts w:ascii="Arial" w:eastAsiaTheme="minorEastAsia" w:hAnsi="Arial"/>
                <w:lang w:eastAsia="zh-CN"/>
              </w:rPr>
            </w:pPr>
            <w:r>
              <w:rPr>
                <w:rFonts w:ascii="Arial" w:eastAsia="Malgun Gothic" w:hAnsi="Arial"/>
                <w:sz w:val="20"/>
                <w:szCs w:val="20"/>
                <w:lang w:val="en-GB" w:eastAsia="ko-KR"/>
              </w:rPr>
              <w:t>This has been on the table for quite some time, eating up valuable meeting time and blocking overall progress so we really need to conclude. Overall the progress for this WI has been quite limited so far. We think that in general we should really stop considering lots of small nice to have type of enhancements. I.e. noting that we seem to have a large number of variants for option 2..</w:t>
            </w:r>
          </w:p>
        </w:tc>
      </w:tr>
      <w:tr w:rsidR="009E57AA" w:rsidRPr="00375A69" w14:paraId="592D3A67" w14:textId="77777777" w:rsidTr="001D03C4">
        <w:tc>
          <w:tcPr>
            <w:tcW w:w="1183" w:type="dxa"/>
          </w:tcPr>
          <w:p w14:paraId="01905B8B" w14:textId="4D0E4789" w:rsidR="009E57AA" w:rsidRDefault="009E57AA" w:rsidP="009E57AA">
            <w:pPr>
              <w:spacing w:after="0"/>
              <w:rPr>
                <w:rFonts w:ascii="Arial" w:eastAsia="Yu Mincho" w:hAnsi="Arial"/>
              </w:rPr>
            </w:pPr>
            <w:r w:rsidRPr="005A404C">
              <w:rPr>
                <w:rFonts w:ascii="Arial" w:eastAsiaTheme="minorEastAsia" w:hAnsi="Arial" w:hint="eastAsia"/>
                <w:lang w:val="en-GB" w:eastAsia="zh-CN"/>
              </w:rPr>
              <w:t>Spreadtrum</w:t>
            </w:r>
          </w:p>
        </w:tc>
        <w:tc>
          <w:tcPr>
            <w:tcW w:w="1169" w:type="dxa"/>
          </w:tcPr>
          <w:p w14:paraId="1A148C56" w14:textId="37DB3959" w:rsidR="009E57AA" w:rsidRPr="006843F8" w:rsidRDefault="009E57AA" w:rsidP="009E57AA">
            <w:pPr>
              <w:spacing w:after="0"/>
              <w:rPr>
                <w:rFonts w:ascii="Arial" w:eastAsia="Malgun Gothic" w:hAnsi="Arial"/>
                <w:lang w:eastAsia="ko-KR"/>
              </w:rPr>
            </w:pPr>
            <w:r>
              <w:rPr>
                <w:rFonts w:ascii="Arial" w:eastAsia="Yu Mincho" w:hAnsi="Arial" w:hint="eastAsia"/>
                <w:lang w:eastAsia="zh-CN"/>
              </w:rPr>
              <w:t>Yes,but</w:t>
            </w:r>
          </w:p>
        </w:tc>
        <w:tc>
          <w:tcPr>
            <w:tcW w:w="7277" w:type="dxa"/>
          </w:tcPr>
          <w:p w14:paraId="2158727F" w14:textId="7033D85B" w:rsidR="009E57AA" w:rsidRDefault="009E57AA" w:rsidP="009E57AA">
            <w:pPr>
              <w:spacing w:after="0"/>
              <w:rPr>
                <w:rFonts w:ascii="Arial" w:eastAsia="Malgun Gothic" w:hAnsi="Arial"/>
                <w:lang w:eastAsia="ko-KR"/>
              </w:rPr>
            </w:pPr>
            <w:r>
              <w:rPr>
                <w:rFonts w:ascii="Arial" w:eastAsia="Yu Mincho" w:hAnsi="Arial" w:hint="eastAsia"/>
                <w:lang w:eastAsia="zh-CN"/>
              </w:rPr>
              <w:t xml:space="preserve">Anyway, the UE has to perform RACH if </w:t>
            </w:r>
            <w:r>
              <w:rPr>
                <w:rFonts w:ascii="Arial" w:eastAsia="Yu Mincho" w:hAnsi="Arial"/>
                <w:lang w:eastAsia="zh-CN"/>
              </w:rPr>
              <w:t>TA is invalid and Option 1 can be the baseline. But in order to achieve gain of fast SCG activation, some enhancement can be considered. We think Option 2a could be the easier agreed one.</w:t>
            </w: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afa"/>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discuss the case where UE initiates the SCG re-activation (to transmit data). Atleast here, we think RACH (option 1) is atleast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Yu Mincho" w:hAnsi="Arial"/>
                <w:lang w:val="en-GB"/>
              </w:rPr>
              <w:t>easier to agree</w:t>
            </w:r>
            <w:r w:rsidR="00D91001">
              <w:rPr>
                <w:rFonts w:ascii="Arial" w:eastAsia="Yu Mincho" w:hAnsi="Arial"/>
                <w:lang w:val="en-GB"/>
              </w:rPr>
              <w:t xml:space="preserve"> and</w:t>
            </w:r>
            <w:r>
              <w:rPr>
                <w:rFonts w:ascii="Arial" w:eastAsia="Yu Mincho" w:hAnsi="Arial"/>
                <w:lang w:val="en-GB"/>
              </w:rPr>
              <w:t xml:space="preserve"> </w:t>
            </w:r>
            <w:r>
              <w:rPr>
                <w:rFonts w:ascii="Arial" w:eastAsiaTheme="minorEastAsia" w:hAnsi="Arial"/>
                <w:lang w:eastAsia="zh-CN"/>
              </w:rPr>
              <w:t xml:space="preserve">is more like legacy UE Scell activation behaviour. The network can control it based different TA timer value. </w:t>
            </w:r>
          </w:p>
          <w:p w14:paraId="5CC0DF29" w14:textId="0ED4AAD9" w:rsidR="00DE5735" w:rsidRPr="00DE5735" w:rsidRDefault="00DE5735" w:rsidP="00125036">
            <w:pPr>
              <w:spacing w:after="0"/>
              <w:rPr>
                <w:rFonts w:ascii="Arial" w:eastAsia="Yu Mincho" w:hAnsi="Arial"/>
                <w:lang w:val="en-GB"/>
              </w:rPr>
            </w:pPr>
          </w:p>
        </w:tc>
      </w:tr>
      <w:tr w:rsidR="00125036" w:rsidRPr="00375A69" w14:paraId="2D8D7E88" w14:textId="77777777" w:rsidTr="00125036">
        <w:tc>
          <w:tcPr>
            <w:tcW w:w="1183" w:type="dxa"/>
          </w:tcPr>
          <w:p w14:paraId="5D8D272E" w14:textId="77777777" w:rsidR="00125036" w:rsidRPr="00375A69" w:rsidRDefault="00125036" w:rsidP="00125036">
            <w:pPr>
              <w:spacing w:after="0"/>
              <w:rPr>
                <w:rFonts w:ascii="Arial" w:hAnsi="Arial"/>
                <w:lang w:val="en-GB"/>
              </w:rPr>
            </w:pPr>
          </w:p>
        </w:tc>
        <w:tc>
          <w:tcPr>
            <w:tcW w:w="8446" w:type="dxa"/>
          </w:tcPr>
          <w:p w14:paraId="2550F32B" w14:textId="77777777" w:rsidR="00125036" w:rsidRPr="00375A69" w:rsidRDefault="00125036" w:rsidP="00125036">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a"/>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t>Then, FFS on how to control (e.g. implicitly via presence of reconfig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a"/>
        <w:tblW w:w="0" w:type="auto"/>
        <w:tblLook w:val="04A0" w:firstRow="1" w:lastRow="0" w:firstColumn="1" w:lastColumn="0" w:noHBand="0" w:noVBand="1"/>
      </w:tblPr>
      <w:tblGrid>
        <w:gridCol w:w="1366"/>
        <w:gridCol w:w="1160"/>
        <w:gridCol w:w="7103"/>
      </w:tblGrid>
      <w:tr w:rsidR="00AB3083" w:rsidRPr="00375A69" w14:paraId="504CF313" w14:textId="77777777" w:rsidTr="00F012E0">
        <w:tc>
          <w:tcPr>
            <w:tcW w:w="1183"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12E0">
        <w:tc>
          <w:tcPr>
            <w:tcW w:w="1183"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9"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77"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12E0">
        <w:tc>
          <w:tcPr>
            <w:tcW w:w="1183"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9"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77"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12E0">
        <w:tc>
          <w:tcPr>
            <w:tcW w:w="1183"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77"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12E0">
        <w:tc>
          <w:tcPr>
            <w:tcW w:w="1183"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9"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77"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12E0">
        <w:tc>
          <w:tcPr>
            <w:tcW w:w="1183"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277"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12E0">
        <w:tc>
          <w:tcPr>
            <w:tcW w:w="1183"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277"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12E0">
        <w:tc>
          <w:tcPr>
            <w:tcW w:w="1183"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9"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277"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12E0">
        <w:tc>
          <w:tcPr>
            <w:tcW w:w="1183"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9"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277"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r>
              <w:rPr>
                <w:rFonts w:ascii="Arial" w:eastAsia="Yu Mincho" w:hAnsi="Arial"/>
              </w:rPr>
              <w:t>the view with NEC</w:t>
            </w:r>
          </w:p>
        </w:tc>
      </w:tr>
      <w:tr w:rsidR="00CC430C" w:rsidRPr="00375A69" w14:paraId="6EAC0134" w14:textId="77777777" w:rsidTr="00F012E0">
        <w:tc>
          <w:tcPr>
            <w:tcW w:w="1183"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9"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277"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12E0">
        <w:tc>
          <w:tcPr>
            <w:tcW w:w="1183"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9"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12E0">
        <w:tc>
          <w:tcPr>
            <w:tcW w:w="1183"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9"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2F9C9F25" w14:textId="77777777" w:rsidR="008920D9" w:rsidRDefault="008920D9" w:rsidP="008920D9">
            <w:pPr>
              <w:spacing w:after="0"/>
              <w:rPr>
                <w:rFonts w:ascii="Arial" w:eastAsia="Yu Mincho" w:hAnsi="Arial"/>
              </w:rPr>
            </w:pPr>
          </w:p>
        </w:tc>
      </w:tr>
      <w:tr w:rsidR="00845502" w:rsidRPr="00375A69" w14:paraId="2C8D078A" w14:textId="77777777" w:rsidTr="00F012E0">
        <w:tc>
          <w:tcPr>
            <w:tcW w:w="1183" w:type="dxa"/>
          </w:tcPr>
          <w:p w14:paraId="213A9C4B" w14:textId="1DA9B96F" w:rsidR="00845502" w:rsidRDefault="00845502" w:rsidP="008920D9">
            <w:pPr>
              <w:spacing w:after="0"/>
              <w:rPr>
                <w:rFonts w:ascii="Arial" w:eastAsiaTheme="minorEastAsia" w:hAnsi="Arial"/>
                <w:lang w:eastAsia="zh-CN"/>
              </w:rPr>
            </w:pPr>
            <w:r>
              <w:rPr>
                <w:rFonts w:ascii="Arial" w:hAnsi="Arial"/>
                <w:lang w:val="en-GB"/>
              </w:rPr>
              <w:t>Samsung</w:t>
            </w:r>
          </w:p>
        </w:tc>
        <w:tc>
          <w:tcPr>
            <w:tcW w:w="1169" w:type="dxa"/>
          </w:tcPr>
          <w:p w14:paraId="608AA4AA" w14:textId="133BAA57" w:rsidR="00845502" w:rsidRDefault="00845502" w:rsidP="008920D9">
            <w:pPr>
              <w:spacing w:after="0"/>
              <w:rPr>
                <w:rFonts w:ascii="Arial" w:eastAsiaTheme="minorEastAsia" w:hAnsi="Arial"/>
                <w:lang w:eastAsia="zh-CN"/>
              </w:rPr>
            </w:pPr>
            <w:r>
              <w:rPr>
                <w:rFonts w:ascii="Arial" w:eastAsia="Yu Mincho" w:hAnsi="Arial"/>
              </w:rPr>
              <w:t>Yes</w:t>
            </w:r>
          </w:p>
        </w:tc>
        <w:tc>
          <w:tcPr>
            <w:tcW w:w="7277" w:type="dxa"/>
          </w:tcPr>
          <w:p w14:paraId="41DBE92C" w14:textId="730279B9" w:rsidR="00845502" w:rsidRDefault="00845502" w:rsidP="008920D9">
            <w:pPr>
              <w:spacing w:after="0"/>
              <w:rPr>
                <w:rFonts w:ascii="Arial" w:eastAsia="Yu Mincho" w:hAnsi="Arial"/>
              </w:rPr>
            </w:pPr>
            <w:r>
              <w:rPr>
                <w:rFonts w:ascii="Arial" w:hAnsi="Arial"/>
                <w:lang w:val="en-GB"/>
              </w:rPr>
              <w:t>We hope this will not just be SoH, but that we will start by technical discussion and establishing common view on this. I.e. it would be good to identify any issues we see with the options. E.g. for option b), what does this mean regarding SN ability to reject activation, how does this work with network based control of RA (see 2b in previous section)</w:t>
            </w:r>
          </w:p>
        </w:tc>
      </w:tr>
      <w:tr w:rsidR="009E57AA" w:rsidRPr="00375A69" w14:paraId="5F76AF4B" w14:textId="77777777" w:rsidTr="00F012E0">
        <w:tc>
          <w:tcPr>
            <w:tcW w:w="1183" w:type="dxa"/>
          </w:tcPr>
          <w:p w14:paraId="783DA98F" w14:textId="2851AF00" w:rsidR="009E57AA" w:rsidRDefault="009E57AA" w:rsidP="009E57AA">
            <w:pPr>
              <w:spacing w:after="0"/>
              <w:rPr>
                <w:rFonts w:ascii="Arial" w:hAnsi="Arial"/>
              </w:rPr>
            </w:pPr>
            <w:r>
              <w:rPr>
                <w:rFonts w:ascii="Arial" w:eastAsia="Yu Mincho" w:hAnsi="Arial" w:hint="eastAsia"/>
                <w:lang w:eastAsia="zh-CN"/>
              </w:rPr>
              <w:t>Spreadtrum</w:t>
            </w:r>
          </w:p>
        </w:tc>
        <w:tc>
          <w:tcPr>
            <w:tcW w:w="1169" w:type="dxa"/>
          </w:tcPr>
          <w:p w14:paraId="709ECDAE" w14:textId="60B35071" w:rsidR="009E57AA" w:rsidRDefault="009E57AA" w:rsidP="009E57AA">
            <w:pPr>
              <w:spacing w:after="0"/>
              <w:rPr>
                <w:rFonts w:ascii="Arial" w:eastAsia="Yu Mincho" w:hAnsi="Arial"/>
              </w:rPr>
            </w:pPr>
            <w:r>
              <w:rPr>
                <w:rFonts w:ascii="Arial" w:eastAsia="Yu Mincho" w:hAnsi="Arial" w:hint="eastAsia"/>
                <w:lang w:eastAsia="zh-CN"/>
              </w:rPr>
              <w:t>Yes</w:t>
            </w:r>
          </w:p>
        </w:tc>
        <w:tc>
          <w:tcPr>
            <w:tcW w:w="7277" w:type="dxa"/>
          </w:tcPr>
          <w:p w14:paraId="17457A6F" w14:textId="77777777" w:rsidR="009E57AA" w:rsidRDefault="009E57AA" w:rsidP="009E57AA">
            <w:pPr>
              <w:spacing w:after="0"/>
              <w:rPr>
                <w:rFonts w:ascii="Arial"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a"/>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atleast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conclude that there is no UL during SCG deactivated state (if there is no convergence, then atleast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7"/>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7"/>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7"/>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7"/>
              <w:numPr>
                <w:ilvl w:val="0"/>
                <w:numId w:val="37"/>
              </w:numPr>
              <w:rPr>
                <w:rFonts w:ascii="Arial" w:hAnsi="Arial"/>
                <w:sz w:val="20"/>
                <w:szCs w:val="20"/>
              </w:rPr>
            </w:pPr>
            <w:r w:rsidRPr="00C24466">
              <w:rPr>
                <w:rFonts w:ascii="Arial" w:hAnsi="Arial"/>
                <w:sz w:val="20"/>
                <w:szCs w:val="20"/>
              </w:rPr>
              <w:t>if MCG transmission is still constrained by the maximum trans</w:t>
            </w:r>
            <w:bookmarkStart w:id="1" w:name="_GoBack"/>
            <w:bookmarkEnd w:id="1"/>
            <w:r w:rsidRPr="00C24466">
              <w:rPr>
                <w:rFonts w:ascii="Arial" w:hAnsi="Arial"/>
                <w:sz w:val="20"/>
                <w:szCs w:val="20"/>
              </w:rPr>
              <w:t xml:space="preserve">mit power for MCG upon SCG deactivation. </w:t>
            </w:r>
          </w:p>
          <w:p w14:paraId="33D99653" w14:textId="110015E7" w:rsidR="000550DF" w:rsidRPr="000550DF" w:rsidRDefault="000550DF" w:rsidP="000550DF">
            <w:pPr>
              <w:pStyle w:val="af7"/>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r w:rsidR="000550DF" w:rsidRPr="00375A69" w14:paraId="28CA791D" w14:textId="77777777" w:rsidTr="00554E98">
        <w:tc>
          <w:tcPr>
            <w:tcW w:w="1183" w:type="dxa"/>
          </w:tcPr>
          <w:p w14:paraId="4CD4325A" w14:textId="77777777" w:rsidR="000550DF" w:rsidRPr="00375A69" w:rsidRDefault="000550DF" w:rsidP="000550DF">
            <w:pPr>
              <w:spacing w:after="0"/>
              <w:rPr>
                <w:rFonts w:ascii="Arial" w:hAnsi="Arial"/>
                <w:lang w:val="en-GB"/>
              </w:rPr>
            </w:pPr>
          </w:p>
        </w:tc>
        <w:tc>
          <w:tcPr>
            <w:tcW w:w="8446" w:type="dxa"/>
          </w:tcPr>
          <w:p w14:paraId="039C9345" w14:textId="77777777" w:rsidR="000550DF" w:rsidRPr="00375A69" w:rsidRDefault="000550DF" w:rsidP="000550DF">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8"/>
      </w:pPr>
    </w:p>
    <w:p w14:paraId="4CE629C2" w14:textId="11F9FD1D" w:rsidR="00D73170" w:rsidRPr="00375A69" w:rsidRDefault="00D73170" w:rsidP="006E1C82">
      <w:pPr>
        <w:pStyle w:val="a8"/>
      </w:pPr>
      <w:r w:rsidRPr="00375A69">
        <w:t>To be updat</w:t>
      </w:r>
      <w:r w:rsidR="00961836" w:rsidRPr="00375A69">
        <w:t>e</w:t>
      </w:r>
      <w:r w:rsidRPr="00375A69">
        <w:t>d.</w:t>
      </w:r>
    </w:p>
    <w:p w14:paraId="163463A7" w14:textId="72DFBBC8" w:rsidR="00D73170" w:rsidRPr="00375A69" w:rsidRDefault="00D73170" w:rsidP="006E1C82">
      <w:pPr>
        <w:pStyle w:val="a8"/>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8"/>
      </w:pPr>
    </w:p>
    <w:p w14:paraId="435E8007" w14:textId="77777777" w:rsidR="00694985" w:rsidRPr="00375A69" w:rsidRDefault="00694985" w:rsidP="00694985">
      <w:pPr>
        <w:pStyle w:val="a8"/>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490C4" w14:textId="77777777" w:rsidR="00220DC1" w:rsidRDefault="00220DC1">
      <w:r>
        <w:separator/>
      </w:r>
    </w:p>
  </w:endnote>
  <w:endnote w:type="continuationSeparator" w:id="0">
    <w:p w14:paraId="52DD1655" w14:textId="77777777" w:rsidR="00220DC1" w:rsidRDefault="00220DC1">
      <w:r>
        <w:continuationSeparator/>
      </w:r>
    </w:p>
  </w:endnote>
  <w:endnote w:type="continuationNotice" w:id="1">
    <w:p w14:paraId="70F6DABF" w14:textId="77777777" w:rsidR="00220DC1" w:rsidRDefault="00220D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9722F" w14:textId="77777777" w:rsidR="00220DC1" w:rsidRDefault="00220DC1">
      <w:r>
        <w:separator/>
      </w:r>
    </w:p>
  </w:footnote>
  <w:footnote w:type="continuationSeparator" w:id="0">
    <w:p w14:paraId="056F697B" w14:textId="77777777" w:rsidR="00220DC1" w:rsidRDefault="00220DC1">
      <w:r>
        <w:continuationSeparator/>
      </w:r>
    </w:p>
  </w:footnote>
  <w:footnote w:type="continuationNotice" w:id="1">
    <w:p w14:paraId="6F2AD00C" w14:textId="77777777" w:rsidR="00220DC1" w:rsidRDefault="00220DC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DC1"/>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2F7E9E"/>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52"/>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502"/>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5FB4"/>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BE8"/>
    <w:rsid w:val="009E219E"/>
    <w:rsid w:val="009E247B"/>
    <w:rsid w:val="009E3120"/>
    <w:rsid w:val="009E33AF"/>
    <w:rsid w:val="009E35DB"/>
    <w:rsid w:val="009E47A3"/>
    <w:rsid w:val="009E50CD"/>
    <w:rsid w:val="009E57AA"/>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AEE438A0-DE69-451B-A4AA-E8BB7184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3145920-A697-43D0-B9C8-AF3605FB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1944</Words>
  <Characters>11086</Characters>
  <Application>Microsoft Office Word</Application>
  <DocSecurity>0</DocSecurity>
  <Lines>92</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13004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Spreadtrum Communications</cp:lastModifiedBy>
  <cp:revision>3</cp:revision>
  <cp:lastPrinted>2008-02-01T05:09:00Z</cp:lastPrinted>
  <dcterms:created xsi:type="dcterms:W3CDTF">2021-05-26T08:09:00Z</dcterms:created>
  <dcterms:modified xsi:type="dcterms:W3CDTF">2021-05-26T08:11:00Z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NSCPROP_SA">
    <vt:lpwstr>D:\R2 meets\R2-114-e\Offs\[Offline-230][R17 DCCA] Making progress (Huawei)\Making progress on SCG activation_v10_vivo.docx</vt:lpwstr>
  </property>
</Properties>
</file>