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20EF1" w14:textId="5DB69B50" w:rsidR="00302319" w:rsidRDefault="00302319" w:rsidP="00302319">
      <w:pPr>
        <w:pStyle w:val="CRCoverPage"/>
        <w:tabs>
          <w:tab w:val="right" w:pos="9026"/>
        </w:tabs>
        <w:spacing w:after="0"/>
        <w:rPr>
          <w:b/>
          <w:i/>
          <w:noProof/>
          <w:sz w:val="28"/>
        </w:rPr>
      </w:pPr>
      <w:r w:rsidRPr="00E61CD4">
        <w:rPr>
          <w:b/>
          <w:noProof/>
          <w:sz w:val="24"/>
        </w:rPr>
        <w:t>3GPP TSG-RAN WG2 Meeting #</w:t>
      </w:r>
      <w:r w:rsidRPr="00EA4E60">
        <w:rPr>
          <w:b/>
          <w:noProof/>
          <w:sz w:val="24"/>
        </w:rPr>
        <w:t>11</w:t>
      </w:r>
      <w:r w:rsidR="00D879C6">
        <w:rPr>
          <w:b/>
          <w:noProof/>
          <w:sz w:val="24"/>
        </w:rPr>
        <w:t>4</w:t>
      </w:r>
      <w:r w:rsidRPr="00EA4E60">
        <w:rPr>
          <w:b/>
          <w:noProof/>
          <w:sz w:val="24"/>
        </w:rPr>
        <w:t>-e</w:t>
      </w:r>
      <w:r>
        <w:rPr>
          <w:b/>
          <w:i/>
          <w:noProof/>
          <w:sz w:val="28"/>
        </w:rPr>
        <w:tab/>
      </w:r>
      <w:r w:rsidR="00106112" w:rsidRPr="00106112">
        <w:rPr>
          <w:b/>
          <w:i/>
          <w:noProof/>
          <w:sz w:val="28"/>
        </w:rPr>
        <w:t>R2-2105027</w:t>
      </w:r>
    </w:p>
    <w:p w14:paraId="26067AFE" w14:textId="3144040A" w:rsidR="000C082F" w:rsidRPr="00B9091D" w:rsidRDefault="00302319" w:rsidP="00302319">
      <w:pPr>
        <w:pStyle w:val="CRCoverPage"/>
        <w:outlineLvl w:val="0"/>
        <w:rPr>
          <w:bCs/>
          <w:sz w:val="24"/>
          <w:lang w:eastAsia="ja-JP"/>
        </w:rPr>
      </w:pPr>
      <w:r w:rsidRPr="00BA5387">
        <w:rPr>
          <w:b/>
          <w:noProof/>
          <w:sz w:val="24"/>
          <w:lang w:val="en-US"/>
        </w:rPr>
        <w:t>Electronic meeting</w:t>
      </w:r>
      <w:r w:rsidRPr="00797661">
        <w:rPr>
          <w:b/>
          <w:noProof/>
          <w:sz w:val="24"/>
          <w:lang w:val="en-US"/>
        </w:rPr>
        <w:t xml:space="preserve">, </w:t>
      </w:r>
      <w:r w:rsidR="00AD55CE">
        <w:rPr>
          <w:rFonts w:cs="Arial"/>
          <w:b/>
          <w:noProof/>
          <w:color w:val="000000"/>
          <w:sz w:val="24"/>
          <w:szCs w:val="24"/>
        </w:rPr>
        <w:t xml:space="preserve">May </w:t>
      </w:r>
      <w:r w:rsidR="00AD7DF9">
        <w:rPr>
          <w:rFonts w:cs="Arial"/>
          <w:b/>
          <w:noProof/>
          <w:color w:val="000000"/>
          <w:sz w:val="24"/>
          <w:szCs w:val="24"/>
        </w:rPr>
        <w:t>1</w:t>
      </w:r>
      <w:r w:rsidR="001D1949">
        <w:rPr>
          <w:rFonts w:cs="Arial"/>
          <w:b/>
          <w:noProof/>
          <w:color w:val="000000"/>
          <w:sz w:val="24"/>
          <w:szCs w:val="24"/>
        </w:rPr>
        <w:t>9</w:t>
      </w:r>
      <w:r w:rsidRPr="00D1615C">
        <w:rPr>
          <w:rFonts w:cs="Arial"/>
          <w:b/>
          <w:noProof/>
          <w:color w:val="000000"/>
          <w:sz w:val="24"/>
          <w:szCs w:val="24"/>
        </w:rPr>
        <w:t xml:space="preserve"> – </w:t>
      </w:r>
      <w:r w:rsidR="001D1949">
        <w:rPr>
          <w:rFonts w:cs="Arial"/>
          <w:b/>
          <w:noProof/>
          <w:color w:val="000000"/>
          <w:sz w:val="24"/>
          <w:szCs w:val="24"/>
        </w:rPr>
        <w:t>May 2</w:t>
      </w:r>
      <w:r w:rsidR="0074602D">
        <w:rPr>
          <w:rFonts w:cs="Arial"/>
          <w:b/>
          <w:noProof/>
          <w:color w:val="000000"/>
          <w:sz w:val="24"/>
          <w:szCs w:val="24"/>
        </w:rPr>
        <w:t>7</w:t>
      </w:r>
      <w:r w:rsidRPr="00D1615C">
        <w:rPr>
          <w:rFonts w:cs="Arial"/>
          <w:b/>
          <w:noProof/>
          <w:color w:val="000000"/>
          <w:sz w:val="24"/>
          <w:szCs w:val="24"/>
        </w:rPr>
        <w:t>, 20</w:t>
      </w:r>
      <w:r>
        <w:rPr>
          <w:rFonts w:cs="Arial"/>
          <w:b/>
          <w:noProof/>
          <w:color w:val="000000"/>
          <w:sz w:val="24"/>
          <w:szCs w:val="24"/>
        </w:rPr>
        <w:t>21</w:t>
      </w:r>
      <w:r>
        <w:rPr>
          <w:i/>
          <w:lang w:eastAsia="ko-KR"/>
        </w:rPr>
        <w:tab/>
      </w:r>
      <w:r>
        <w:rPr>
          <w:i/>
          <w:lang w:eastAsia="ko-KR"/>
        </w:rPr>
        <w:tab/>
      </w:r>
      <w:r>
        <w:rPr>
          <w:i/>
          <w:lang w:eastAsia="ko-KR"/>
        </w:rPr>
        <w:tab/>
      </w:r>
      <w:r w:rsidR="000C082F">
        <w:rPr>
          <w:i/>
          <w:lang w:eastAsia="ko-KR"/>
        </w:rPr>
        <w:tab/>
      </w:r>
      <w:r w:rsidR="000C082F">
        <w:rPr>
          <w:i/>
          <w:lang w:eastAsia="ko-KR"/>
        </w:rPr>
        <w:tab/>
      </w:r>
      <w:r w:rsidR="000C082F">
        <w:rPr>
          <w:i/>
          <w:lang w:eastAsia="ko-KR"/>
        </w:rPr>
        <w:tab/>
      </w:r>
      <w:r w:rsidR="000C082F">
        <w:rPr>
          <w:i/>
          <w:sz w:val="11"/>
          <w:szCs w:val="11"/>
          <w:lang w:eastAsia="ko-KR"/>
        </w:rPr>
        <w:t xml:space="preserve"> </w:t>
      </w:r>
    </w:p>
    <w:p w14:paraId="61A91A9E" w14:textId="134EC39F" w:rsidR="000C082F" w:rsidRPr="009B04CE" w:rsidRDefault="000C082F" w:rsidP="000C082F">
      <w:pPr>
        <w:pStyle w:val="CRCoverPage"/>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0074602D">
        <w:rPr>
          <w:rFonts w:cs="Arial"/>
          <w:b/>
          <w:bCs/>
          <w:sz w:val="24"/>
          <w:szCs w:val="24"/>
          <w:lang w:val="en-US"/>
        </w:rPr>
        <w:t>8.17</w:t>
      </w:r>
    </w:p>
    <w:p w14:paraId="2F6F1004" w14:textId="77777777" w:rsidR="000C082F" w:rsidRPr="00242FBB" w:rsidRDefault="000C082F" w:rsidP="000C082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5591FC8F" w:rsidR="000C082F" w:rsidRPr="00594D7E" w:rsidRDefault="000C082F" w:rsidP="000C082F">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00A24A45">
        <w:rPr>
          <w:rFonts w:ascii="Arial" w:hAnsi="Arial" w:cs="Arial"/>
          <w:b/>
          <w:bCs/>
          <w:sz w:val="24"/>
          <w:szCs w:val="24"/>
        </w:rPr>
        <w:t>Enhanced MAC CE for PDCCH</w:t>
      </w:r>
      <w:r w:rsidR="00C65C82">
        <w:rPr>
          <w:rFonts w:ascii="Arial" w:hAnsi="Arial" w:cs="Arial"/>
          <w:b/>
          <w:bCs/>
          <w:sz w:val="24"/>
          <w:szCs w:val="24"/>
        </w:rPr>
        <w:t xml:space="preserve"> in multi-TRP deployment</w:t>
      </w:r>
    </w:p>
    <w:p w14:paraId="1B190588" w14:textId="77777777" w:rsidR="000C082F" w:rsidRPr="00242FBB" w:rsidRDefault="000C082F" w:rsidP="000C082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4627F310" w:rsidR="000C082F" w:rsidRDefault="000C082F" w:rsidP="000C082F">
      <w:pPr>
        <w:pStyle w:val="Heading1"/>
        <w:rPr>
          <w:lang w:val="en-US"/>
        </w:rPr>
      </w:pPr>
      <w:r w:rsidRPr="0064252A">
        <w:rPr>
          <w:lang w:val="en-US"/>
        </w:rPr>
        <w:t>Introduction</w:t>
      </w:r>
    </w:p>
    <w:p w14:paraId="0D28067B" w14:textId="43B1425C" w:rsidR="00B35EF6" w:rsidRDefault="00AA2254" w:rsidP="00460525">
      <w:pPr>
        <w:rPr>
          <w:sz w:val="20"/>
          <w:szCs w:val="20"/>
          <w:lang w:val="en-US"/>
        </w:rPr>
      </w:pPr>
      <w:r>
        <w:rPr>
          <w:sz w:val="20"/>
          <w:szCs w:val="20"/>
          <w:lang w:val="en-US"/>
        </w:rPr>
        <w:t>RAN1 sent an LS to inform RAN</w:t>
      </w:r>
      <w:r w:rsidR="0034599C">
        <w:rPr>
          <w:sz w:val="20"/>
          <w:szCs w:val="20"/>
          <w:lang w:val="en-US"/>
        </w:rPr>
        <w:t xml:space="preserve">1 agreement </w:t>
      </w:r>
      <w:r w:rsidR="00583122">
        <w:rPr>
          <w:sz w:val="20"/>
          <w:szCs w:val="20"/>
          <w:lang w:val="en-US"/>
        </w:rPr>
        <w:t xml:space="preserve">on PDCCH enhancement. </w:t>
      </w:r>
      <w:r w:rsidR="00ED7CF4">
        <w:rPr>
          <w:sz w:val="20"/>
          <w:szCs w:val="20"/>
          <w:lang w:val="en-US"/>
        </w:rPr>
        <w:t xml:space="preserve">In this LS, RAN1 </w:t>
      </w:r>
      <w:proofErr w:type="spellStart"/>
      <w:r w:rsidR="00ED7CF4">
        <w:rPr>
          <w:sz w:val="20"/>
          <w:szCs w:val="20"/>
          <w:lang w:val="en-US"/>
        </w:rPr>
        <w:t>ageed</w:t>
      </w:r>
      <w:proofErr w:type="spellEnd"/>
      <w:r w:rsidR="00ED7CF4">
        <w:rPr>
          <w:sz w:val="20"/>
          <w:szCs w:val="20"/>
          <w:lang w:val="en-US"/>
        </w:rPr>
        <w:t xml:space="preserve"> to introduce enhanced MAC CE signaling </w:t>
      </w:r>
      <w:r w:rsidR="00556B66">
        <w:rPr>
          <w:rFonts w:eastAsia="Malgun Gothic"/>
        </w:rPr>
        <w:t>for PDCCH activating two TCI states for SFN-based PDCCH transmission</w:t>
      </w:r>
      <w:r w:rsidR="00B6346F">
        <w:rPr>
          <w:rFonts w:eastAsia="Malgun Gothic"/>
        </w:rPr>
        <w:t>.</w:t>
      </w:r>
    </w:p>
    <w:tbl>
      <w:tblPr>
        <w:tblStyle w:val="TableGrid"/>
        <w:tblW w:w="0" w:type="auto"/>
        <w:tblLook w:val="04A0" w:firstRow="1" w:lastRow="0" w:firstColumn="1" w:lastColumn="0" w:noHBand="0" w:noVBand="1"/>
      </w:tblPr>
      <w:tblGrid>
        <w:gridCol w:w="9016"/>
      </w:tblGrid>
      <w:tr w:rsidR="00626A6B" w14:paraId="4DF497C0" w14:textId="77777777" w:rsidTr="00626A6B">
        <w:tc>
          <w:tcPr>
            <w:tcW w:w="9016" w:type="dxa"/>
          </w:tcPr>
          <w:p w14:paraId="1A72B431" w14:textId="77777777" w:rsidR="00626A6B" w:rsidRDefault="00626A6B" w:rsidP="00626A6B">
            <w:pPr>
              <w:rPr>
                <w:rFonts w:eastAsia="Times New Roman"/>
                <w:b/>
                <w:bCs/>
                <w:highlight w:val="green"/>
                <w:lang w:eastAsia="x-none"/>
              </w:rPr>
            </w:pPr>
            <w:r>
              <w:rPr>
                <w:b/>
                <w:bCs/>
                <w:highlight w:val="green"/>
                <w:lang w:eastAsia="x-none"/>
              </w:rPr>
              <w:t>Agreement</w:t>
            </w:r>
          </w:p>
          <w:p w14:paraId="3D776D41" w14:textId="77777777" w:rsidR="00626A6B" w:rsidRDefault="00626A6B" w:rsidP="00626A6B">
            <w:pPr>
              <w:pStyle w:val="ListParagraph"/>
              <w:numPr>
                <w:ilvl w:val="0"/>
                <w:numId w:val="31"/>
              </w:numPr>
              <w:spacing w:line="256" w:lineRule="auto"/>
              <w:ind w:firstLineChars="0"/>
              <w:jc w:val="both"/>
              <w:rPr>
                <w:rFonts w:eastAsia="Times New Roman"/>
                <w:lang w:eastAsia="x-none"/>
              </w:rPr>
            </w:pPr>
            <w:r>
              <w:rPr>
                <w:rFonts w:eastAsia="Malgun Gothic"/>
              </w:rPr>
              <w:t xml:space="preserve">Introduce enhanced MAC CE </w:t>
            </w:r>
            <w:proofErr w:type="spellStart"/>
            <w:r>
              <w:rPr>
                <w:rFonts w:eastAsia="Malgun Gothic"/>
              </w:rPr>
              <w:t>signaling</w:t>
            </w:r>
            <w:proofErr w:type="spellEnd"/>
            <w:r>
              <w:rPr>
                <w:rFonts w:eastAsia="Malgun Gothic"/>
              </w:rPr>
              <w:t xml:space="preserve"> for PDCCH activating two TCI states for SFN-based PDCCH transmission</w:t>
            </w:r>
          </w:p>
          <w:p w14:paraId="29A72BF5" w14:textId="77777777" w:rsidR="00626A6B" w:rsidRDefault="00626A6B" w:rsidP="00626A6B">
            <w:pPr>
              <w:pStyle w:val="ListParagraph"/>
              <w:numPr>
                <w:ilvl w:val="1"/>
                <w:numId w:val="31"/>
              </w:numPr>
              <w:spacing w:line="256" w:lineRule="auto"/>
              <w:ind w:firstLineChars="0"/>
              <w:jc w:val="both"/>
              <w:rPr>
                <w:rFonts w:eastAsia="Times New Roman"/>
              </w:rPr>
            </w:pPr>
            <w:r>
              <w:rPr>
                <w:rFonts w:eastAsia="Malgun Gothic"/>
              </w:rPr>
              <w:t xml:space="preserve">The corresponding MAC CE includes at least the following fields </w:t>
            </w:r>
          </w:p>
          <w:p w14:paraId="0D4E2B93" w14:textId="77777777" w:rsidR="00626A6B" w:rsidRDefault="00626A6B" w:rsidP="00626A6B">
            <w:pPr>
              <w:pStyle w:val="ListParagraph"/>
              <w:numPr>
                <w:ilvl w:val="2"/>
                <w:numId w:val="31"/>
              </w:numPr>
              <w:spacing w:line="256" w:lineRule="auto"/>
              <w:ind w:firstLineChars="0"/>
              <w:jc w:val="both"/>
              <w:rPr>
                <w:rFonts w:eastAsia="Times New Roman"/>
              </w:rPr>
            </w:pPr>
            <w:r>
              <w:rPr>
                <w:rFonts w:eastAsia="Malgun Gothic"/>
              </w:rPr>
              <w:t>Serving cell ID</w:t>
            </w:r>
          </w:p>
          <w:p w14:paraId="0AEA6A84" w14:textId="77777777" w:rsidR="00626A6B" w:rsidRDefault="00626A6B" w:rsidP="00626A6B">
            <w:pPr>
              <w:pStyle w:val="ListParagraph"/>
              <w:numPr>
                <w:ilvl w:val="2"/>
                <w:numId w:val="31"/>
              </w:numPr>
              <w:spacing w:line="256" w:lineRule="auto"/>
              <w:ind w:firstLineChars="0"/>
              <w:jc w:val="both"/>
              <w:rPr>
                <w:rFonts w:eastAsia="Times New Roman"/>
              </w:rPr>
            </w:pPr>
            <w:r>
              <w:rPr>
                <w:rFonts w:eastAsia="Malgun Gothic"/>
              </w:rPr>
              <w:t>CORESET ID</w:t>
            </w:r>
          </w:p>
          <w:p w14:paraId="5E0501B3" w14:textId="77777777" w:rsidR="00626A6B" w:rsidRDefault="00626A6B" w:rsidP="00626A6B">
            <w:pPr>
              <w:pStyle w:val="ListParagraph"/>
              <w:numPr>
                <w:ilvl w:val="2"/>
                <w:numId w:val="31"/>
              </w:numPr>
              <w:spacing w:line="256" w:lineRule="auto"/>
              <w:ind w:firstLineChars="0"/>
              <w:jc w:val="both"/>
              <w:rPr>
                <w:rFonts w:eastAsia="Times New Roman"/>
              </w:rPr>
            </w:pPr>
            <w:r>
              <w:rPr>
                <w:rFonts w:eastAsia="Malgun Gothic"/>
              </w:rPr>
              <w:t>Two TCI state IDs</w:t>
            </w:r>
          </w:p>
          <w:p w14:paraId="5B180EC2" w14:textId="77777777" w:rsidR="00626A6B" w:rsidRDefault="00626A6B" w:rsidP="00626A6B">
            <w:pPr>
              <w:pStyle w:val="ListParagraph"/>
              <w:numPr>
                <w:ilvl w:val="1"/>
                <w:numId w:val="31"/>
              </w:numPr>
              <w:spacing w:line="256" w:lineRule="auto"/>
              <w:ind w:firstLineChars="0"/>
              <w:jc w:val="both"/>
              <w:rPr>
                <w:rFonts w:eastAsia="Times New Roman"/>
              </w:rPr>
            </w:pPr>
            <w:r>
              <w:rPr>
                <w:rFonts w:eastAsia="Times New Roman"/>
              </w:rPr>
              <w:t>FFS whether for CA scenario additionally support RRC configured set of the serving cells which can be addressed by a single MAC CE</w:t>
            </w:r>
          </w:p>
          <w:p w14:paraId="36BF38F8" w14:textId="77777777" w:rsidR="00626A6B" w:rsidRPr="00626A6B" w:rsidRDefault="00626A6B" w:rsidP="00626A6B">
            <w:pPr>
              <w:pStyle w:val="ListParagraph"/>
              <w:numPr>
                <w:ilvl w:val="1"/>
                <w:numId w:val="31"/>
              </w:numPr>
              <w:spacing w:line="256" w:lineRule="auto"/>
              <w:ind w:firstLineChars="0"/>
              <w:jc w:val="both"/>
              <w:rPr>
                <w:rFonts w:eastAsia="Times New Roman"/>
              </w:rPr>
            </w:pPr>
            <w:r>
              <w:t xml:space="preserve">FFS </w:t>
            </w:r>
            <w:proofErr w:type="gramStart"/>
            <w:r>
              <w:t>whether or not</w:t>
            </w:r>
            <w:proofErr w:type="gramEnd"/>
            <w:r>
              <w:t xml:space="preserve"> enhanced MAC CE </w:t>
            </w:r>
            <w:proofErr w:type="spellStart"/>
            <w:r>
              <w:t>signaling</w:t>
            </w:r>
            <w:proofErr w:type="spellEnd"/>
            <w:r>
              <w:t xml:space="preserve"> is applicable to a CORESET configured with </w:t>
            </w:r>
            <w:proofErr w:type="spellStart"/>
            <w:r>
              <w:t>CORESETPoolindex</w:t>
            </w:r>
            <w:proofErr w:type="spellEnd"/>
          </w:p>
          <w:p w14:paraId="7EF31188" w14:textId="5F00A4CD" w:rsidR="00626A6B" w:rsidRPr="00626A6B" w:rsidRDefault="00626A6B" w:rsidP="00626A6B">
            <w:pPr>
              <w:pStyle w:val="ListParagraph"/>
              <w:spacing w:line="256" w:lineRule="auto"/>
              <w:ind w:left="1440" w:firstLineChars="0" w:firstLine="0"/>
              <w:jc w:val="both"/>
              <w:rPr>
                <w:rFonts w:eastAsia="Times New Roman"/>
              </w:rPr>
            </w:pPr>
          </w:p>
        </w:tc>
      </w:tr>
    </w:tbl>
    <w:p w14:paraId="69720F7B" w14:textId="77777777" w:rsidR="00106112" w:rsidRDefault="00106112" w:rsidP="00460525">
      <w:pPr>
        <w:rPr>
          <w:sz w:val="20"/>
          <w:szCs w:val="20"/>
        </w:rPr>
      </w:pPr>
    </w:p>
    <w:p w14:paraId="7A513F88" w14:textId="0DE6C722" w:rsidR="00160333" w:rsidRPr="00B35EF6" w:rsidRDefault="00160333" w:rsidP="00460525">
      <w:pPr>
        <w:rPr>
          <w:sz w:val="20"/>
          <w:szCs w:val="20"/>
        </w:rPr>
      </w:pPr>
      <w:r>
        <w:rPr>
          <w:sz w:val="20"/>
          <w:szCs w:val="20"/>
        </w:rPr>
        <w:t xml:space="preserve">In this contribution, we summarize background of RAN1 LS and the required enhancement of MAC CE. </w:t>
      </w:r>
    </w:p>
    <w:p w14:paraId="441342AC" w14:textId="7408C331" w:rsidR="009B218C" w:rsidRDefault="00583122" w:rsidP="009B218C">
      <w:pPr>
        <w:pStyle w:val="Heading1"/>
      </w:pPr>
      <w:bookmarkStart w:id="0" w:name="pro3"/>
      <w:r>
        <w:t>Background of</w:t>
      </w:r>
      <w:r w:rsidR="0034599C">
        <w:t xml:space="preserve"> RAN1 LS</w:t>
      </w:r>
    </w:p>
    <w:p w14:paraId="0F353693" w14:textId="65FAA72E" w:rsidR="00583122" w:rsidRPr="00583122" w:rsidRDefault="00583122" w:rsidP="00583122">
      <w:r>
        <w:t xml:space="preserve">According to </w:t>
      </w:r>
      <w:proofErr w:type="spellStart"/>
      <w:r>
        <w:t>FeMIMO</w:t>
      </w:r>
      <w:proofErr w:type="spellEnd"/>
      <w:r>
        <w:t xml:space="preserve"> WID [2], </w:t>
      </w:r>
      <w:r w:rsidR="006F5414">
        <w:t xml:space="preserve">there are multiple objectives under enhancements on multi-TRP deployment. </w:t>
      </w:r>
    </w:p>
    <w:p w14:paraId="5E81CF5C" w14:textId="77777777" w:rsidR="0034599C" w:rsidRPr="0051690F" w:rsidRDefault="0034599C" w:rsidP="0034599C">
      <w:pPr>
        <w:pStyle w:val="ListParagraph"/>
        <w:numPr>
          <w:ilvl w:val="0"/>
          <w:numId w:val="16"/>
        </w:numPr>
        <w:ind w:left="720" w:firstLineChars="0"/>
        <w:jc w:val="both"/>
      </w:pPr>
      <w:r w:rsidRPr="0051690F">
        <w:t>Enhancement on the support for multi-TRP deployment, targeting both FR1 and FR2:</w:t>
      </w:r>
    </w:p>
    <w:p w14:paraId="34FCE52C" w14:textId="77777777" w:rsidR="0034599C" w:rsidRPr="009158FC" w:rsidRDefault="0034599C" w:rsidP="0034599C">
      <w:pPr>
        <w:pStyle w:val="ListParagraph"/>
        <w:numPr>
          <w:ilvl w:val="1"/>
          <w:numId w:val="16"/>
        </w:numPr>
        <w:ind w:left="1440" w:firstLineChars="0"/>
        <w:jc w:val="both"/>
        <w:rPr>
          <w:highlight w:val="yellow"/>
        </w:rPr>
      </w:pPr>
      <w:r w:rsidRPr="009158FC">
        <w:rPr>
          <w:highlight w:val="yellow"/>
        </w:rPr>
        <w:t xml:space="preserve">Identify and specify features to improve reliability and robustness for channels other than PDSCH (that is, PDCCH, PUSCH, and PUCCH) using multi-TRP and/or multi-panel, with Rel.16 reliability features as the baseline </w:t>
      </w:r>
    </w:p>
    <w:p w14:paraId="64F0A046" w14:textId="77777777" w:rsidR="0034599C" w:rsidRPr="00685E71" w:rsidRDefault="0034599C" w:rsidP="0034599C">
      <w:pPr>
        <w:pStyle w:val="ListParagraph"/>
        <w:numPr>
          <w:ilvl w:val="1"/>
          <w:numId w:val="16"/>
        </w:numPr>
        <w:ind w:left="1440" w:firstLineChars="0"/>
        <w:jc w:val="both"/>
      </w:pPr>
      <w:r w:rsidRPr="0051690F">
        <w:t xml:space="preserve">Identify </w:t>
      </w:r>
      <w:r w:rsidRPr="00685E71">
        <w:t>and specify QCL/TCI-related enhancements to enable inter-cell multi-TRP operations, assuming multi-DCI based multi-PDSCH reception</w:t>
      </w:r>
    </w:p>
    <w:p w14:paraId="7E418EB8" w14:textId="77777777" w:rsidR="0034599C" w:rsidRDefault="0034599C" w:rsidP="0034599C">
      <w:pPr>
        <w:pStyle w:val="ListParagraph"/>
        <w:numPr>
          <w:ilvl w:val="1"/>
          <w:numId w:val="16"/>
        </w:numPr>
        <w:ind w:left="1440" w:firstLineChars="0"/>
        <w:jc w:val="both"/>
      </w:pPr>
      <w:r w:rsidRPr="0051690F">
        <w:t xml:space="preserve">Evaluate and, if needed, specify </w:t>
      </w:r>
      <w:r>
        <w:t xml:space="preserve">beam-management-related </w:t>
      </w:r>
      <w:r w:rsidRPr="0051690F">
        <w:t>enhancements for simultaneous multi-TRP transmission with multi-panel reception</w:t>
      </w:r>
    </w:p>
    <w:p w14:paraId="340D1B43" w14:textId="77777777" w:rsidR="0034599C" w:rsidRPr="009158FC" w:rsidRDefault="0034599C" w:rsidP="0034599C">
      <w:pPr>
        <w:pStyle w:val="ListParagraph"/>
        <w:numPr>
          <w:ilvl w:val="1"/>
          <w:numId w:val="16"/>
        </w:numPr>
        <w:ind w:left="1440" w:firstLineChars="0"/>
        <w:jc w:val="both"/>
        <w:rPr>
          <w:highlight w:val="yellow"/>
        </w:rPr>
      </w:pPr>
      <w:r w:rsidRPr="009158FC">
        <w:rPr>
          <w:highlight w:val="yellow"/>
        </w:rPr>
        <w:t>Enhancement to support HST-SFN deployment scenario:</w:t>
      </w:r>
    </w:p>
    <w:p w14:paraId="75DB9AE6" w14:textId="77777777" w:rsidR="0034599C" w:rsidRPr="009158FC" w:rsidRDefault="0034599C" w:rsidP="0034599C">
      <w:pPr>
        <w:pStyle w:val="ListParagraph"/>
        <w:numPr>
          <w:ilvl w:val="2"/>
          <w:numId w:val="16"/>
        </w:numPr>
        <w:ind w:left="2160" w:firstLineChars="0"/>
        <w:jc w:val="both"/>
        <w:rPr>
          <w:highlight w:val="yellow"/>
        </w:rPr>
      </w:pPr>
      <w:r w:rsidRPr="009158FC">
        <w:rPr>
          <w:highlight w:val="yellow"/>
        </w:rPr>
        <w:t>Identify and specify solution(s) on QCL assumption for DMRS, e.g. multiple QCL assumptions for the same DMRS port(s), targeting DL-only transmission</w:t>
      </w:r>
    </w:p>
    <w:p w14:paraId="04D2674A" w14:textId="77777777" w:rsidR="0034599C" w:rsidRPr="009158FC" w:rsidRDefault="0034599C" w:rsidP="0034599C">
      <w:pPr>
        <w:pStyle w:val="ListParagraph"/>
        <w:numPr>
          <w:ilvl w:val="2"/>
          <w:numId w:val="16"/>
        </w:numPr>
        <w:ind w:left="2160" w:firstLineChars="0"/>
        <w:jc w:val="both"/>
        <w:rPr>
          <w:highlight w:val="yellow"/>
        </w:rPr>
      </w:pPr>
      <w:r w:rsidRPr="009158FC">
        <w:rPr>
          <w:highlight w:val="yellow"/>
        </w:rPr>
        <w:t>Evaluate and, if the benefit over Rel.16 HST enhancement baseline is demonstrated, specify QCL/QCL-like relation (including applicable type(s) and the associated requirement) between DL and UL signal by reusing the unified TCI framework</w:t>
      </w:r>
    </w:p>
    <w:p w14:paraId="29F6A3D9" w14:textId="0E0A7349" w:rsidR="0034599C" w:rsidRDefault="0034599C" w:rsidP="0034599C"/>
    <w:p w14:paraId="12C883C8" w14:textId="77777777" w:rsidR="008F4108" w:rsidRDefault="009B7C02" w:rsidP="008F4108">
      <w:r>
        <w:t xml:space="preserve">As RAN1 mentioned in the LS, </w:t>
      </w:r>
      <w:r w:rsidR="003329C1">
        <w:t>RAN1 agreement on the MAC CE is related to objective (a) - URLLC and (d) – HST-SFN</w:t>
      </w:r>
      <w:r w:rsidR="00FA6A7C">
        <w:t xml:space="preserve"> deployment</w:t>
      </w:r>
      <w:r w:rsidR="003329C1">
        <w:t xml:space="preserve">. </w:t>
      </w:r>
      <w:r w:rsidR="008F4108">
        <w:t>In both URLLC and HST-SFN use case, RAN1 agree to apply the same SFN transmission for PDCCH where UE is provided with two TCI states to derive QCL properties from two TRPs.</w:t>
      </w:r>
    </w:p>
    <w:p w14:paraId="31745CE9" w14:textId="77777777" w:rsidR="008F4108" w:rsidRDefault="008F4108" w:rsidP="008F4108">
      <w:pPr>
        <w:pStyle w:val="Heading2"/>
      </w:pPr>
      <w:r>
        <w:lastRenderedPageBreak/>
        <w:t>URLLC</w:t>
      </w:r>
    </w:p>
    <w:p w14:paraId="581D1489" w14:textId="2B358339" w:rsidR="008F4108" w:rsidRDefault="008F4108" w:rsidP="008F4108">
      <w:r>
        <w:t xml:space="preserve">RAN1 agreed to </w:t>
      </w:r>
      <w:r w:rsidR="00B63C7B">
        <w:t>two options for PDCCH reliability enhancement including two PDCCH transmission approaches with repetition from different TRPs and SFN-ed PDCCH transmission from different TRPs</w:t>
      </w:r>
      <w:r w:rsidR="00396E01">
        <w:t>.</w:t>
      </w:r>
    </w:p>
    <w:tbl>
      <w:tblPr>
        <w:tblStyle w:val="TableGrid"/>
        <w:tblW w:w="0" w:type="auto"/>
        <w:tblLook w:val="04A0" w:firstRow="1" w:lastRow="0" w:firstColumn="1" w:lastColumn="0" w:noHBand="0" w:noVBand="1"/>
      </w:tblPr>
      <w:tblGrid>
        <w:gridCol w:w="9016"/>
      </w:tblGrid>
      <w:tr w:rsidR="00396E01" w14:paraId="09D9D53C" w14:textId="77777777" w:rsidTr="00396E01">
        <w:tc>
          <w:tcPr>
            <w:tcW w:w="9016" w:type="dxa"/>
          </w:tcPr>
          <w:p w14:paraId="04D61E6A" w14:textId="77777777" w:rsidR="00396E01" w:rsidRDefault="00396E01" w:rsidP="00396E01">
            <w:pPr>
              <w:jc w:val="both"/>
              <w:rPr>
                <w:rFonts w:ascii="Times New Roman" w:eastAsiaTheme="minorEastAsia" w:hAnsi="Times New Roman" w:cs="Times New Roman"/>
                <w:sz w:val="20"/>
                <w:szCs w:val="20"/>
                <w:lang w:val="en-US" w:eastAsia="ko-KR"/>
              </w:rPr>
            </w:pPr>
            <w:r>
              <w:rPr>
                <w:highlight w:val="green"/>
              </w:rPr>
              <w:t>Agreement</w:t>
            </w:r>
            <w:r>
              <w:t xml:space="preserve"> (RAN1#103e)</w:t>
            </w:r>
          </w:p>
          <w:p w14:paraId="25598427" w14:textId="77777777" w:rsidR="00396E01" w:rsidRDefault="00396E01" w:rsidP="00396E01">
            <w:pPr>
              <w:jc w:val="both"/>
              <w:rPr>
                <w:rFonts w:ascii="Calibri" w:hAnsi="Calibri" w:cs="Calibri"/>
                <w:sz w:val="24"/>
                <w:szCs w:val="24"/>
              </w:rPr>
            </w:pPr>
            <w:r w:rsidRPr="00A84BF6">
              <w:rPr>
                <w:highlight w:val="yellow"/>
              </w:rPr>
              <w:t>For PDCCH reliability enhancements, support SFN scheme + Alt 1-1.</w:t>
            </w:r>
          </w:p>
          <w:p w14:paraId="762F961F" w14:textId="77777777" w:rsidR="00396E01" w:rsidRDefault="00396E01" w:rsidP="00396E01">
            <w:pPr>
              <w:pStyle w:val="ListParagraph"/>
              <w:numPr>
                <w:ilvl w:val="0"/>
                <w:numId w:val="34"/>
              </w:numPr>
              <w:autoSpaceDN w:val="0"/>
              <w:ind w:firstLineChars="0"/>
              <w:jc w:val="both"/>
              <w:rPr>
                <w:sz w:val="22"/>
                <w:szCs w:val="22"/>
              </w:rPr>
            </w:pPr>
            <w:r>
              <w:t>FFS: TCI state activation for CORESET, impact on default beam, BFD resource for BFR</w:t>
            </w:r>
          </w:p>
          <w:p w14:paraId="1A9F07D1" w14:textId="77777777" w:rsidR="00396E01" w:rsidRDefault="00396E01" w:rsidP="00396E01">
            <w:pPr>
              <w:rPr>
                <w:sz w:val="20"/>
                <w:szCs w:val="20"/>
                <w:highlight w:val="green"/>
                <w:lang w:eastAsia="x-none"/>
              </w:rPr>
            </w:pPr>
            <w:r>
              <w:rPr>
                <w:highlight w:val="green"/>
                <w:lang w:eastAsia="x-none"/>
              </w:rPr>
              <w:t>Agreement</w:t>
            </w:r>
            <w:r>
              <w:rPr>
                <w:lang w:eastAsia="x-none"/>
              </w:rPr>
              <w:t xml:space="preserve"> (RAN1#102e)</w:t>
            </w:r>
          </w:p>
          <w:p w14:paraId="61FBADC6" w14:textId="77777777" w:rsidR="00396E01" w:rsidRDefault="00396E01" w:rsidP="00396E01">
            <w:pPr>
              <w:rPr>
                <w:sz w:val="24"/>
                <w:szCs w:val="24"/>
                <w:lang w:eastAsia="ko-KR"/>
              </w:rPr>
            </w:pPr>
            <w:r>
              <w:t xml:space="preserve">For Alt 1 (one CORESET with two active TCI states), study the following </w:t>
            </w:r>
          </w:p>
          <w:p w14:paraId="0F465E66" w14:textId="77777777" w:rsidR="00396E01" w:rsidRDefault="00396E01" w:rsidP="00396E01">
            <w:pPr>
              <w:pStyle w:val="ListParagraph"/>
              <w:numPr>
                <w:ilvl w:val="0"/>
                <w:numId w:val="35"/>
              </w:numPr>
              <w:overflowPunct w:val="0"/>
              <w:autoSpaceDE w:val="0"/>
              <w:autoSpaceDN w:val="0"/>
              <w:spacing w:after="180"/>
              <w:ind w:firstLineChars="0"/>
              <w:contextualSpacing/>
              <w:rPr>
                <w:sz w:val="22"/>
                <w:szCs w:val="22"/>
              </w:rPr>
            </w:pPr>
            <w:r>
              <w:t>Alt 1-1: One PDCCH candidate (</w:t>
            </w:r>
            <w:proofErr w:type="gramStart"/>
            <w:r>
              <w:t>in a given</w:t>
            </w:r>
            <w:proofErr w:type="gramEnd"/>
            <w:r>
              <w:t xml:space="preserve"> SS set) is associated with both TCI states of the CORESET.</w:t>
            </w:r>
          </w:p>
          <w:p w14:paraId="19A01DE3" w14:textId="77777777" w:rsidR="00396E01" w:rsidRDefault="00396E01" w:rsidP="00396E01">
            <w:pPr>
              <w:pStyle w:val="ListParagraph"/>
              <w:numPr>
                <w:ilvl w:val="0"/>
                <w:numId w:val="35"/>
              </w:numPr>
              <w:overflowPunct w:val="0"/>
              <w:autoSpaceDE w:val="0"/>
              <w:autoSpaceDN w:val="0"/>
              <w:ind w:firstLineChars="0"/>
              <w:contextualSpacing/>
              <w:rPr>
                <w:lang w:eastAsia="x-none"/>
              </w:rPr>
            </w:pPr>
            <w:r>
              <w:t>Alt 1-2: Two sets of PDCCH candidates (</w:t>
            </w:r>
            <w:proofErr w:type="gramStart"/>
            <w:r>
              <w:t>in a given</w:t>
            </w:r>
            <w:proofErr w:type="gramEnd"/>
            <w:r>
              <w:t xml:space="preserve"> SS set) are associated with the two TCI states of the CORESET, respectively </w:t>
            </w:r>
          </w:p>
          <w:p w14:paraId="2EA75519" w14:textId="77777777" w:rsidR="00396E01" w:rsidRDefault="00396E01" w:rsidP="00396E01">
            <w:pPr>
              <w:pStyle w:val="ListParagraph"/>
              <w:numPr>
                <w:ilvl w:val="0"/>
                <w:numId w:val="35"/>
              </w:numPr>
              <w:overflowPunct w:val="0"/>
              <w:autoSpaceDE w:val="0"/>
              <w:autoSpaceDN w:val="0"/>
              <w:ind w:firstLineChars="0"/>
              <w:contextualSpacing/>
            </w:pPr>
            <w:r>
              <w:t xml:space="preserve">Alt 1-3: Two sets of PDCCH candidates are associated with two corresponding SS sets, where both SS sets are associated with the CORESET and each SS set is associated with only one TCI state of the CORESET </w:t>
            </w:r>
          </w:p>
          <w:p w14:paraId="64786C6F" w14:textId="77777777" w:rsidR="00396E01" w:rsidRDefault="00396E01" w:rsidP="00396E01">
            <w:pPr>
              <w:pStyle w:val="ListParagraph"/>
              <w:numPr>
                <w:ilvl w:val="0"/>
                <w:numId w:val="35"/>
              </w:numPr>
              <w:overflowPunct w:val="0"/>
              <w:autoSpaceDE w:val="0"/>
              <w:autoSpaceDN w:val="0"/>
              <w:ind w:firstLineChars="0"/>
              <w:contextualSpacing/>
            </w:pPr>
            <w:r>
              <w:t xml:space="preserve">Note 1: A set of PDCCH candidates contain a </w:t>
            </w:r>
            <w:proofErr w:type="gramStart"/>
            <w:r>
              <w:t>single or multiple PDCCH candidates</w:t>
            </w:r>
            <w:proofErr w:type="gramEnd"/>
            <w:r>
              <w:t>, and a PDCCH candidate in a set corresponds to a repetition or chance</w:t>
            </w:r>
          </w:p>
          <w:p w14:paraId="7AE4BBAE" w14:textId="77777777" w:rsidR="00396E01" w:rsidRDefault="00396E01" w:rsidP="00396E01">
            <w:pPr>
              <w:pStyle w:val="ListParagraph"/>
              <w:numPr>
                <w:ilvl w:val="0"/>
                <w:numId w:val="35"/>
              </w:numPr>
              <w:overflowPunct w:val="0"/>
              <w:autoSpaceDE w:val="0"/>
              <w:autoSpaceDN w:val="0"/>
              <w:ind w:firstLineChars="0"/>
              <w:contextualSpacing/>
            </w:pPr>
            <w:r>
              <w:t xml:space="preserve">Note 2: How one or more PDCCH candidates are counted for monitoring (for BD limit) is FFS </w:t>
            </w:r>
          </w:p>
          <w:p w14:paraId="34010EDA" w14:textId="77777777" w:rsidR="00396E01" w:rsidRDefault="00396E01" w:rsidP="00396E01">
            <w:pPr>
              <w:pStyle w:val="ListParagraph"/>
              <w:numPr>
                <w:ilvl w:val="1"/>
                <w:numId w:val="35"/>
              </w:numPr>
              <w:overflowPunct w:val="0"/>
              <w:autoSpaceDE w:val="0"/>
              <w:autoSpaceDN w:val="0"/>
              <w:ind w:firstLineChars="0"/>
              <w:contextualSpacing/>
            </w:pPr>
            <w:r>
              <w:t xml:space="preserve">The note is applicable also to other alternatives </w:t>
            </w:r>
          </w:p>
          <w:p w14:paraId="177BF7B0" w14:textId="77777777" w:rsidR="00396E01" w:rsidRDefault="00396E01" w:rsidP="00C4624F"/>
        </w:tc>
      </w:tr>
    </w:tbl>
    <w:p w14:paraId="11F1EF4B" w14:textId="195D500C" w:rsidR="0018236C" w:rsidRDefault="007C32C3" w:rsidP="0018236C">
      <w:pPr>
        <w:jc w:val="both"/>
      </w:pPr>
      <w:r>
        <w:t>Since</w:t>
      </w:r>
      <w:r w:rsidRPr="007C32C3">
        <w:t xml:space="preserve"> SFN transmission for reliability enhancement is the same as SFN transmission of PDCCH in HST-SFN scenario</w:t>
      </w:r>
      <w:r>
        <w:t>, RAN1</w:t>
      </w:r>
      <w:r w:rsidRPr="007C32C3">
        <w:t xml:space="preserve"> discuss</w:t>
      </w:r>
      <w:r>
        <w:t>ed</w:t>
      </w:r>
      <w:r w:rsidRPr="007C32C3">
        <w:t xml:space="preserve"> further details of this scheme under one (HST-SFN) agenda item, but without precluding generic scenario of reliability improvement for PDCCH.</w:t>
      </w:r>
    </w:p>
    <w:p w14:paraId="3C0BDEF2" w14:textId="7FB56B26" w:rsidR="000D17B0" w:rsidRDefault="000D17B0" w:rsidP="000D17B0">
      <w:pPr>
        <w:pStyle w:val="Heading2"/>
      </w:pPr>
      <w:r>
        <w:t>HST-SFN</w:t>
      </w:r>
    </w:p>
    <w:p w14:paraId="21F69390" w14:textId="783948C3" w:rsidR="00F34DAC" w:rsidRDefault="00F34DAC" w:rsidP="00FC50C4">
      <w:pPr>
        <w:jc w:val="both"/>
        <w:rPr>
          <w:rFonts w:eastAsiaTheme="minorEastAsia"/>
          <w:lang w:val="en-US"/>
        </w:rPr>
      </w:pPr>
      <w:r>
        <w:t>In RAN#85 meeting the RAN4 work item on enhanced demodulation requirements for NR in high-speed train scenario was approved [</w:t>
      </w:r>
      <w:r w:rsidR="00522ECF">
        <w:t>3</w:t>
      </w:r>
      <w:r>
        <w:t xml:space="preserve">]. The considered high speed train scenario in RAN4 includes transmission from multiple remote radio heads (RRHs) to the UE located in fast moving train (see </w:t>
      </w:r>
      <w:r>
        <w:fldChar w:fldCharType="begin"/>
      </w:r>
      <w:r>
        <w:instrText xml:space="preserve"> REF _Ref30505114 \h  \* MERGEFORMAT </w:instrText>
      </w:r>
      <w:r>
        <w:fldChar w:fldCharType="separate"/>
      </w:r>
      <w:r>
        <w:t xml:space="preserve">Figure </w:t>
      </w:r>
      <w:r>
        <w:rPr>
          <w:noProof/>
        </w:rPr>
        <w:t>1</w:t>
      </w:r>
      <w:r>
        <w:fldChar w:fldCharType="end"/>
      </w:r>
      <w:r>
        <w:t xml:space="preserve">). Those RRHs are connected to the central processing unit (CPU) using close-to-ideal backhaul link and the deployment as such corresponds to multi-TRP scenario. </w:t>
      </w:r>
    </w:p>
    <w:p w14:paraId="0B87C053" w14:textId="77777777" w:rsidR="00F34DAC" w:rsidRDefault="00F34DAC" w:rsidP="00F34DAC">
      <w:pPr>
        <w:keepNext/>
        <w:jc w:val="center"/>
      </w:pPr>
      <w:r>
        <w:rPr>
          <w:rFonts w:eastAsiaTheme="minorEastAsia"/>
          <w:lang w:val="en-US"/>
        </w:rPr>
        <w:object w:dxaOrig="7524" w:dyaOrig="1296" w14:anchorId="204A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pt;height:65.1pt" o:ole="">
            <v:imagedata r:id="rId11" o:title=""/>
          </v:shape>
          <o:OLEObject Type="Embed" ProgID="Visio.Drawing.15" ShapeID="_x0000_i1025" DrawAspect="Content" ObjectID="_1682188818" r:id="rId12"/>
        </w:object>
      </w:r>
    </w:p>
    <w:p w14:paraId="71E9EECA" w14:textId="77777777" w:rsidR="00F34DAC" w:rsidRDefault="00F34DAC" w:rsidP="00F34DAC">
      <w:pPr>
        <w:pStyle w:val="Caption"/>
        <w:jc w:val="center"/>
      </w:pPr>
      <w:bookmarkStart w:id="1" w:name="_Ref30505114"/>
      <w:r>
        <w:t xml:space="preserve">Figure </w:t>
      </w:r>
      <w:r w:rsidR="00420B99">
        <w:fldChar w:fldCharType="begin"/>
      </w:r>
      <w:r w:rsidR="00420B99">
        <w:instrText xml:space="preserve"> SEQ Figure \* ARABIC </w:instrText>
      </w:r>
      <w:r w:rsidR="00420B99">
        <w:fldChar w:fldCharType="separate"/>
      </w:r>
      <w:r>
        <w:rPr>
          <w:noProof/>
        </w:rPr>
        <w:t>1</w:t>
      </w:r>
      <w:r w:rsidR="00420B99">
        <w:rPr>
          <w:noProof/>
        </w:rPr>
        <w:fldChar w:fldCharType="end"/>
      </w:r>
      <w:bookmarkEnd w:id="1"/>
      <w:r>
        <w:t xml:space="preserve"> Illustration of HST deployment scenario</w:t>
      </w:r>
    </w:p>
    <w:p w14:paraId="7D9B56CE" w14:textId="1C3F8989" w:rsidR="005103E9" w:rsidRDefault="003F3FE0" w:rsidP="00F34DAC">
      <w:r>
        <w:t xml:space="preserve">In RAN1 #104e, </w:t>
      </w:r>
      <w:r w:rsidR="00132608">
        <w:t xml:space="preserve">the scheme 1 </w:t>
      </w:r>
      <w:r w:rsidR="00CF3D0A">
        <w:t xml:space="preserve">was agreed </w:t>
      </w:r>
      <w:r w:rsidR="00132608">
        <w:t>where</w:t>
      </w:r>
      <w:r w:rsidR="00767D57">
        <w:t xml:space="preserve"> TRS is transmitted in TRP-specific manner (non-SFN manner) and DM-RS/PDCCH/PDSCH from TRPs</w:t>
      </w:r>
      <w:r w:rsidR="009C7C2A">
        <w:t xml:space="preserve"> </w:t>
      </w:r>
      <w:r w:rsidR="00767D57">
        <w:t>are transmi</w:t>
      </w:r>
      <w:r w:rsidR="009C7C2A">
        <w:t>tted in SFN manner</w:t>
      </w:r>
      <w:r w:rsidR="007E3B13">
        <w:t>.</w:t>
      </w:r>
      <w:r w:rsidR="00241AA2">
        <w:t xml:space="preserve"> </w:t>
      </w:r>
      <w:r w:rsidR="00132608">
        <w:t>The same PDSCH signal from multiple RRHs are transmitted (i.e. SFN transmission).</w:t>
      </w:r>
      <w:r w:rsidR="00CC1082">
        <w:t xml:space="preserve"> In addition, RAN1 agree that </w:t>
      </w:r>
      <w:r w:rsidR="005103E9">
        <w:t>two TCI state are supported for HST scenario. In Rel-16</w:t>
      </w:r>
      <w:r w:rsidR="00F5273B">
        <w:t xml:space="preserve">, multi-TRP already supports </w:t>
      </w:r>
      <w:r w:rsidR="002109AB">
        <w:t xml:space="preserve">indicating </w:t>
      </w:r>
      <w:r w:rsidR="002109AB" w:rsidRPr="002109AB">
        <w:t>two TCI states for PDSCH</w:t>
      </w:r>
      <w:r w:rsidR="002109AB">
        <w:t xml:space="preserve">, while only one TCI can be indicated for PDCCH. </w:t>
      </w:r>
      <w:r w:rsidR="00F5273B">
        <w:t xml:space="preserve"> </w:t>
      </w:r>
    </w:p>
    <w:p w14:paraId="68002794" w14:textId="79257621" w:rsidR="00626A6B" w:rsidRDefault="00626A6B" w:rsidP="00626A6B">
      <w:pPr>
        <w:pStyle w:val="Heading1"/>
      </w:pPr>
      <w:r>
        <w:t>Enhanced MAC CE</w:t>
      </w:r>
    </w:p>
    <w:bookmarkEnd w:id="0"/>
    <w:p w14:paraId="7D05AD73" w14:textId="6FF49AE0" w:rsidR="00C81470" w:rsidRDefault="00993D26" w:rsidP="00C81470">
      <w:r>
        <w:t>In Rel-16, TCI state indication for UE-specific PDCCH MAC CE is defined as follows</w:t>
      </w:r>
      <w:r w:rsidR="00623F91">
        <w:t>.</w:t>
      </w:r>
    </w:p>
    <w:p w14:paraId="47E9A12A" w14:textId="77777777" w:rsidR="00993D26" w:rsidRDefault="00993D26" w:rsidP="00993D26">
      <w:pPr>
        <w:pStyle w:val="TH"/>
        <w:rPr>
          <w:lang w:val="en-GB" w:eastAsia="ja-JP"/>
        </w:rPr>
      </w:pPr>
      <w:r>
        <w:rPr>
          <w:rFonts w:cs="Times New Roman"/>
          <w:sz w:val="20"/>
          <w:szCs w:val="20"/>
          <w:lang w:val="en-GB" w:eastAsia="ja-JP"/>
        </w:rPr>
        <w:object w:dxaOrig="5700" w:dyaOrig="1596" w14:anchorId="195AB54A">
          <v:shape id="_x0000_i1026" type="#_x0000_t75" style="width:285.25pt;height:80.3pt" o:ole="">
            <v:imagedata r:id="rId13" o:title=""/>
          </v:shape>
          <o:OLEObject Type="Embed" ProgID="Visio.Drawing.15" ShapeID="_x0000_i1026" DrawAspect="Content" ObjectID="_1682188819" r:id="rId14"/>
        </w:object>
      </w:r>
    </w:p>
    <w:p w14:paraId="68D89475" w14:textId="77777777" w:rsidR="00993D26" w:rsidRDefault="00993D26" w:rsidP="00993D26">
      <w:pPr>
        <w:pStyle w:val="TF"/>
        <w:rPr>
          <w:noProof/>
        </w:rPr>
      </w:pPr>
      <w:r>
        <w:rPr>
          <w:noProof/>
        </w:rPr>
        <w:t xml:space="preserve">Figure 6.1.3.15-1: </w:t>
      </w:r>
      <w:r>
        <w:t>TCI State Indication for UE-specific PDCCH MAC CE</w:t>
      </w:r>
    </w:p>
    <w:p w14:paraId="699DA388" w14:textId="6748ED8F" w:rsidR="00993D26" w:rsidRDefault="00993D26" w:rsidP="00C81470">
      <w:pPr>
        <w:rPr>
          <w:lang w:val="en-US"/>
        </w:rPr>
      </w:pPr>
      <w:r>
        <w:rPr>
          <w:lang w:val="en-US"/>
        </w:rPr>
        <w:t xml:space="preserve">This </w:t>
      </w:r>
      <w:r w:rsidR="000D2D99">
        <w:rPr>
          <w:lang w:val="en-US"/>
        </w:rPr>
        <w:t xml:space="preserve">Rel-16 </w:t>
      </w:r>
      <w:r>
        <w:rPr>
          <w:lang w:val="en-US"/>
        </w:rPr>
        <w:t>MAC CE includes only one TCI sta</w:t>
      </w:r>
      <w:r w:rsidR="005B2B86">
        <w:rPr>
          <w:lang w:val="en-US"/>
        </w:rPr>
        <w:t>t</w:t>
      </w:r>
      <w:r>
        <w:rPr>
          <w:lang w:val="en-US"/>
        </w:rPr>
        <w:t xml:space="preserve">e ID. </w:t>
      </w:r>
      <w:r w:rsidR="005B2B86">
        <w:rPr>
          <w:lang w:val="en-US"/>
        </w:rPr>
        <w:t>Therefore</w:t>
      </w:r>
      <w:r>
        <w:rPr>
          <w:lang w:val="en-US"/>
        </w:rPr>
        <w:t xml:space="preserve">, </w:t>
      </w:r>
      <w:proofErr w:type="gramStart"/>
      <w:r>
        <w:rPr>
          <w:lang w:val="en-US"/>
        </w:rPr>
        <w:t>in order to</w:t>
      </w:r>
      <w:proofErr w:type="gramEnd"/>
      <w:r>
        <w:rPr>
          <w:lang w:val="en-US"/>
        </w:rPr>
        <w:t xml:space="preserve"> support </w:t>
      </w:r>
      <w:r w:rsidR="000410F9">
        <w:rPr>
          <w:lang w:val="en-US"/>
        </w:rPr>
        <w:t xml:space="preserve">two TCI states, the new MAC CE should be introduced to include two TCI states. </w:t>
      </w:r>
      <w:r w:rsidR="005B2B86">
        <w:rPr>
          <w:lang w:val="en-US"/>
        </w:rPr>
        <w:t xml:space="preserve">The </w:t>
      </w:r>
      <w:r w:rsidR="002409E6">
        <w:rPr>
          <w:lang w:val="en-US"/>
        </w:rPr>
        <w:t xml:space="preserve">possible </w:t>
      </w:r>
      <w:r w:rsidR="00EF05AC">
        <w:rPr>
          <w:lang w:val="en-US"/>
        </w:rPr>
        <w:t xml:space="preserve">MAC CE is shown below. </w:t>
      </w:r>
    </w:p>
    <w:p w14:paraId="47862C6C" w14:textId="7B07F01B" w:rsidR="000410F9" w:rsidRDefault="00EF05AC" w:rsidP="00505254">
      <w:pPr>
        <w:jc w:val="center"/>
        <w:rPr>
          <w:lang w:val="en-US"/>
        </w:rPr>
      </w:pPr>
      <w:r>
        <w:rPr>
          <w:noProof/>
        </w:rPr>
        <w:drawing>
          <wp:inline distT="0" distB="0" distL="0" distR="0" wp14:anchorId="6656B8A9" wp14:editId="09E278D4">
            <wp:extent cx="2997200" cy="1387714"/>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7200" cy="1387714"/>
                    </a:xfrm>
                    <a:prstGeom prst="rect">
                      <a:avLst/>
                    </a:prstGeom>
                  </pic:spPr>
                </pic:pic>
              </a:graphicData>
            </a:graphic>
          </wp:inline>
        </w:drawing>
      </w:r>
    </w:p>
    <w:p w14:paraId="7A932CDF" w14:textId="07EEFDD0" w:rsidR="009548ED" w:rsidRDefault="009548ED" w:rsidP="00505254">
      <w:pPr>
        <w:jc w:val="center"/>
        <w:rPr>
          <w:lang w:val="en-US"/>
        </w:rPr>
      </w:pPr>
      <w:r>
        <w:rPr>
          <w:lang w:val="en-US"/>
        </w:rPr>
        <w:t>Figure 1: enhanced TCI State Indication for UE-specific PDCCH MAC CE</w:t>
      </w:r>
    </w:p>
    <w:p w14:paraId="768BD3E0" w14:textId="52F60B4B" w:rsidR="009548ED" w:rsidRDefault="009548ED" w:rsidP="009548ED">
      <w:r>
        <w:rPr>
          <w:lang w:val="en-US"/>
        </w:rPr>
        <w:t xml:space="preserve">It is noted that RAN1 is still discussing </w:t>
      </w:r>
      <w:r>
        <w:rPr>
          <w:rFonts w:eastAsia="Times New Roman"/>
        </w:rPr>
        <w:t xml:space="preserve">whether for CA scenario additionally support RRC configured set of the serving cells which can be addressed by a single MAC CE and </w:t>
      </w:r>
      <w:r>
        <w:t xml:space="preserve">whether or not enhanced MAC CE </w:t>
      </w:r>
      <w:proofErr w:type="spellStart"/>
      <w:r>
        <w:t>signaling</w:t>
      </w:r>
      <w:proofErr w:type="spellEnd"/>
      <w:r>
        <w:t xml:space="preserve"> is applicable to a CORESET configured with </w:t>
      </w:r>
      <w:proofErr w:type="spellStart"/>
      <w:r>
        <w:t>CORESETPoolindex</w:t>
      </w:r>
      <w:proofErr w:type="spellEnd"/>
      <w:r>
        <w:t xml:space="preserve">. </w:t>
      </w:r>
    </w:p>
    <w:p w14:paraId="1DBD2769" w14:textId="01530F6C" w:rsidR="00993D26" w:rsidRDefault="009548ED" w:rsidP="00C81470">
      <w:r>
        <w:t xml:space="preserve">However, </w:t>
      </w:r>
      <w:r w:rsidR="002409E6">
        <w:t xml:space="preserve">we understand that these remaining issues will not affect MAC CE format </w:t>
      </w:r>
      <w:r w:rsidR="0005171B">
        <w:t xml:space="preserve">but require RRC </w:t>
      </w:r>
      <w:proofErr w:type="spellStart"/>
      <w:r w:rsidR="0005171B">
        <w:t>signaling</w:t>
      </w:r>
      <w:proofErr w:type="spellEnd"/>
      <w:r w:rsidR="0005171B">
        <w:t xml:space="preserve"> configuration e.g. </w:t>
      </w:r>
      <w:r w:rsidR="006A6BFD">
        <w:t xml:space="preserve">how the set of the serving cells can be associated to the same TCI state ID or </w:t>
      </w:r>
      <w:r w:rsidR="007C26E2">
        <w:t xml:space="preserve">the enhanced MAC CE is used for multi-DCI multi-TRP operation. </w:t>
      </w:r>
      <w:r w:rsidR="00030D7C">
        <w:t xml:space="preserve">Therefore, RAN2 can agree the need of the enhanced MAC CE. </w:t>
      </w:r>
    </w:p>
    <w:p w14:paraId="71101B05" w14:textId="7A151E95" w:rsidR="002409E6" w:rsidRPr="00D133D0" w:rsidRDefault="00D133D0" w:rsidP="00C81470">
      <w:pPr>
        <w:rPr>
          <w:rFonts w:eastAsia="Malgun Gothic"/>
          <w:b/>
          <w:bCs/>
        </w:rPr>
      </w:pPr>
      <w:r w:rsidRPr="00D133D0">
        <w:rPr>
          <w:b/>
          <w:bCs/>
        </w:rPr>
        <w:t xml:space="preserve">Proposal: RAN2 agree to introduce enhanced MAC CE </w:t>
      </w:r>
      <w:r w:rsidRPr="00D133D0">
        <w:rPr>
          <w:rFonts w:eastAsia="Malgun Gothic"/>
          <w:b/>
          <w:bCs/>
        </w:rPr>
        <w:t xml:space="preserve">to support PDCCH activating two TCI states. </w:t>
      </w:r>
    </w:p>
    <w:p w14:paraId="0C6998EB" w14:textId="55542D69" w:rsidR="000C082F" w:rsidRDefault="0028420B" w:rsidP="000C082F">
      <w:pPr>
        <w:pStyle w:val="Heading1"/>
      </w:pPr>
      <w:r>
        <w:t>Conclusion</w:t>
      </w:r>
    </w:p>
    <w:p w14:paraId="5A3AEA7F" w14:textId="500DD760" w:rsidR="00CD33BB" w:rsidRDefault="00CD33BB" w:rsidP="00CD33BB">
      <w:pPr>
        <w:rPr>
          <w:sz w:val="20"/>
          <w:szCs w:val="20"/>
        </w:rPr>
      </w:pPr>
      <w:r w:rsidRPr="00CD33BB">
        <w:rPr>
          <w:b/>
          <w:bCs/>
        </w:rPr>
        <w:t xml:space="preserve"> </w:t>
      </w:r>
      <w:r w:rsidR="00160333">
        <w:rPr>
          <w:sz w:val="20"/>
          <w:szCs w:val="20"/>
        </w:rPr>
        <w:t>In this contribution, we summarize</w:t>
      </w:r>
      <w:r w:rsidR="00160333">
        <w:rPr>
          <w:sz w:val="20"/>
          <w:szCs w:val="20"/>
        </w:rPr>
        <w:t>d</w:t>
      </w:r>
      <w:r w:rsidR="00160333">
        <w:rPr>
          <w:sz w:val="20"/>
          <w:szCs w:val="20"/>
        </w:rPr>
        <w:t xml:space="preserve"> background of RAN1 LS and the required enhancement of MAC CE.</w:t>
      </w:r>
    </w:p>
    <w:p w14:paraId="0934F7AA" w14:textId="3E0C5491" w:rsidR="00160333" w:rsidRPr="00D133D0" w:rsidRDefault="00160333" w:rsidP="00160333">
      <w:pPr>
        <w:rPr>
          <w:rFonts w:eastAsia="Malgun Gothic"/>
          <w:b/>
          <w:bCs/>
        </w:rPr>
      </w:pPr>
      <w:r w:rsidRPr="00D133D0">
        <w:rPr>
          <w:b/>
          <w:bCs/>
        </w:rPr>
        <w:t xml:space="preserve">Proposal: RAN2 agree to introduce enhanced MAC CE </w:t>
      </w:r>
      <w:r w:rsidRPr="00D133D0">
        <w:rPr>
          <w:rFonts w:eastAsia="Malgun Gothic"/>
          <w:b/>
          <w:bCs/>
        </w:rPr>
        <w:t xml:space="preserve">to support PDCCH activating two TCI states. </w:t>
      </w:r>
    </w:p>
    <w:p w14:paraId="7E03D4E4" w14:textId="77777777" w:rsidR="00160333" w:rsidRPr="00CD33BB" w:rsidRDefault="00160333" w:rsidP="00CD33BB">
      <w:pPr>
        <w:rPr>
          <w:b/>
          <w:bCs/>
        </w:rPr>
      </w:pPr>
    </w:p>
    <w:p w14:paraId="6CD09647" w14:textId="77777777" w:rsidR="000C082F" w:rsidRDefault="000C082F" w:rsidP="000C082F">
      <w:pPr>
        <w:pStyle w:val="Heading1"/>
      </w:pPr>
      <w:r>
        <w:t>References</w:t>
      </w:r>
    </w:p>
    <w:p w14:paraId="19FD008F" w14:textId="0AB184D5" w:rsidR="00D57EDF" w:rsidRDefault="00A74129" w:rsidP="00D34A57">
      <w:r>
        <w:t>[1</w:t>
      </w:r>
      <w:proofErr w:type="gramStart"/>
      <w:r>
        <w:t xml:space="preserve">] </w:t>
      </w:r>
      <w:r w:rsidR="00264150" w:rsidRPr="00264150">
        <w:t xml:space="preserve"> </w:t>
      </w:r>
      <w:r w:rsidR="00D57EDF" w:rsidRPr="00D57EDF">
        <w:t>R</w:t>
      </w:r>
      <w:proofErr w:type="gramEnd"/>
      <w:r w:rsidR="00D57EDF" w:rsidRPr="00D57EDF">
        <w:t>2-2104712</w:t>
      </w:r>
      <w:r w:rsidR="00FF1E98">
        <w:t xml:space="preserve">, </w:t>
      </w:r>
      <w:r w:rsidR="00FF1E98" w:rsidRPr="00FF1E98">
        <w:t>LS on TCI states indication for PDCCH</w:t>
      </w:r>
      <w:r w:rsidR="00FF1E98">
        <w:t>, RAN1</w:t>
      </w:r>
    </w:p>
    <w:p w14:paraId="3CAC96B7" w14:textId="728CABE2" w:rsidR="00F644D1" w:rsidRDefault="00D57EDF" w:rsidP="00D34A57">
      <w:pPr>
        <w:rPr>
          <w:lang w:val="en-US"/>
        </w:rPr>
      </w:pPr>
      <w:r>
        <w:t>[2</w:t>
      </w:r>
      <w:proofErr w:type="gramStart"/>
      <w:r>
        <w:t xml:space="preserve">] </w:t>
      </w:r>
      <w:r w:rsidR="00264150" w:rsidRPr="00264150">
        <w:t xml:space="preserve"> </w:t>
      </w:r>
      <w:r w:rsidR="005D3FD9" w:rsidRPr="005D3FD9">
        <w:t>RP</w:t>
      </w:r>
      <w:proofErr w:type="gramEnd"/>
      <w:r w:rsidR="005D3FD9" w:rsidRPr="005D3FD9">
        <w:t>-202024</w:t>
      </w:r>
      <w:r w:rsidR="005D3FD9">
        <w:t xml:space="preserve"> </w:t>
      </w:r>
      <w:r w:rsidR="00D34A57" w:rsidRPr="00D34A57">
        <w:rPr>
          <w:lang w:val="en-US"/>
        </w:rPr>
        <w:t>Revised WID: Further enhancements on MIMO for NR</w:t>
      </w:r>
    </w:p>
    <w:p w14:paraId="4CEAB927" w14:textId="3D36F5EB" w:rsidR="00522ECF" w:rsidRDefault="00522ECF" w:rsidP="00522ECF">
      <w:pPr>
        <w:rPr>
          <w:lang w:eastAsia="x-none"/>
        </w:rPr>
      </w:pPr>
      <w:r>
        <w:rPr>
          <w:lang w:eastAsia="x-none"/>
        </w:rPr>
        <w:t>[3] RP-191512, New WID on NR support for high speed train scenario, 3GPP TSG RAN Meeting #84, Newport Beach, USA, June 3-6, 2019.</w:t>
      </w:r>
    </w:p>
    <w:p w14:paraId="19AAE81A" w14:textId="77777777" w:rsidR="00522ECF" w:rsidRPr="008012E6" w:rsidRDefault="00522ECF" w:rsidP="00D34A57">
      <w:pPr>
        <w:rPr>
          <w:lang w:val="en-US"/>
        </w:rPr>
      </w:pPr>
    </w:p>
    <w:sectPr w:rsidR="00522ECF" w:rsidRPr="008012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45461" w14:textId="77777777" w:rsidR="008C6BBC" w:rsidRDefault="008C6BBC" w:rsidP="00955473">
      <w:pPr>
        <w:spacing w:after="0" w:line="240" w:lineRule="auto"/>
      </w:pPr>
      <w:r>
        <w:separator/>
      </w:r>
    </w:p>
  </w:endnote>
  <w:endnote w:type="continuationSeparator" w:id="0">
    <w:p w14:paraId="581AA73F" w14:textId="77777777" w:rsidR="008C6BBC" w:rsidRDefault="008C6BBC" w:rsidP="00955473">
      <w:pPr>
        <w:spacing w:after="0" w:line="240" w:lineRule="auto"/>
      </w:pPr>
      <w:r>
        <w:continuationSeparator/>
      </w:r>
    </w:p>
  </w:endnote>
  <w:endnote w:type="continuationNotice" w:id="1">
    <w:p w14:paraId="33507F6F" w14:textId="77777777" w:rsidR="008C6BBC" w:rsidRDefault="008C6B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28BC1" w14:textId="77777777" w:rsidR="008C6BBC" w:rsidRDefault="008C6BBC" w:rsidP="00955473">
      <w:pPr>
        <w:spacing w:after="0" w:line="240" w:lineRule="auto"/>
      </w:pPr>
      <w:r>
        <w:separator/>
      </w:r>
    </w:p>
  </w:footnote>
  <w:footnote w:type="continuationSeparator" w:id="0">
    <w:p w14:paraId="3265E084" w14:textId="77777777" w:rsidR="008C6BBC" w:rsidRDefault="008C6BBC" w:rsidP="00955473">
      <w:pPr>
        <w:spacing w:after="0" w:line="240" w:lineRule="auto"/>
      </w:pPr>
      <w:r>
        <w:continuationSeparator/>
      </w:r>
    </w:p>
  </w:footnote>
  <w:footnote w:type="continuationNotice" w:id="1">
    <w:p w14:paraId="32494876" w14:textId="77777777" w:rsidR="008C6BBC" w:rsidRDefault="008C6B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6B8"/>
    <w:multiLevelType w:val="multilevel"/>
    <w:tmpl w:val="9E5A4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B6CDE"/>
    <w:multiLevelType w:val="multilevel"/>
    <w:tmpl w:val="A300B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7625F"/>
    <w:multiLevelType w:val="multilevel"/>
    <w:tmpl w:val="4120B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74044"/>
    <w:multiLevelType w:val="multilevel"/>
    <w:tmpl w:val="731C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4D83"/>
    <w:multiLevelType w:val="multilevel"/>
    <w:tmpl w:val="CBA4D7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30CFA"/>
    <w:multiLevelType w:val="hybridMultilevel"/>
    <w:tmpl w:val="FD74F426"/>
    <w:lvl w:ilvl="0" w:tplc="42D0A2CC">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7152B"/>
    <w:multiLevelType w:val="hybridMultilevel"/>
    <w:tmpl w:val="E4F87DAC"/>
    <w:lvl w:ilvl="0" w:tplc="E8022F32">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D54C2"/>
    <w:multiLevelType w:val="multilevel"/>
    <w:tmpl w:val="E1064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7C6B4D"/>
    <w:multiLevelType w:val="hybridMultilevel"/>
    <w:tmpl w:val="2708D006"/>
    <w:lvl w:ilvl="0" w:tplc="8834AA0C">
      <w:numFmt w:val="bullet"/>
      <w:lvlText w:val=""/>
      <w:lvlJc w:val="left"/>
      <w:pPr>
        <w:ind w:left="720" w:hanging="360"/>
      </w:pPr>
      <w:rPr>
        <w:rFonts w:ascii="Wingdings" w:eastAsia="Times New Roman" w:hAnsi="Wingdings" w:cstheme="minorBid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852D2"/>
    <w:multiLevelType w:val="multilevel"/>
    <w:tmpl w:val="174C2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5A2C07"/>
    <w:multiLevelType w:val="hybridMultilevel"/>
    <w:tmpl w:val="9E244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F14B3A"/>
    <w:multiLevelType w:val="hybridMultilevel"/>
    <w:tmpl w:val="75AA7B4C"/>
    <w:lvl w:ilvl="0" w:tplc="D07A555E">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6737F"/>
    <w:multiLevelType w:val="multilevel"/>
    <w:tmpl w:val="57023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20707E"/>
    <w:multiLevelType w:val="hybridMultilevel"/>
    <w:tmpl w:val="C46A9248"/>
    <w:lvl w:ilvl="0" w:tplc="0DC6D3AA">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954E2C"/>
    <w:multiLevelType w:val="hybridMultilevel"/>
    <w:tmpl w:val="835AB8D2"/>
    <w:lvl w:ilvl="0" w:tplc="48F0738E">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3906F9A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75E3852">
      <w:numFmt w:val="bullet"/>
      <w:lvlText w:val="-"/>
      <w:lvlJc w:val="left"/>
      <w:pPr>
        <w:ind w:left="3240" w:hanging="360"/>
      </w:pPr>
      <w:rPr>
        <w:rFonts w:ascii="Calibri" w:eastAsiaTheme="minorHAnsi" w:hAnsi="Calibri" w:cstheme="minorBid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D54BCC"/>
    <w:multiLevelType w:val="hybridMultilevel"/>
    <w:tmpl w:val="955A1218"/>
    <w:lvl w:ilvl="0" w:tplc="B678A0BA">
      <w:numFmt w:val="bullet"/>
      <w:lvlText w:val=""/>
      <w:lvlJc w:val="left"/>
      <w:pPr>
        <w:ind w:left="720" w:hanging="360"/>
      </w:pPr>
      <w:rPr>
        <w:rFonts w:ascii="Wingdings" w:eastAsiaTheme="maj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1038C"/>
    <w:multiLevelType w:val="hybridMultilevel"/>
    <w:tmpl w:val="B5D4344E"/>
    <w:lvl w:ilvl="0" w:tplc="F7E466F8">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A5794"/>
    <w:multiLevelType w:val="hybridMultilevel"/>
    <w:tmpl w:val="FACACA1E"/>
    <w:lvl w:ilvl="0" w:tplc="FB00DD5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A0078E"/>
    <w:multiLevelType w:val="multilevel"/>
    <w:tmpl w:val="154AF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410DE0"/>
    <w:multiLevelType w:val="multilevel"/>
    <w:tmpl w:val="FD6CB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5E4A9C"/>
    <w:multiLevelType w:val="hybridMultilevel"/>
    <w:tmpl w:val="FF086D64"/>
    <w:lvl w:ilvl="0" w:tplc="3AF0779C">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276A6"/>
    <w:multiLevelType w:val="hybridMultilevel"/>
    <w:tmpl w:val="E5D8180A"/>
    <w:lvl w:ilvl="0" w:tplc="80FE359A">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C7CFE"/>
    <w:multiLevelType w:val="multilevel"/>
    <w:tmpl w:val="FCFE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8202E"/>
    <w:multiLevelType w:val="multilevel"/>
    <w:tmpl w:val="7BE8F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BA3420"/>
    <w:multiLevelType w:val="multilevel"/>
    <w:tmpl w:val="C56EA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5B371B"/>
    <w:multiLevelType w:val="hybridMultilevel"/>
    <w:tmpl w:val="518CD550"/>
    <w:lvl w:ilvl="0" w:tplc="FDCE6C82">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01158"/>
    <w:multiLevelType w:val="multilevel"/>
    <w:tmpl w:val="203E2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21"/>
  </w:num>
  <w:num w:numId="3">
    <w:abstractNumId w:val="33"/>
  </w:num>
  <w:num w:numId="4">
    <w:abstractNumId w:val="10"/>
  </w:num>
  <w:num w:numId="5">
    <w:abstractNumId w:val="0"/>
  </w:num>
  <w:num w:numId="6">
    <w:abstractNumId w:val="23"/>
  </w:num>
  <w:num w:numId="7">
    <w:abstractNumId w:val="4"/>
  </w:num>
  <w:num w:numId="8">
    <w:abstractNumId w:val="2"/>
  </w:num>
  <w:num w:numId="9">
    <w:abstractNumId w:val="27"/>
  </w:num>
  <w:num w:numId="10">
    <w:abstractNumId w:val="1"/>
  </w:num>
  <w:num w:numId="11">
    <w:abstractNumId w:val="22"/>
  </w:num>
  <w:num w:numId="12">
    <w:abstractNumId w:val="7"/>
  </w:num>
  <w:num w:numId="13">
    <w:abstractNumId w:val="31"/>
  </w:num>
  <w:num w:numId="14">
    <w:abstractNumId w:val="28"/>
  </w:num>
  <w:num w:numId="15">
    <w:abstractNumId w:val="3"/>
  </w:num>
  <w:num w:numId="16">
    <w:abstractNumId w:val="17"/>
  </w:num>
  <w:num w:numId="17">
    <w:abstractNumId w:val="11"/>
  </w:num>
  <w:num w:numId="18">
    <w:abstractNumId w:val="14"/>
  </w:num>
  <w:num w:numId="19">
    <w:abstractNumId w:val="26"/>
  </w:num>
  <w:num w:numId="20">
    <w:abstractNumId w:val="25"/>
  </w:num>
  <w:num w:numId="21">
    <w:abstractNumId w:val="9"/>
  </w:num>
  <w:num w:numId="22">
    <w:abstractNumId w:val="13"/>
  </w:num>
  <w:num w:numId="23">
    <w:abstractNumId w:val="6"/>
  </w:num>
  <w:num w:numId="24">
    <w:abstractNumId w:val="5"/>
  </w:num>
  <w:num w:numId="25">
    <w:abstractNumId w:val="19"/>
  </w:num>
  <w:num w:numId="26">
    <w:abstractNumId w:val="15"/>
  </w:num>
  <w:num w:numId="27">
    <w:abstractNumId w:val="20"/>
  </w:num>
  <w:num w:numId="28">
    <w:abstractNumId w:val="16"/>
  </w:num>
  <w:num w:numId="29">
    <w:abstractNumId w:val="32"/>
  </w:num>
  <w:num w:numId="30">
    <w:abstractNumId w:val="18"/>
  </w:num>
  <w:num w:numId="31">
    <w:abstractNumId w:val="24"/>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9"/>
  </w:num>
  <w:num w:numId="35">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27F6"/>
    <w:rsid w:val="00002ADA"/>
    <w:rsid w:val="000033A1"/>
    <w:rsid w:val="00010242"/>
    <w:rsid w:val="0001430B"/>
    <w:rsid w:val="00023FBB"/>
    <w:rsid w:val="00030490"/>
    <w:rsid w:val="00030D7C"/>
    <w:rsid w:val="000354DB"/>
    <w:rsid w:val="000410F9"/>
    <w:rsid w:val="00042709"/>
    <w:rsid w:val="00042F15"/>
    <w:rsid w:val="00043232"/>
    <w:rsid w:val="000438EE"/>
    <w:rsid w:val="00043DCE"/>
    <w:rsid w:val="00044A9D"/>
    <w:rsid w:val="00050F8E"/>
    <w:rsid w:val="0005171B"/>
    <w:rsid w:val="00056538"/>
    <w:rsid w:val="00065A42"/>
    <w:rsid w:val="00066371"/>
    <w:rsid w:val="00075C8B"/>
    <w:rsid w:val="0007740F"/>
    <w:rsid w:val="00080DFD"/>
    <w:rsid w:val="00090E0F"/>
    <w:rsid w:val="00091DA7"/>
    <w:rsid w:val="00093B45"/>
    <w:rsid w:val="00094BB1"/>
    <w:rsid w:val="000A1A81"/>
    <w:rsid w:val="000A2929"/>
    <w:rsid w:val="000A545E"/>
    <w:rsid w:val="000B473D"/>
    <w:rsid w:val="000B6134"/>
    <w:rsid w:val="000B6930"/>
    <w:rsid w:val="000B6EFA"/>
    <w:rsid w:val="000C082F"/>
    <w:rsid w:val="000C13F1"/>
    <w:rsid w:val="000C3BE1"/>
    <w:rsid w:val="000C612C"/>
    <w:rsid w:val="000C6C9B"/>
    <w:rsid w:val="000D04F9"/>
    <w:rsid w:val="000D17B0"/>
    <w:rsid w:val="000D21A3"/>
    <w:rsid w:val="000D2D99"/>
    <w:rsid w:val="000D3770"/>
    <w:rsid w:val="000D44D9"/>
    <w:rsid w:val="000D5451"/>
    <w:rsid w:val="000D6DF8"/>
    <w:rsid w:val="000E367C"/>
    <w:rsid w:val="000E64FB"/>
    <w:rsid w:val="000F0CAD"/>
    <w:rsid w:val="000F3346"/>
    <w:rsid w:val="000F3D7F"/>
    <w:rsid w:val="000F6E56"/>
    <w:rsid w:val="000F7609"/>
    <w:rsid w:val="00100401"/>
    <w:rsid w:val="0010097A"/>
    <w:rsid w:val="00106112"/>
    <w:rsid w:val="001062E6"/>
    <w:rsid w:val="001113CD"/>
    <w:rsid w:val="0011147B"/>
    <w:rsid w:val="001170CC"/>
    <w:rsid w:val="0012264B"/>
    <w:rsid w:val="001233E4"/>
    <w:rsid w:val="00124894"/>
    <w:rsid w:val="001275B4"/>
    <w:rsid w:val="00127F5B"/>
    <w:rsid w:val="00130DFE"/>
    <w:rsid w:val="00131952"/>
    <w:rsid w:val="00132608"/>
    <w:rsid w:val="00132C2E"/>
    <w:rsid w:val="00134C06"/>
    <w:rsid w:val="00135601"/>
    <w:rsid w:val="001369B6"/>
    <w:rsid w:val="0015045A"/>
    <w:rsid w:val="00150B95"/>
    <w:rsid w:val="00152F2D"/>
    <w:rsid w:val="00155F84"/>
    <w:rsid w:val="00160333"/>
    <w:rsid w:val="00166BF8"/>
    <w:rsid w:val="001734F1"/>
    <w:rsid w:val="00177053"/>
    <w:rsid w:val="00177EA1"/>
    <w:rsid w:val="0018236C"/>
    <w:rsid w:val="00184947"/>
    <w:rsid w:val="0018541E"/>
    <w:rsid w:val="00190FF1"/>
    <w:rsid w:val="001912E7"/>
    <w:rsid w:val="001A1C46"/>
    <w:rsid w:val="001A590A"/>
    <w:rsid w:val="001A7097"/>
    <w:rsid w:val="001B38BA"/>
    <w:rsid w:val="001B4BA4"/>
    <w:rsid w:val="001B567C"/>
    <w:rsid w:val="001B795A"/>
    <w:rsid w:val="001C23AD"/>
    <w:rsid w:val="001C23D3"/>
    <w:rsid w:val="001C3094"/>
    <w:rsid w:val="001C64AD"/>
    <w:rsid w:val="001D0C00"/>
    <w:rsid w:val="001D1949"/>
    <w:rsid w:val="001D3189"/>
    <w:rsid w:val="001D6857"/>
    <w:rsid w:val="001E23FC"/>
    <w:rsid w:val="001E3AFA"/>
    <w:rsid w:val="001E7F76"/>
    <w:rsid w:val="001F14F2"/>
    <w:rsid w:val="001F23CA"/>
    <w:rsid w:val="002021D4"/>
    <w:rsid w:val="002109AB"/>
    <w:rsid w:val="00210BCD"/>
    <w:rsid w:val="002113F8"/>
    <w:rsid w:val="0021547A"/>
    <w:rsid w:val="002176B2"/>
    <w:rsid w:val="002231EC"/>
    <w:rsid w:val="00225ADF"/>
    <w:rsid w:val="00231BF5"/>
    <w:rsid w:val="00231EBB"/>
    <w:rsid w:val="00232E9D"/>
    <w:rsid w:val="002364A8"/>
    <w:rsid w:val="0023689D"/>
    <w:rsid w:val="002368E7"/>
    <w:rsid w:val="002372B3"/>
    <w:rsid w:val="002409E6"/>
    <w:rsid w:val="00241118"/>
    <w:rsid w:val="00241AA2"/>
    <w:rsid w:val="002430BD"/>
    <w:rsid w:val="00244832"/>
    <w:rsid w:val="00246789"/>
    <w:rsid w:val="00250698"/>
    <w:rsid w:val="00252AC6"/>
    <w:rsid w:val="002570D1"/>
    <w:rsid w:val="00261852"/>
    <w:rsid w:val="00262C5A"/>
    <w:rsid w:val="00264150"/>
    <w:rsid w:val="0026675C"/>
    <w:rsid w:val="00272124"/>
    <w:rsid w:val="00273A68"/>
    <w:rsid w:val="0028307C"/>
    <w:rsid w:val="0028420B"/>
    <w:rsid w:val="00285CE7"/>
    <w:rsid w:val="00285D72"/>
    <w:rsid w:val="00286C86"/>
    <w:rsid w:val="002904D6"/>
    <w:rsid w:val="002925DF"/>
    <w:rsid w:val="00296D02"/>
    <w:rsid w:val="0029768A"/>
    <w:rsid w:val="002A0D26"/>
    <w:rsid w:val="002A4D66"/>
    <w:rsid w:val="002B4284"/>
    <w:rsid w:val="002B5E9F"/>
    <w:rsid w:val="002C3C78"/>
    <w:rsid w:val="002C55CD"/>
    <w:rsid w:val="002C55F9"/>
    <w:rsid w:val="002C607C"/>
    <w:rsid w:val="002D029F"/>
    <w:rsid w:val="002D590A"/>
    <w:rsid w:val="002E5D70"/>
    <w:rsid w:val="002E678D"/>
    <w:rsid w:val="002F0065"/>
    <w:rsid w:val="002F07DE"/>
    <w:rsid w:val="00302319"/>
    <w:rsid w:val="00302804"/>
    <w:rsid w:val="00304253"/>
    <w:rsid w:val="00304CF7"/>
    <w:rsid w:val="00305353"/>
    <w:rsid w:val="00306AC3"/>
    <w:rsid w:val="0031097E"/>
    <w:rsid w:val="00326679"/>
    <w:rsid w:val="003329C1"/>
    <w:rsid w:val="00332F3B"/>
    <w:rsid w:val="0033337D"/>
    <w:rsid w:val="0033497F"/>
    <w:rsid w:val="00336F06"/>
    <w:rsid w:val="00337D08"/>
    <w:rsid w:val="0034599C"/>
    <w:rsid w:val="003460E4"/>
    <w:rsid w:val="00352A86"/>
    <w:rsid w:val="003614D5"/>
    <w:rsid w:val="003727FE"/>
    <w:rsid w:val="0037520D"/>
    <w:rsid w:val="00377898"/>
    <w:rsid w:val="003812F4"/>
    <w:rsid w:val="003876CF"/>
    <w:rsid w:val="003879F5"/>
    <w:rsid w:val="003914F6"/>
    <w:rsid w:val="00396E01"/>
    <w:rsid w:val="003A6A71"/>
    <w:rsid w:val="003B0F57"/>
    <w:rsid w:val="003B1E0E"/>
    <w:rsid w:val="003B26C2"/>
    <w:rsid w:val="003B6D56"/>
    <w:rsid w:val="003C0976"/>
    <w:rsid w:val="003C16EE"/>
    <w:rsid w:val="003C4AC2"/>
    <w:rsid w:val="003D14B7"/>
    <w:rsid w:val="003E13F4"/>
    <w:rsid w:val="003E456D"/>
    <w:rsid w:val="003F2F1D"/>
    <w:rsid w:val="003F3FE0"/>
    <w:rsid w:val="003F4EAE"/>
    <w:rsid w:val="004031FA"/>
    <w:rsid w:val="00404831"/>
    <w:rsid w:val="00406C33"/>
    <w:rsid w:val="00411A05"/>
    <w:rsid w:val="0041313F"/>
    <w:rsid w:val="004161AC"/>
    <w:rsid w:val="0042078A"/>
    <w:rsid w:val="00420B99"/>
    <w:rsid w:val="0042128C"/>
    <w:rsid w:val="004222C1"/>
    <w:rsid w:val="00431DE0"/>
    <w:rsid w:val="0043604B"/>
    <w:rsid w:val="004422CC"/>
    <w:rsid w:val="004435CF"/>
    <w:rsid w:val="00451198"/>
    <w:rsid w:val="004515A1"/>
    <w:rsid w:val="004515DC"/>
    <w:rsid w:val="00460525"/>
    <w:rsid w:val="00460E2C"/>
    <w:rsid w:val="0046325B"/>
    <w:rsid w:val="00466F88"/>
    <w:rsid w:val="004750EE"/>
    <w:rsid w:val="0048127B"/>
    <w:rsid w:val="00481CD4"/>
    <w:rsid w:val="004849F6"/>
    <w:rsid w:val="004915E6"/>
    <w:rsid w:val="0049581E"/>
    <w:rsid w:val="00496418"/>
    <w:rsid w:val="004965D3"/>
    <w:rsid w:val="004A06C8"/>
    <w:rsid w:val="004A4410"/>
    <w:rsid w:val="004A45DD"/>
    <w:rsid w:val="004B46F5"/>
    <w:rsid w:val="004C404C"/>
    <w:rsid w:val="004C5268"/>
    <w:rsid w:val="004D2B4C"/>
    <w:rsid w:val="004E1098"/>
    <w:rsid w:val="004F011F"/>
    <w:rsid w:val="0050001B"/>
    <w:rsid w:val="00500AE3"/>
    <w:rsid w:val="0050513F"/>
    <w:rsid w:val="00505254"/>
    <w:rsid w:val="005103E9"/>
    <w:rsid w:val="0051166A"/>
    <w:rsid w:val="00511CF5"/>
    <w:rsid w:val="005134EF"/>
    <w:rsid w:val="00514C0B"/>
    <w:rsid w:val="005207E0"/>
    <w:rsid w:val="0052153C"/>
    <w:rsid w:val="00522ECF"/>
    <w:rsid w:val="005310FF"/>
    <w:rsid w:val="00533BAA"/>
    <w:rsid w:val="00533D82"/>
    <w:rsid w:val="00536993"/>
    <w:rsid w:val="00537841"/>
    <w:rsid w:val="00543345"/>
    <w:rsid w:val="00543347"/>
    <w:rsid w:val="00543835"/>
    <w:rsid w:val="005501FB"/>
    <w:rsid w:val="005506E4"/>
    <w:rsid w:val="00556B66"/>
    <w:rsid w:val="005577DE"/>
    <w:rsid w:val="00562A82"/>
    <w:rsid w:val="00564D01"/>
    <w:rsid w:val="005747FE"/>
    <w:rsid w:val="00581CFC"/>
    <w:rsid w:val="00583122"/>
    <w:rsid w:val="00586025"/>
    <w:rsid w:val="00591455"/>
    <w:rsid w:val="00593179"/>
    <w:rsid w:val="0059349C"/>
    <w:rsid w:val="00596D20"/>
    <w:rsid w:val="00597E75"/>
    <w:rsid w:val="005A04A3"/>
    <w:rsid w:val="005A3EA1"/>
    <w:rsid w:val="005A678C"/>
    <w:rsid w:val="005B2B86"/>
    <w:rsid w:val="005B30D4"/>
    <w:rsid w:val="005B3C58"/>
    <w:rsid w:val="005B4283"/>
    <w:rsid w:val="005B431B"/>
    <w:rsid w:val="005B6778"/>
    <w:rsid w:val="005B7F9E"/>
    <w:rsid w:val="005C30BD"/>
    <w:rsid w:val="005C315A"/>
    <w:rsid w:val="005C6511"/>
    <w:rsid w:val="005D3FD9"/>
    <w:rsid w:val="005D6676"/>
    <w:rsid w:val="005E191B"/>
    <w:rsid w:val="005E5D40"/>
    <w:rsid w:val="005E7EA4"/>
    <w:rsid w:val="005F0387"/>
    <w:rsid w:val="005F2090"/>
    <w:rsid w:val="005F6855"/>
    <w:rsid w:val="0060248B"/>
    <w:rsid w:val="00605E95"/>
    <w:rsid w:val="00613507"/>
    <w:rsid w:val="006145DF"/>
    <w:rsid w:val="00616392"/>
    <w:rsid w:val="00617230"/>
    <w:rsid w:val="00620A5F"/>
    <w:rsid w:val="00623F91"/>
    <w:rsid w:val="00624C24"/>
    <w:rsid w:val="00624C8D"/>
    <w:rsid w:val="00626A6B"/>
    <w:rsid w:val="0063242B"/>
    <w:rsid w:val="00641D60"/>
    <w:rsid w:val="00643CE6"/>
    <w:rsid w:val="00643EDD"/>
    <w:rsid w:val="00644DAD"/>
    <w:rsid w:val="006473F0"/>
    <w:rsid w:val="00653F38"/>
    <w:rsid w:val="00653FBB"/>
    <w:rsid w:val="006558F9"/>
    <w:rsid w:val="006573BC"/>
    <w:rsid w:val="00665086"/>
    <w:rsid w:val="00665E5C"/>
    <w:rsid w:val="00667B09"/>
    <w:rsid w:val="0067094A"/>
    <w:rsid w:val="0067364B"/>
    <w:rsid w:val="006756B9"/>
    <w:rsid w:val="00675987"/>
    <w:rsid w:val="00682DAD"/>
    <w:rsid w:val="00683504"/>
    <w:rsid w:val="00691135"/>
    <w:rsid w:val="006933FF"/>
    <w:rsid w:val="006959B4"/>
    <w:rsid w:val="00696300"/>
    <w:rsid w:val="006964C8"/>
    <w:rsid w:val="006A3506"/>
    <w:rsid w:val="006A6BFD"/>
    <w:rsid w:val="006B3C27"/>
    <w:rsid w:val="006B4102"/>
    <w:rsid w:val="006B6AB5"/>
    <w:rsid w:val="006C5E3C"/>
    <w:rsid w:val="006C6E3F"/>
    <w:rsid w:val="006C7BF2"/>
    <w:rsid w:val="006D097F"/>
    <w:rsid w:val="006D17D0"/>
    <w:rsid w:val="006E1D66"/>
    <w:rsid w:val="006E2AEF"/>
    <w:rsid w:val="006E3B59"/>
    <w:rsid w:val="006E6457"/>
    <w:rsid w:val="006F04CC"/>
    <w:rsid w:val="006F325D"/>
    <w:rsid w:val="006F4A49"/>
    <w:rsid w:val="006F5414"/>
    <w:rsid w:val="00703457"/>
    <w:rsid w:val="007039EA"/>
    <w:rsid w:val="007070B6"/>
    <w:rsid w:val="00717658"/>
    <w:rsid w:val="00726D34"/>
    <w:rsid w:val="007272E2"/>
    <w:rsid w:val="00727BC0"/>
    <w:rsid w:val="00737EDC"/>
    <w:rsid w:val="00740C41"/>
    <w:rsid w:val="00743CF1"/>
    <w:rsid w:val="00745528"/>
    <w:rsid w:val="0074602D"/>
    <w:rsid w:val="007478EA"/>
    <w:rsid w:val="00750CFB"/>
    <w:rsid w:val="007534A4"/>
    <w:rsid w:val="00766C58"/>
    <w:rsid w:val="00767D57"/>
    <w:rsid w:val="0077238E"/>
    <w:rsid w:val="00775398"/>
    <w:rsid w:val="007775A1"/>
    <w:rsid w:val="00780410"/>
    <w:rsid w:val="00787C3E"/>
    <w:rsid w:val="00794B25"/>
    <w:rsid w:val="007972B9"/>
    <w:rsid w:val="007A1804"/>
    <w:rsid w:val="007B3E0C"/>
    <w:rsid w:val="007B4EBE"/>
    <w:rsid w:val="007B5B0F"/>
    <w:rsid w:val="007C26E2"/>
    <w:rsid w:val="007C2EF2"/>
    <w:rsid w:val="007C32C3"/>
    <w:rsid w:val="007D0B7F"/>
    <w:rsid w:val="007D51BF"/>
    <w:rsid w:val="007D7C46"/>
    <w:rsid w:val="007E07FB"/>
    <w:rsid w:val="007E3468"/>
    <w:rsid w:val="007E3B13"/>
    <w:rsid w:val="007F08F8"/>
    <w:rsid w:val="007F3335"/>
    <w:rsid w:val="007F5817"/>
    <w:rsid w:val="00800E57"/>
    <w:rsid w:val="008012E6"/>
    <w:rsid w:val="0080283C"/>
    <w:rsid w:val="00805223"/>
    <w:rsid w:val="008067F2"/>
    <w:rsid w:val="0080726B"/>
    <w:rsid w:val="008116ED"/>
    <w:rsid w:val="008128D7"/>
    <w:rsid w:val="00820523"/>
    <w:rsid w:val="00821473"/>
    <w:rsid w:val="008234D6"/>
    <w:rsid w:val="00823D03"/>
    <w:rsid w:val="008303FE"/>
    <w:rsid w:val="008358A2"/>
    <w:rsid w:val="00840A30"/>
    <w:rsid w:val="00841D9B"/>
    <w:rsid w:val="00846A08"/>
    <w:rsid w:val="008508DF"/>
    <w:rsid w:val="00851CE8"/>
    <w:rsid w:val="00851FBE"/>
    <w:rsid w:val="00852522"/>
    <w:rsid w:val="0085620B"/>
    <w:rsid w:val="008604D5"/>
    <w:rsid w:val="008647E1"/>
    <w:rsid w:val="008652A3"/>
    <w:rsid w:val="00865C03"/>
    <w:rsid w:val="0086730C"/>
    <w:rsid w:val="008733BD"/>
    <w:rsid w:val="00875E98"/>
    <w:rsid w:val="008839EB"/>
    <w:rsid w:val="00884159"/>
    <w:rsid w:val="008855B3"/>
    <w:rsid w:val="00886ADB"/>
    <w:rsid w:val="008956E7"/>
    <w:rsid w:val="008A58AA"/>
    <w:rsid w:val="008A73E0"/>
    <w:rsid w:val="008B58C6"/>
    <w:rsid w:val="008B6816"/>
    <w:rsid w:val="008C0CBF"/>
    <w:rsid w:val="008C25D5"/>
    <w:rsid w:val="008C3205"/>
    <w:rsid w:val="008C404D"/>
    <w:rsid w:val="008C6BBC"/>
    <w:rsid w:val="008D2346"/>
    <w:rsid w:val="008D32F0"/>
    <w:rsid w:val="008D6AAF"/>
    <w:rsid w:val="008E0CD8"/>
    <w:rsid w:val="008E131A"/>
    <w:rsid w:val="008E2DC0"/>
    <w:rsid w:val="008E5930"/>
    <w:rsid w:val="008E771E"/>
    <w:rsid w:val="008F32CD"/>
    <w:rsid w:val="008F3E11"/>
    <w:rsid w:val="008F4108"/>
    <w:rsid w:val="008F6689"/>
    <w:rsid w:val="00901095"/>
    <w:rsid w:val="009103B0"/>
    <w:rsid w:val="0091051B"/>
    <w:rsid w:val="00912E2D"/>
    <w:rsid w:val="009135E0"/>
    <w:rsid w:val="00914CAC"/>
    <w:rsid w:val="009158FC"/>
    <w:rsid w:val="00920E8C"/>
    <w:rsid w:val="0092105E"/>
    <w:rsid w:val="009213AC"/>
    <w:rsid w:val="00921EC1"/>
    <w:rsid w:val="00922139"/>
    <w:rsid w:val="00924460"/>
    <w:rsid w:val="00925C4B"/>
    <w:rsid w:val="00926969"/>
    <w:rsid w:val="00933DC4"/>
    <w:rsid w:val="009376C3"/>
    <w:rsid w:val="00943BF3"/>
    <w:rsid w:val="00944658"/>
    <w:rsid w:val="00946D0B"/>
    <w:rsid w:val="00951DA4"/>
    <w:rsid w:val="009534EA"/>
    <w:rsid w:val="009535E6"/>
    <w:rsid w:val="00954201"/>
    <w:rsid w:val="009548ED"/>
    <w:rsid w:val="00955473"/>
    <w:rsid w:val="0096323C"/>
    <w:rsid w:val="009708B9"/>
    <w:rsid w:val="00972138"/>
    <w:rsid w:val="00974B15"/>
    <w:rsid w:val="00975117"/>
    <w:rsid w:val="0097603E"/>
    <w:rsid w:val="00982849"/>
    <w:rsid w:val="00993D26"/>
    <w:rsid w:val="009B218C"/>
    <w:rsid w:val="009B7C02"/>
    <w:rsid w:val="009B7D53"/>
    <w:rsid w:val="009C1928"/>
    <w:rsid w:val="009C4947"/>
    <w:rsid w:val="009C7C2A"/>
    <w:rsid w:val="009D0A19"/>
    <w:rsid w:val="009D3C35"/>
    <w:rsid w:val="009E3787"/>
    <w:rsid w:val="009E61A8"/>
    <w:rsid w:val="009F0472"/>
    <w:rsid w:val="00A0609E"/>
    <w:rsid w:val="00A068DE"/>
    <w:rsid w:val="00A24A45"/>
    <w:rsid w:val="00A2798A"/>
    <w:rsid w:val="00A27FD5"/>
    <w:rsid w:val="00A33643"/>
    <w:rsid w:val="00A44EEB"/>
    <w:rsid w:val="00A45BC6"/>
    <w:rsid w:val="00A55060"/>
    <w:rsid w:val="00A607B4"/>
    <w:rsid w:val="00A6137B"/>
    <w:rsid w:val="00A61607"/>
    <w:rsid w:val="00A6599F"/>
    <w:rsid w:val="00A66990"/>
    <w:rsid w:val="00A66BEC"/>
    <w:rsid w:val="00A67B8E"/>
    <w:rsid w:val="00A72533"/>
    <w:rsid w:val="00A74129"/>
    <w:rsid w:val="00A77C36"/>
    <w:rsid w:val="00A77CD2"/>
    <w:rsid w:val="00A77F9D"/>
    <w:rsid w:val="00A80CEA"/>
    <w:rsid w:val="00A82379"/>
    <w:rsid w:val="00A833A1"/>
    <w:rsid w:val="00A845BC"/>
    <w:rsid w:val="00A84BCC"/>
    <w:rsid w:val="00A84BF6"/>
    <w:rsid w:val="00A85B56"/>
    <w:rsid w:val="00A85EDA"/>
    <w:rsid w:val="00A863C7"/>
    <w:rsid w:val="00A90CF4"/>
    <w:rsid w:val="00A9308A"/>
    <w:rsid w:val="00AA06D7"/>
    <w:rsid w:val="00AA2254"/>
    <w:rsid w:val="00AA3DE1"/>
    <w:rsid w:val="00AB1983"/>
    <w:rsid w:val="00AB2503"/>
    <w:rsid w:val="00AB285A"/>
    <w:rsid w:val="00AB2C35"/>
    <w:rsid w:val="00AC5D0A"/>
    <w:rsid w:val="00AD1D32"/>
    <w:rsid w:val="00AD4B51"/>
    <w:rsid w:val="00AD55CE"/>
    <w:rsid w:val="00AD7DF9"/>
    <w:rsid w:val="00AE0F8F"/>
    <w:rsid w:val="00AE1661"/>
    <w:rsid w:val="00AE1FA1"/>
    <w:rsid w:val="00AE2089"/>
    <w:rsid w:val="00B04815"/>
    <w:rsid w:val="00B11668"/>
    <w:rsid w:val="00B13F15"/>
    <w:rsid w:val="00B209EA"/>
    <w:rsid w:val="00B21C0D"/>
    <w:rsid w:val="00B24613"/>
    <w:rsid w:val="00B26A28"/>
    <w:rsid w:val="00B26E54"/>
    <w:rsid w:val="00B26FAF"/>
    <w:rsid w:val="00B30313"/>
    <w:rsid w:val="00B35EF6"/>
    <w:rsid w:val="00B412F4"/>
    <w:rsid w:val="00B4633B"/>
    <w:rsid w:val="00B51206"/>
    <w:rsid w:val="00B51CAA"/>
    <w:rsid w:val="00B52613"/>
    <w:rsid w:val="00B53D55"/>
    <w:rsid w:val="00B63087"/>
    <w:rsid w:val="00B6346F"/>
    <w:rsid w:val="00B63C7B"/>
    <w:rsid w:val="00B700A9"/>
    <w:rsid w:val="00B7014E"/>
    <w:rsid w:val="00B74327"/>
    <w:rsid w:val="00B762E5"/>
    <w:rsid w:val="00B811C1"/>
    <w:rsid w:val="00B8258D"/>
    <w:rsid w:val="00B83333"/>
    <w:rsid w:val="00B83BA2"/>
    <w:rsid w:val="00B84B62"/>
    <w:rsid w:val="00B85A04"/>
    <w:rsid w:val="00B863F2"/>
    <w:rsid w:val="00B87153"/>
    <w:rsid w:val="00B92AFE"/>
    <w:rsid w:val="00B95663"/>
    <w:rsid w:val="00B95CC9"/>
    <w:rsid w:val="00B96BCC"/>
    <w:rsid w:val="00BA1746"/>
    <w:rsid w:val="00BA2CE7"/>
    <w:rsid w:val="00BA5CF1"/>
    <w:rsid w:val="00BA6846"/>
    <w:rsid w:val="00BB2709"/>
    <w:rsid w:val="00BB774C"/>
    <w:rsid w:val="00BC3939"/>
    <w:rsid w:val="00BC3D26"/>
    <w:rsid w:val="00BD4297"/>
    <w:rsid w:val="00BD4799"/>
    <w:rsid w:val="00BD4BF4"/>
    <w:rsid w:val="00BF5D5D"/>
    <w:rsid w:val="00C00BBB"/>
    <w:rsid w:val="00C02BFD"/>
    <w:rsid w:val="00C04CED"/>
    <w:rsid w:val="00C05B2D"/>
    <w:rsid w:val="00C06076"/>
    <w:rsid w:val="00C11F7E"/>
    <w:rsid w:val="00C155BC"/>
    <w:rsid w:val="00C1765D"/>
    <w:rsid w:val="00C1770E"/>
    <w:rsid w:val="00C21699"/>
    <w:rsid w:val="00C2270A"/>
    <w:rsid w:val="00C319C8"/>
    <w:rsid w:val="00C342A4"/>
    <w:rsid w:val="00C41F73"/>
    <w:rsid w:val="00C4541E"/>
    <w:rsid w:val="00C4624F"/>
    <w:rsid w:val="00C469E7"/>
    <w:rsid w:val="00C54EA8"/>
    <w:rsid w:val="00C6224D"/>
    <w:rsid w:val="00C65C82"/>
    <w:rsid w:val="00C661B1"/>
    <w:rsid w:val="00C804FC"/>
    <w:rsid w:val="00C80863"/>
    <w:rsid w:val="00C81470"/>
    <w:rsid w:val="00C84638"/>
    <w:rsid w:val="00C909AA"/>
    <w:rsid w:val="00C93F18"/>
    <w:rsid w:val="00C978E5"/>
    <w:rsid w:val="00CC0A83"/>
    <w:rsid w:val="00CC1082"/>
    <w:rsid w:val="00CD33BB"/>
    <w:rsid w:val="00CD3ABC"/>
    <w:rsid w:val="00CE3EF0"/>
    <w:rsid w:val="00CE5676"/>
    <w:rsid w:val="00CE66DD"/>
    <w:rsid w:val="00CE7EF8"/>
    <w:rsid w:val="00CF3D0A"/>
    <w:rsid w:val="00CF45D7"/>
    <w:rsid w:val="00CF59A4"/>
    <w:rsid w:val="00CF6D3B"/>
    <w:rsid w:val="00CF79F9"/>
    <w:rsid w:val="00D05D99"/>
    <w:rsid w:val="00D133D0"/>
    <w:rsid w:val="00D13AEA"/>
    <w:rsid w:val="00D13C24"/>
    <w:rsid w:val="00D14BB5"/>
    <w:rsid w:val="00D16CCC"/>
    <w:rsid w:val="00D22424"/>
    <w:rsid w:val="00D22F5F"/>
    <w:rsid w:val="00D31C09"/>
    <w:rsid w:val="00D33D87"/>
    <w:rsid w:val="00D34A57"/>
    <w:rsid w:val="00D3622E"/>
    <w:rsid w:val="00D37BCE"/>
    <w:rsid w:val="00D46CA1"/>
    <w:rsid w:val="00D557C2"/>
    <w:rsid w:val="00D57EDF"/>
    <w:rsid w:val="00D606F3"/>
    <w:rsid w:val="00D6512D"/>
    <w:rsid w:val="00D65DD1"/>
    <w:rsid w:val="00D722BC"/>
    <w:rsid w:val="00D733BC"/>
    <w:rsid w:val="00D7768D"/>
    <w:rsid w:val="00D77A7B"/>
    <w:rsid w:val="00D811A6"/>
    <w:rsid w:val="00D84B2E"/>
    <w:rsid w:val="00D86BB7"/>
    <w:rsid w:val="00D879C6"/>
    <w:rsid w:val="00D91015"/>
    <w:rsid w:val="00D91EE3"/>
    <w:rsid w:val="00D9631B"/>
    <w:rsid w:val="00D97F67"/>
    <w:rsid w:val="00DA53CB"/>
    <w:rsid w:val="00DB4229"/>
    <w:rsid w:val="00DC1003"/>
    <w:rsid w:val="00DC6FE6"/>
    <w:rsid w:val="00DE55DD"/>
    <w:rsid w:val="00E019D7"/>
    <w:rsid w:val="00E1171A"/>
    <w:rsid w:val="00E120AA"/>
    <w:rsid w:val="00E251D6"/>
    <w:rsid w:val="00E255DC"/>
    <w:rsid w:val="00E36F3C"/>
    <w:rsid w:val="00E37220"/>
    <w:rsid w:val="00E412C8"/>
    <w:rsid w:val="00E53838"/>
    <w:rsid w:val="00E54117"/>
    <w:rsid w:val="00E54B2A"/>
    <w:rsid w:val="00E64811"/>
    <w:rsid w:val="00E70F59"/>
    <w:rsid w:val="00E72D49"/>
    <w:rsid w:val="00E737EB"/>
    <w:rsid w:val="00E7568A"/>
    <w:rsid w:val="00E8089D"/>
    <w:rsid w:val="00E83D26"/>
    <w:rsid w:val="00E85542"/>
    <w:rsid w:val="00E93735"/>
    <w:rsid w:val="00E93EE4"/>
    <w:rsid w:val="00E95E37"/>
    <w:rsid w:val="00EB07FB"/>
    <w:rsid w:val="00EB20FD"/>
    <w:rsid w:val="00ED3B87"/>
    <w:rsid w:val="00ED538C"/>
    <w:rsid w:val="00ED7CF4"/>
    <w:rsid w:val="00EE3736"/>
    <w:rsid w:val="00EE71CB"/>
    <w:rsid w:val="00EF05AC"/>
    <w:rsid w:val="00F00ACC"/>
    <w:rsid w:val="00F03BB0"/>
    <w:rsid w:val="00F0696B"/>
    <w:rsid w:val="00F07329"/>
    <w:rsid w:val="00F07572"/>
    <w:rsid w:val="00F11804"/>
    <w:rsid w:val="00F12CB7"/>
    <w:rsid w:val="00F17053"/>
    <w:rsid w:val="00F26CDB"/>
    <w:rsid w:val="00F27D83"/>
    <w:rsid w:val="00F34DAC"/>
    <w:rsid w:val="00F41386"/>
    <w:rsid w:val="00F45353"/>
    <w:rsid w:val="00F46DC8"/>
    <w:rsid w:val="00F50DB1"/>
    <w:rsid w:val="00F51314"/>
    <w:rsid w:val="00F51996"/>
    <w:rsid w:val="00F5273B"/>
    <w:rsid w:val="00F53CF1"/>
    <w:rsid w:val="00F54CF5"/>
    <w:rsid w:val="00F5719A"/>
    <w:rsid w:val="00F644D1"/>
    <w:rsid w:val="00F65D0D"/>
    <w:rsid w:val="00F71F23"/>
    <w:rsid w:val="00F72B58"/>
    <w:rsid w:val="00F76C30"/>
    <w:rsid w:val="00F778AA"/>
    <w:rsid w:val="00F813B1"/>
    <w:rsid w:val="00F818E3"/>
    <w:rsid w:val="00F831DF"/>
    <w:rsid w:val="00F84B88"/>
    <w:rsid w:val="00F87499"/>
    <w:rsid w:val="00F9219C"/>
    <w:rsid w:val="00F92851"/>
    <w:rsid w:val="00F95627"/>
    <w:rsid w:val="00F96845"/>
    <w:rsid w:val="00F97FA1"/>
    <w:rsid w:val="00FA3467"/>
    <w:rsid w:val="00FA6A7C"/>
    <w:rsid w:val="00FA7C65"/>
    <w:rsid w:val="00FB46D9"/>
    <w:rsid w:val="00FC50C4"/>
    <w:rsid w:val="00FD16CE"/>
    <w:rsid w:val="00FD5640"/>
    <w:rsid w:val="00FD657D"/>
    <w:rsid w:val="00FD7329"/>
    <w:rsid w:val="00FE0775"/>
    <w:rsid w:val="00FE4031"/>
    <w:rsid w:val="00FE4B43"/>
    <w:rsid w:val="00FF1E98"/>
    <w:rsid w:val="00FF3060"/>
    <w:rsid w:val="00FF4290"/>
    <w:rsid w:val="07AF832F"/>
    <w:rsid w:val="1420D723"/>
    <w:rsid w:val="1AF3EA18"/>
    <w:rsid w:val="3495AA0E"/>
    <w:rsid w:val="3E5C754C"/>
    <w:rsid w:val="4121AFD5"/>
    <w:rsid w:val="47AB9EE8"/>
    <w:rsid w:val="55EB9DC1"/>
    <w:rsid w:val="6B74598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221CE7"/>
  <w15:chartTrackingRefBased/>
  <w15:docId w15:val="{49937337-C71B-44F7-93A3-56D36923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qFormat/>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qFormat/>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2"/>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qFormat/>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 w:type="character" w:customStyle="1" w:styleId="TALCar">
    <w:name w:val="TAL Car"/>
    <w:basedOn w:val="DefaultParagraphFont"/>
    <w:link w:val="TAL"/>
    <w:qFormat/>
    <w:locked/>
    <w:rsid w:val="005C30BD"/>
    <w:rPr>
      <w:rFonts w:ascii="Arial" w:hAnsi="Arial" w:cs="Arial"/>
      <w:lang w:eastAsia="en-US"/>
    </w:rPr>
  </w:style>
  <w:style w:type="paragraph" w:customStyle="1" w:styleId="TAL">
    <w:name w:val="TAL"/>
    <w:basedOn w:val="Normal"/>
    <w:link w:val="TALCar"/>
    <w:qFormat/>
    <w:rsid w:val="005C30BD"/>
    <w:pPr>
      <w:keepNext/>
      <w:spacing w:after="0" w:line="240" w:lineRule="auto"/>
    </w:pPr>
    <w:rPr>
      <w:rFonts w:ascii="Arial" w:eastAsiaTheme="minorEastAsia" w:hAnsi="Arial" w:cs="Arial"/>
      <w:lang w:val="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135601"/>
    <w:rPr>
      <w:rFonts w:ascii="Times New Roman" w:hAnsi="Times New Roman" w:cs="Times New Roman"/>
      <w:sz w:val="20"/>
      <w:szCs w:val="20"/>
      <w:lang w:val="en-GB" w:eastAsia="en-US"/>
    </w:rPr>
  </w:style>
  <w:style w:type="character" w:customStyle="1" w:styleId="B1Char1">
    <w:name w:val="B1 Char1"/>
    <w:basedOn w:val="DefaultParagraphFont"/>
    <w:link w:val="B1"/>
    <w:locked/>
    <w:rsid w:val="00821473"/>
    <w:rPr>
      <w:lang w:eastAsia="zh-CN"/>
    </w:rPr>
  </w:style>
  <w:style w:type="paragraph" w:customStyle="1" w:styleId="B1">
    <w:name w:val="B1"/>
    <w:basedOn w:val="Normal"/>
    <w:link w:val="B1Char1"/>
    <w:rsid w:val="00821473"/>
    <w:pPr>
      <w:spacing w:after="120" w:line="252" w:lineRule="auto"/>
      <w:ind w:left="568" w:hanging="284"/>
      <w:jc w:val="both"/>
    </w:pPr>
    <w:rPr>
      <w:rFonts w:eastAsiaTheme="minorEastAsia"/>
      <w:lang w:val="en-US" w:eastAsia="zh-CN"/>
    </w:rPr>
  </w:style>
  <w:style w:type="paragraph" w:customStyle="1" w:styleId="paragraph">
    <w:name w:val="paragraph"/>
    <w:basedOn w:val="Normal"/>
    <w:rsid w:val="001233E4"/>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customStyle="1" w:styleId="normaltextrun">
    <w:name w:val="normaltextrun"/>
    <w:basedOn w:val="DefaultParagraphFont"/>
    <w:rsid w:val="001233E4"/>
  </w:style>
  <w:style w:type="character" w:customStyle="1" w:styleId="tabchar">
    <w:name w:val="tabchar"/>
    <w:basedOn w:val="DefaultParagraphFont"/>
    <w:rsid w:val="001233E4"/>
  </w:style>
  <w:style w:type="character" w:customStyle="1" w:styleId="eop">
    <w:name w:val="eop"/>
    <w:basedOn w:val="DefaultParagraphFont"/>
    <w:rsid w:val="001233E4"/>
  </w:style>
  <w:style w:type="character" w:customStyle="1" w:styleId="THChar">
    <w:name w:val="TH Char"/>
    <w:link w:val="TH"/>
    <w:qFormat/>
    <w:locked/>
    <w:rsid w:val="00993D26"/>
    <w:rPr>
      <w:rFonts w:ascii="Arial" w:eastAsia="Times New Roman" w:hAnsi="Arial" w:cs="Arial"/>
      <w:b/>
    </w:rPr>
  </w:style>
  <w:style w:type="paragraph" w:customStyle="1" w:styleId="TH">
    <w:name w:val="TH"/>
    <w:basedOn w:val="Normal"/>
    <w:link w:val="THChar"/>
    <w:rsid w:val="00993D26"/>
    <w:pPr>
      <w:keepNext/>
      <w:keepLines/>
      <w:overflowPunct w:val="0"/>
      <w:autoSpaceDE w:val="0"/>
      <w:autoSpaceDN w:val="0"/>
      <w:adjustRightInd w:val="0"/>
      <w:spacing w:before="60" w:after="180" w:line="240" w:lineRule="auto"/>
      <w:jc w:val="center"/>
    </w:pPr>
    <w:rPr>
      <w:rFonts w:ascii="Arial" w:eastAsia="Times New Roman" w:hAnsi="Arial" w:cs="Arial"/>
      <w:b/>
      <w:lang w:val="en-US" w:eastAsia="ko-KR"/>
    </w:rPr>
  </w:style>
  <w:style w:type="character" w:customStyle="1" w:styleId="TFChar">
    <w:name w:val="TF Char"/>
    <w:link w:val="TF"/>
    <w:qFormat/>
    <w:locked/>
    <w:rsid w:val="00993D26"/>
    <w:rPr>
      <w:rFonts w:ascii="Arial" w:eastAsia="Times New Roman" w:hAnsi="Arial" w:cs="Arial"/>
      <w:b/>
    </w:rPr>
  </w:style>
  <w:style w:type="paragraph" w:customStyle="1" w:styleId="TF">
    <w:name w:val="TF"/>
    <w:basedOn w:val="TH"/>
    <w:link w:val="TFChar"/>
    <w:rsid w:val="00993D26"/>
    <w:pPr>
      <w:keepNext w:val="0"/>
      <w:spacing w:before="0" w:after="240"/>
    </w:p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semiHidden/>
    <w:locked/>
    <w:rsid w:val="00F34DAC"/>
    <w:rPr>
      <w:b/>
      <w:bC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semiHidden/>
    <w:unhideWhenUsed/>
    <w:qFormat/>
    <w:rsid w:val="00F34DAC"/>
    <w:pPr>
      <w:spacing w:before="120" w:after="120" w:line="256" w:lineRule="auto"/>
    </w:pPr>
    <w:rPr>
      <w:rFonts w:eastAsiaTheme="minorEastAsia"/>
      <w:b/>
      <w:bC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3501">
      <w:bodyDiv w:val="1"/>
      <w:marLeft w:val="0"/>
      <w:marRight w:val="0"/>
      <w:marTop w:val="0"/>
      <w:marBottom w:val="0"/>
      <w:divBdr>
        <w:top w:val="none" w:sz="0" w:space="0" w:color="auto"/>
        <w:left w:val="none" w:sz="0" w:space="0" w:color="auto"/>
        <w:bottom w:val="none" w:sz="0" w:space="0" w:color="auto"/>
        <w:right w:val="none" w:sz="0" w:space="0" w:color="auto"/>
      </w:divBdr>
    </w:div>
    <w:div w:id="138500829">
      <w:bodyDiv w:val="1"/>
      <w:marLeft w:val="0"/>
      <w:marRight w:val="0"/>
      <w:marTop w:val="0"/>
      <w:marBottom w:val="0"/>
      <w:divBdr>
        <w:top w:val="none" w:sz="0" w:space="0" w:color="auto"/>
        <w:left w:val="none" w:sz="0" w:space="0" w:color="auto"/>
        <w:bottom w:val="none" w:sz="0" w:space="0" w:color="auto"/>
        <w:right w:val="none" w:sz="0" w:space="0" w:color="auto"/>
      </w:divBdr>
    </w:div>
    <w:div w:id="146440137">
      <w:bodyDiv w:val="1"/>
      <w:marLeft w:val="0"/>
      <w:marRight w:val="0"/>
      <w:marTop w:val="0"/>
      <w:marBottom w:val="0"/>
      <w:divBdr>
        <w:top w:val="none" w:sz="0" w:space="0" w:color="auto"/>
        <w:left w:val="none" w:sz="0" w:space="0" w:color="auto"/>
        <w:bottom w:val="none" w:sz="0" w:space="0" w:color="auto"/>
        <w:right w:val="none" w:sz="0" w:space="0" w:color="auto"/>
      </w:divBdr>
    </w:div>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247034714">
      <w:bodyDiv w:val="1"/>
      <w:marLeft w:val="0"/>
      <w:marRight w:val="0"/>
      <w:marTop w:val="0"/>
      <w:marBottom w:val="0"/>
      <w:divBdr>
        <w:top w:val="none" w:sz="0" w:space="0" w:color="auto"/>
        <w:left w:val="none" w:sz="0" w:space="0" w:color="auto"/>
        <w:bottom w:val="none" w:sz="0" w:space="0" w:color="auto"/>
        <w:right w:val="none" w:sz="0" w:space="0" w:color="auto"/>
      </w:divBdr>
      <w:divsChild>
        <w:div w:id="183331101">
          <w:marLeft w:val="0"/>
          <w:marRight w:val="0"/>
          <w:marTop w:val="0"/>
          <w:marBottom w:val="0"/>
          <w:divBdr>
            <w:top w:val="none" w:sz="0" w:space="0" w:color="auto"/>
            <w:left w:val="none" w:sz="0" w:space="0" w:color="auto"/>
            <w:bottom w:val="none" w:sz="0" w:space="0" w:color="auto"/>
            <w:right w:val="none" w:sz="0" w:space="0" w:color="auto"/>
          </w:divBdr>
        </w:div>
        <w:div w:id="313725135">
          <w:marLeft w:val="0"/>
          <w:marRight w:val="0"/>
          <w:marTop w:val="0"/>
          <w:marBottom w:val="0"/>
          <w:divBdr>
            <w:top w:val="none" w:sz="0" w:space="0" w:color="auto"/>
            <w:left w:val="none" w:sz="0" w:space="0" w:color="auto"/>
            <w:bottom w:val="none" w:sz="0" w:space="0" w:color="auto"/>
            <w:right w:val="none" w:sz="0" w:space="0" w:color="auto"/>
          </w:divBdr>
          <w:divsChild>
            <w:div w:id="988636130">
              <w:marLeft w:val="0"/>
              <w:marRight w:val="0"/>
              <w:marTop w:val="0"/>
              <w:marBottom w:val="0"/>
              <w:divBdr>
                <w:top w:val="none" w:sz="0" w:space="0" w:color="auto"/>
                <w:left w:val="none" w:sz="0" w:space="0" w:color="auto"/>
                <w:bottom w:val="none" w:sz="0" w:space="0" w:color="auto"/>
                <w:right w:val="none" w:sz="0" w:space="0" w:color="auto"/>
              </w:divBdr>
            </w:div>
            <w:div w:id="1258830644">
              <w:marLeft w:val="0"/>
              <w:marRight w:val="0"/>
              <w:marTop w:val="0"/>
              <w:marBottom w:val="0"/>
              <w:divBdr>
                <w:top w:val="none" w:sz="0" w:space="0" w:color="auto"/>
                <w:left w:val="none" w:sz="0" w:space="0" w:color="auto"/>
                <w:bottom w:val="none" w:sz="0" w:space="0" w:color="auto"/>
                <w:right w:val="none" w:sz="0" w:space="0" w:color="auto"/>
              </w:divBdr>
            </w:div>
            <w:div w:id="1412460708">
              <w:marLeft w:val="0"/>
              <w:marRight w:val="0"/>
              <w:marTop w:val="0"/>
              <w:marBottom w:val="0"/>
              <w:divBdr>
                <w:top w:val="none" w:sz="0" w:space="0" w:color="auto"/>
                <w:left w:val="none" w:sz="0" w:space="0" w:color="auto"/>
                <w:bottom w:val="none" w:sz="0" w:space="0" w:color="auto"/>
                <w:right w:val="none" w:sz="0" w:space="0" w:color="auto"/>
              </w:divBdr>
            </w:div>
            <w:div w:id="1689453114">
              <w:marLeft w:val="0"/>
              <w:marRight w:val="0"/>
              <w:marTop w:val="0"/>
              <w:marBottom w:val="0"/>
              <w:divBdr>
                <w:top w:val="none" w:sz="0" w:space="0" w:color="auto"/>
                <w:left w:val="none" w:sz="0" w:space="0" w:color="auto"/>
                <w:bottom w:val="none" w:sz="0" w:space="0" w:color="auto"/>
                <w:right w:val="none" w:sz="0" w:space="0" w:color="auto"/>
              </w:divBdr>
            </w:div>
            <w:div w:id="1706754789">
              <w:marLeft w:val="0"/>
              <w:marRight w:val="0"/>
              <w:marTop w:val="0"/>
              <w:marBottom w:val="0"/>
              <w:divBdr>
                <w:top w:val="none" w:sz="0" w:space="0" w:color="auto"/>
                <w:left w:val="none" w:sz="0" w:space="0" w:color="auto"/>
                <w:bottom w:val="none" w:sz="0" w:space="0" w:color="auto"/>
                <w:right w:val="none" w:sz="0" w:space="0" w:color="auto"/>
              </w:divBdr>
            </w:div>
          </w:divsChild>
        </w:div>
        <w:div w:id="318075570">
          <w:marLeft w:val="0"/>
          <w:marRight w:val="0"/>
          <w:marTop w:val="0"/>
          <w:marBottom w:val="0"/>
          <w:divBdr>
            <w:top w:val="none" w:sz="0" w:space="0" w:color="auto"/>
            <w:left w:val="none" w:sz="0" w:space="0" w:color="auto"/>
            <w:bottom w:val="none" w:sz="0" w:space="0" w:color="auto"/>
            <w:right w:val="none" w:sz="0" w:space="0" w:color="auto"/>
          </w:divBdr>
        </w:div>
        <w:div w:id="408382982">
          <w:marLeft w:val="0"/>
          <w:marRight w:val="0"/>
          <w:marTop w:val="0"/>
          <w:marBottom w:val="0"/>
          <w:divBdr>
            <w:top w:val="none" w:sz="0" w:space="0" w:color="auto"/>
            <w:left w:val="none" w:sz="0" w:space="0" w:color="auto"/>
            <w:bottom w:val="none" w:sz="0" w:space="0" w:color="auto"/>
            <w:right w:val="none" w:sz="0" w:space="0" w:color="auto"/>
          </w:divBdr>
        </w:div>
        <w:div w:id="415782970">
          <w:marLeft w:val="0"/>
          <w:marRight w:val="0"/>
          <w:marTop w:val="0"/>
          <w:marBottom w:val="0"/>
          <w:divBdr>
            <w:top w:val="none" w:sz="0" w:space="0" w:color="auto"/>
            <w:left w:val="none" w:sz="0" w:space="0" w:color="auto"/>
            <w:bottom w:val="none" w:sz="0" w:space="0" w:color="auto"/>
            <w:right w:val="none" w:sz="0" w:space="0" w:color="auto"/>
          </w:divBdr>
          <w:divsChild>
            <w:div w:id="478888985">
              <w:marLeft w:val="0"/>
              <w:marRight w:val="0"/>
              <w:marTop w:val="0"/>
              <w:marBottom w:val="0"/>
              <w:divBdr>
                <w:top w:val="none" w:sz="0" w:space="0" w:color="auto"/>
                <w:left w:val="none" w:sz="0" w:space="0" w:color="auto"/>
                <w:bottom w:val="none" w:sz="0" w:space="0" w:color="auto"/>
                <w:right w:val="none" w:sz="0" w:space="0" w:color="auto"/>
              </w:divBdr>
            </w:div>
            <w:div w:id="750004648">
              <w:marLeft w:val="0"/>
              <w:marRight w:val="0"/>
              <w:marTop w:val="0"/>
              <w:marBottom w:val="0"/>
              <w:divBdr>
                <w:top w:val="none" w:sz="0" w:space="0" w:color="auto"/>
                <w:left w:val="none" w:sz="0" w:space="0" w:color="auto"/>
                <w:bottom w:val="none" w:sz="0" w:space="0" w:color="auto"/>
                <w:right w:val="none" w:sz="0" w:space="0" w:color="auto"/>
              </w:divBdr>
            </w:div>
            <w:div w:id="961613638">
              <w:marLeft w:val="0"/>
              <w:marRight w:val="0"/>
              <w:marTop w:val="0"/>
              <w:marBottom w:val="0"/>
              <w:divBdr>
                <w:top w:val="none" w:sz="0" w:space="0" w:color="auto"/>
                <w:left w:val="none" w:sz="0" w:space="0" w:color="auto"/>
                <w:bottom w:val="none" w:sz="0" w:space="0" w:color="auto"/>
                <w:right w:val="none" w:sz="0" w:space="0" w:color="auto"/>
              </w:divBdr>
            </w:div>
            <w:div w:id="1537038478">
              <w:marLeft w:val="0"/>
              <w:marRight w:val="0"/>
              <w:marTop w:val="0"/>
              <w:marBottom w:val="0"/>
              <w:divBdr>
                <w:top w:val="none" w:sz="0" w:space="0" w:color="auto"/>
                <w:left w:val="none" w:sz="0" w:space="0" w:color="auto"/>
                <w:bottom w:val="none" w:sz="0" w:space="0" w:color="auto"/>
                <w:right w:val="none" w:sz="0" w:space="0" w:color="auto"/>
              </w:divBdr>
            </w:div>
          </w:divsChild>
        </w:div>
        <w:div w:id="416363800">
          <w:marLeft w:val="0"/>
          <w:marRight w:val="0"/>
          <w:marTop w:val="0"/>
          <w:marBottom w:val="0"/>
          <w:divBdr>
            <w:top w:val="none" w:sz="0" w:space="0" w:color="auto"/>
            <w:left w:val="none" w:sz="0" w:space="0" w:color="auto"/>
            <w:bottom w:val="none" w:sz="0" w:space="0" w:color="auto"/>
            <w:right w:val="none" w:sz="0" w:space="0" w:color="auto"/>
          </w:divBdr>
        </w:div>
        <w:div w:id="435296726">
          <w:marLeft w:val="0"/>
          <w:marRight w:val="0"/>
          <w:marTop w:val="0"/>
          <w:marBottom w:val="0"/>
          <w:divBdr>
            <w:top w:val="none" w:sz="0" w:space="0" w:color="auto"/>
            <w:left w:val="none" w:sz="0" w:space="0" w:color="auto"/>
            <w:bottom w:val="none" w:sz="0" w:space="0" w:color="auto"/>
            <w:right w:val="none" w:sz="0" w:space="0" w:color="auto"/>
          </w:divBdr>
          <w:divsChild>
            <w:div w:id="38477757">
              <w:marLeft w:val="0"/>
              <w:marRight w:val="0"/>
              <w:marTop w:val="0"/>
              <w:marBottom w:val="0"/>
              <w:divBdr>
                <w:top w:val="none" w:sz="0" w:space="0" w:color="auto"/>
                <w:left w:val="none" w:sz="0" w:space="0" w:color="auto"/>
                <w:bottom w:val="none" w:sz="0" w:space="0" w:color="auto"/>
                <w:right w:val="none" w:sz="0" w:space="0" w:color="auto"/>
              </w:divBdr>
            </w:div>
            <w:div w:id="1254632729">
              <w:marLeft w:val="0"/>
              <w:marRight w:val="0"/>
              <w:marTop w:val="0"/>
              <w:marBottom w:val="0"/>
              <w:divBdr>
                <w:top w:val="none" w:sz="0" w:space="0" w:color="auto"/>
                <w:left w:val="none" w:sz="0" w:space="0" w:color="auto"/>
                <w:bottom w:val="none" w:sz="0" w:space="0" w:color="auto"/>
                <w:right w:val="none" w:sz="0" w:space="0" w:color="auto"/>
              </w:divBdr>
            </w:div>
            <w:div w:id="1937712480">
              <w:marLeft w:val="0"/>
              <w:marRight w:val="0"/>
              <w:marTop w:val="0"/>
              <w:marBottom w:val="0"/>
              <w:divBdr>
                <w:top w:val="none" w:sz="0" w:space="0" w:color="auto"/>
                <w:left w:val="none" w:sz="0" w:space="0" w:color="auto"/>
                <w:bottom w:val="none" w:sz="0" w:space="0" w:color="auto"/>
                <w:right w:val="none" w:sz="0" w:space="0" w:color="auto"/>
              </w:divBdr>
            </w:div>
          </w:divsChild>
        </w:div>
        <w:div w:id="676886261">
          <w:marLeft w:val="0"/>
          <w:marRight w:val="0"/>
          <w:marTop w:val="0"/>
          <w:marBottom w:val="0"/>
          <w:divBdr>
            <w:top w:val="none" w:sz="0" w:space="0" w:color="auto"/>
            <w:left w:val="none" w:sz="0" w:space="0" w:color="auto"/>
            <w:bottom w:val="none" w:sz="0" w:space="0" w:color="auto"/>
            <w:right w:val="none" w:sz="0" w:space="0" w:color="auto"/>
          </w:divBdr>
        </w:div>
        <w:div w:id="678965264">
          <w:marLeft w:val="0"/>
          <w:marRight w:val="0"/>
          <w:marTop w:val="0"/>
          <w:marBottom w:val="0"/>
          <w:divBdr>
            <w:top w:val="none" w:sz="0" w:space="0" w:color="auto"/>
            <w:left w:val="none" w:sz="0" w:space="0" w:color="auto"/>
            <w:bottom w:val="none" w:sz="0" w:space="0" w:color="auto"/>
            <w:right w:val="none" w:sz="0" w:space="0" w:color="auto"/>
          </w:divBdr>
          <w:divsChild>
            <w:div w:id="924533786">
              <w:marLeft w:val="0"/>
              <w:marRight w:val="0"/>
              <w:marTop w:val="0"/>
              <w:marBottom w:val="0"/>
              <w:divBdr>
                <w:top w:val="none" w:sz="0" w:space="0" w:color="auto"/>
                <w:left w:val="none" w:sz="0" w:space="0" w:color="auto"/>
                <w:bottom w:val="none" w:sz="0" w:space="0" w:color="auto"/>
                <w:right w:val="none" w:sz="0" w:space="0" w:color="auto"/>
              </w:divBdr>
            </w:div>
            <w:div w:id="1296176346">
              <w:marLeft w:val="0"/>
              <w:marRight w:val="0"/>
              <w:marTop w:val="0"/>
              <w:marBottom w:val="0"/>
              <w:divBdr>
                <w:top w:val="none" w:sz="0" w:space="0" w:color="auto"/>
                <w:left w:val="none" w:sz="0" w:space="0" w:color="auto"/>
                <w:bottom w:val="none" w:sz="0" w:space="0" w:color="auto"/>
                <w:right w:val="none" w:sz="0" w:space="0" w:color="auto"/>
              </w:divBdr>
            </w:div>
            <w:div w:id="1334868779">
              <w:marLeft w:val="0"/>
              <w:marRight w:val="0"/>
              <w:marTop w:val="0"/>
              <w:marBottom w:val="0"/>
              <w:divBdr>
                <w:top w:val="none" w:sz="0" w:space="0" w:color="auto"/>
                <w:left w:val="none" w:sz="0" w:space="0" w:color="auto"/>
                <w:bottom w:val="none" w:sz="0" w:space="0" w:color="auto"/>
                <w:right w:val="none" w:sz="0" w:space="0" w:color="auto"/>
              </w:divBdr>
            </w:div>
            <w:div w:id="2004434563">
              <w:marLeft w:val="0"/>
              <w:marRight w:val="0"/>
              <w:marTop w:val="0"/>
              <w:marBottom w:val="0"/>
              <w:divBdr>
                <w:top w:val="none" w:sz="0" w:space="0" w:color="auto"/>
                <w:left w:val="none" w:sz="0" w:space="0" w:color="auto"/>
                <w:bottom w:val="none" w:sz="0" w:space="0" w:color="auto"/>
                <w:right w:val="none" w:sz="0" w:space="0" w:color="auto"/>
              </w:divBdr>
            </w:div>
          </w:divsChild>
        </w:div>
        <w:div w:id="686978275">
          <w:marLeft w:val="0"/>
          <w:marRight w:val="0"/>
          <w:marTop w:val="0"/>
          <w:marBottom w:val="0"/>
          <w:divBdr>
            <w:top w:val="none" w:sz="0" w:space="0" w:color="auto"/>
            <w:left w:val="none" w:sz="0" w:space="0" w:color="auto"/>
            <w:bottom w:val="none" w:sz="0" w:space="0" w:color="auto"/>
            <w:right w:val="none" w:sz="0" w:space="0" w:color="auto"/>
          </w:divBdr>
          <w:divsChild>
            <w:div w:id="64377599">
              <w:marLeft w:val="0"/>
              <w:marRight w:val="0"/>
              <w:marTop w:val="0"/>
              <w:marBottom w:val="0"/>
              <w:divBdr>
                <w:top w:val="none" w:sz="0" w:space="0" w:color="auto"/>
                <w:left w:val="none" w:sz="0" w:space="0" w:color="auto"/>
                <w:bottom w:val="none" w:sz="0" w:space="0" w:color="auto"/>
                <w:right w:val="none" w:sz="0" w:space="0" w:color="auto"/>
              </w:divBdr>
            </w:div>
            <w:div w:id="350182431">
              <w:marLeft w:val="0"/>
              <w:marRight w:val="0"/>
              <w:marTop w:val="0"/>
              <w:marBottom w:val="0"/>
              <w:divBdr>
                <w:top w:val="none" w:sz="0" w:space="0" w:color="auto"/>
                <w:left w:val="none" w:sz="0" w:space="0" w:color="auto"/>
                <w:bottom w:val="none" w:sz="0" w:space="0" w:color="auto"/>
                <w:right w:val="none" w:sz="0" w:space="0" w:color="auto"/>
              </w:divBdr>
            </w:div>
            <w:div w:id="1832134215">
              <w:marLeft w:val="0"/>
              <w:marRight w:val="0"/>
              <w:marTop w:val="0"/>
              <w:marBottom w:val="0"/>
              <w:divBdr>
                <w:top w:val="none" w:sz="0" w:space="0" w:color="auto"/>
                <w:left w:val="none" w:sz="0" w:space="0" w:color="auto"/>
                <w:bottom w:val="none" w:sz="0" w:space="0" w:color="auto"/>
                <w:right w:val="none" w:sz="0" w:space="0" w:color="auto"/>
              </w:divBdr>
            </w:div>
            <w:div w:id="2060936309">
              <w:marLeft w:val="0"/>
              <w:marRight w:val="0"/>
              <w:marTop w:val="0"/>
              <w:marBottom w:val="0"/>
              <w:divBdr>
                <w:top w:val="none" w:sz="0" w:space="0" w:color="auto"/>
                <w:left w:val="none" w:sz="0" w:space="0" w:color="auto"/>
                <w:bottom w:val="none" w:sz="0" w:space="0" w:color="auto"/>
                <w:right w:val="none" w:sz="0" w:space="0" w:color="auto"/>
              </w:divBdr>
            </w:div>
          </w:divsChild>
        </w:div>
        <w:div w:id="697699447">
          <w:marLeft w:val="0"/>
          <w:marRight w:val="0"/>
          <w:marTop w:val="0"/>
          <w:marBottom w:val="0"/>
          <w:divBdr>
            <w:top w:val="none" w:sz="0" w:space="0" w:color="auto"/>
            <w:left w:val="none" w:sz="0" w:space="0" w:color="auto"/>
            <w:bottom w:val="none" w:sz="0" w:space="0" w:color="auto"/>
            <w:right w:val="none" w:sz="0" w:space="0" w:color="auto"/>
          </w:divBdr>
          <w:divsChild>
            <w:div w:id="297683221">
              <w:marLeft w:val="0"/>
              <w:marRight w:val="0"/>
              <w:marTop w:val="0"/>
              <w:marBottom w:val="0"/>
              <w:divBdr>
                <w:top w:val="none" w:sz="0" w:space="0" w:color="auto"/>
                <w:left w:val="none" w:sz="0" w:space="0" w:color="auto"/>
                <w:bottom w:val="none" w:sz="0" w:space="0" w:color="auto"/>
                <w:right w:val="none" w:sz="0" w:space="0" w:color="auto"/>
              </w:divBdr>
            </w:div>
            <w:div w:id="1339578445">
              <w:marLeft w:val="0"/>
              <w:marRight w:val="0"/>
              <w:marTop w:val="0"/>
              <w:marBottom w:val="0"/>
              <w:divBdr>
                <w:top w:val="none" w:sz="0" w:space="0" w:color="auto"/>
                <w:left w:val="none" w:sz="0" w:space="0" w:color="auto"/>
                <w:bottom w:val="none" w:sz="0" w:space="0" w:color="auto"/>
                <w:right w:val="none" w:sz="0" w:space="0" w:color="auto"/>
              </w:divBdr>
            </w:div>
            <w:div w:id="1476217617">
              <w:marLeft w:val="0"/>
              <w:marRight w:val="0"/>
              <w:marTop w:val="0"/>
              <w:marBottom w:val="0"/>
              <w:divBdr>
                <w:top w:val="none" w:sz="0" w:space="0" w:color="auto"/>
                <w:left w:val="none" w:sz="0" w:space="0" w:color="auto"/>
                <w:bottom w:val="none" w:sz="0" w:space="0" w:color="auto"/>
                <w:right w:val="none" w:sz="0" w:space="0" w:color="auto"/>
              </w:divBdr>
            </w:div>
            <w:div w:id="1511333833">
              <w:marLeft w:val="0"/>
              <w:marRight w:val="0"/>
              <w:marTop w:val="0"/>
              <w:marBottom w:val="0"/>
              <w:divBdr>
                <w:top w:val="none" w:sz="0" w:space="0" w:color="auto"/>
                <w:left w:val="none" w:sz="0" w:space="0" w:color="auto"/>
                <w:bottom w:val="none" w:sz="0" w:space="0" w:color="auto"/>
                <w:right w:val="none" w:sz="0" w:space="0" w:color="auto"/>
              </w:divBdr>
            </w:div>
            <w:div w:id="1863787001">
              <w:marLeft w:val="0"/>
              <w:marRight w:val="0"/>
              <w:marTop w:val="0"/>
              <w:marBottom w:val="0"/>
              <w:divBdr>
                <w:top w:val="none" w:sz="0" w:space="0" w:color="auto"/>
                <w:left w:val="none" w:sz="0" w:space="0" w:color="auto"/>
                <w:bottom w:val="none" w:sz="0" w:space="0" w:color="auto"/>
                <w:right w:val="none" w:sz="0" w:space="0" w:color="auto"/>
              </w:divBdr>
            </w:div>
          </w:divsChild>
        </w:div>
        <w:div w:id="773016337">
          <w:marLeft w:val="0"/>
          <w:marRight w:val="0"/>
          <w:marTop w:val="0"/>
          <w:marBottom w:val="0"/>
          <w:divBdr>
            <w:top w:val="none" w:sz="0" w:space="0" w:color="auto"/>
            <w:left w:val="none" w:sz="0" w:space="0" w:color="auto"/>
            <w:bottom w:val="none" w:sz="0" w:space="0" w:color="auto"/>
            <w:right w:val="none" w:sz="0" w:space="0" w:color="auto"/>
          </w:divBdr>
          <w:divsChild>
            <w:div w:id="953560735">
              <w:marLeft w:val="0"/>
              <w:marRight w:val="0"/>
              <w:marTop w:val="0"/>
              <w:marBottom w:val="0"/>
              <w:divBdr>
                <w:top w:val="none" w:sz="0" w:space="0" w:color="auto"/>
                <w:left w:val="none" w:sz="0" w:space="0" w:color="auto"/>
                <w:bottom w:val="none" w:sz="0" w:space="0" w:color="auto"/>
                <w:right w:val="none" w:sz="0" w:space="0" w:color="auto"/>
              </w:divBdr>
            </w:div>
            <w:div w:id="973825801">
              <w:marLeft w:val="0"/>
              <w:marRight w:val="0"/>
              <w:marTop w:val="0"/>
              <w:marBottom w:val="0"/>
              <w:divBdr>
                <w:top w:val="none" w:sz="0" w:space="0" w:color="auto"/>
                <w:left w:val="none" w:sz="0" w:space="0" w:color="auto"/>
                <w:bottom w:val="none" w:sz="0" w:space="0" w:color="auto"/>
                <w:right w:val="none" w:sz="0" w:space="0" w:color="auto"/>
              </w:divBdr>
            </w:div>
            <w:div w:id="1880702196">
              <w:marLeft w:val="0"/>
              <w:marRight w:val="0"/>
              <w:marTop w:val="0"/>
              <w:marBottom w:val="0"/>
              <w:divBdr>
                <w:top w:val="none" w:sz="0" w:space="0" w:color="auto"/>
                <w:left w:val="none" w:sz="0" w:space="0" w:color="auto"/>
                <w:bottom w:val="none" w:sz="0" w:space="0" w:color="auto"/>
                <w:right w:val="none" w:sz="0" w:space="0" w:color="auto"/>
              </w:divBdr>
            </w:div>
            <w:div w:id="1976372743">
              <w:marLeft w:val="0"/>
              <w:marRight w:val="0"/>
              <w:marTop w:val="0"/>
              <w:marBottom w:val="0"/>
              <w:divBdr>
                <w:top w:val="none" w:sz="0" w:space="0" w:color="auto"/>
                <w:left w:val="none" w:sz="0" w:space="0" w:color="auto"/>
                <w:bottom w:val="none" w:sz="0" w:space="0" w:color="auto"/>
                <w:right w:val="none" w:sz="0" w:space="0" w:color="auto"/>
              </w:divBdr>
            </w:div>
            <w:div w:id="2013140155">
              <w:marLeft w:val="0"/>
              <w:marRight w:val="0"/>
              <w:marTop w:val="0"/>
              <w:marBottom w:val="0"/>
              <w:divBdr>
                <w:top w:val="none" w:sz="0" w:space="0" w:color="auto"/>
                <w:left w:val="none" w:sz="0" w:space="0" w:color="auto"/>
                <w:bottom w:val="none" w:sz="0" w:space="0" w:color="auto"/>
                <w:right w:val="none" w:sz="0" w:space="0" w:color="auto"/>
              </w:divBdr>
            </w:div>
          </w:divsChild>
        </w:div>
        <w:div w:id="785272797">
          <w:marLeft w:val="0"/>
          <w:marRight w:val="0"/>
          <w:marTop w:val="0"/>
          <w:marBottom w:val="0"/>
          <w:divBdr>
            <w:top w:val="none" w:sz="0" w:space="0" w:color="auto"/>
            <w:left w:val="none" w:sz="0" w:space="0" w:color="auto"/>
            <w:bottom w:val="none" w:sz="0" w:space="0" w:color="auto"/>
            <w:right w:val="none" w:sz="0" w:space="0" w:color="auto"/>
          </w:divBdr>
          <w:divsChild>
            <w:div w:id="817377161">
              <w:marLeft w:val="0"/>
              <w:marRight w:val="0"/>
              <w:marTop w:val="0"/>
              <w:marBottom w:val="0"/>
              <w:divBdr>
                <w:top w:val="none" w:sz="0" w:space="0" w:color="auto"/>
                <w:left w:val="none" w:sz="0" w:space="0" w:color="auto"/>
                <w:bottom w:val="none" w:sz="0" w:space="0" w:color="auto"/>
                <w:right w:val="none" w:sz="0" w:space="0" w:color="auto"/>
              </w:divBdr>
            </w:div>
            <w:div w:id="965963625">
              <w:marLeft w:val="0"/>
              <w:marRight w:val="0"/>
              <w:marTop w:val="0"/>
              <w:marBottom w:val="0"/>
              <w:divBdr>
                <w:top w:val="none" w:sz="0" w:space="0" w:color="auto"/>
                <w:left w:val="none" w:sz="0" w:space="0" w:color="auto"/>
                <w:bottom w:val="none" w:sz="0" w:space="0" w:color="auto"/>
                <w:right w:val="none" w:sz="0" w:space="0" w:color="auto"/>
              </w:divBdr>
            </w:div>
            <w:div w:id="1150102192">
              <w:marLeft w:val="0"/>
              <w:marRight w:val="0"/>
              <w:marTop w:val="0"/>
              <w:marBottom w:val="0"/>
              <w:divBdr>
                <w:top w:val="none" w:sz="0" w:space="0" w:color="auto"/>
                <w:left w:val="none" w:sz="0" w:space="0" w:color="auto"/>
                <w:bottom w:val="none" w:sz="0" w:space="0" w:color="auto"/>
                <w:right w:val="none" w:sz="0" w:space="0" w:color="auto"/>
              </w:divBdr>
            </w:div>
            <w:div w:id="1680349092">
              <w:marLeft w:val="0"/>
              <w:marRight w:val="0"/>
              <w:marTop w:val="0"/>
              <w:marBottom w:val="0"/>
              <w:divBdr>
                <w:top w:val="none" w:sz="0" w:space="0" w:color="auto"/>
                <w:left w:val="none" w:sz="0" w:space="0" w:color="auto"/>
                <w:bottom w:val="none" w:sz="0" w:space="0" w:color="auto"/>
                <w:right w:val="none" w:sz="0" w:space="0" w:color="auto"/>
              </w:divBdr>
            </w:div>
            <w:div w:id="1715422798">
              <w:marLeft w:val="0"/>
              <w:marRight w:val="0"/>
              <w:marTop w:val="0"/>
              <w:marBottom w:val="0"/>
              <w:divBdr>
                <w:top w:val="none" w:sz="0" w:space="0" w:color="auto"/>
                <w:left w:val="none" w:sz="0" w:space="0" w:color="auto"/>
                <w:bottom w:val="none" w:sz="0" w:space="0" w:color="auto"/>
                <w:right w:val="none" w:sz="0" w:space="0" w:color="auto"/>
              </w:divBdr>
            </w:div>
          </w:divsChild>
        </w:div>
        <w:div w:id="847596610">
          <w:marLeft w:val="0"/>
          <w:marRight w:val="0"/>
          <w:marTop w:val="0"/>
          <w:marBottom w:val="0"/>
          <w:divBdr>
            <w:top w:val="none" w:sz="0" w:space="0" w:color="auto"/>
            <w:left w:val="none" w:sz="0" w:space="0" w:color="auto"/>
            <w:bottom w:val="none" w:sz="0" w:space="0" w:color="auto"/>
            <w:right w:val="none" w:sz="0" w:space="0" w:color="auto"/>
          </w:divBdr>
        </w:div>
        <w:div w:id="885141402">
          <w:marLeft w:val="0"/>
          <w:marRight w:val="0"/>
          <w:marTop w:val="0"/>
          <w:marBottom w:val="0"/>
          <w:divBdr>
            <w:top w:val="none" w:sz="0" w:space="0" w:color="auto"/>
            <w:left w:val="none" w:sz="0" w:space="0" w:color="auto"/>
            <w:bottom w:val="none" w:sz="0" w:space="0" w:color="auto"/>
            <w:right w:val="none" w:sz="0" w:space="0" w:color="auto"/>
          </w:divBdr>
          <w:divsChild>
            <w:div w:id="1134760229">
              <w:marLeft w:val="0"/>
              <w:marRight w:val="0"/>
              <w:marTop w:val="0"/>
              <w:marBottom w:val="0"/>
              <w:divBdr>
                <w:top w:val="none" w:sz="0" w:space="0" w:color="auto"/>
                <w:left w:val="none" w:sz="0" w:space="0" w:color="auto"/>
                <w:bottom w:val="none" w:sz="0" w:space="0" w:color="auto"/>
                <w:right w:val="none" w:sz="0" w:space="0" w:color="auto"/>
              </w:divBdr>
            </w:div>
            <w:div w:id="1209534203">
              <w:marLeft w:val="0"/>
              <w:marRight w:val="0"/>
              <w:marTop w:val="0"/>
              <w:marBottom w:val="0"/>
              <w:divBdr>
                <w:top w:val="none" w:sz="0" w:space="0" w:color="auto"/>
                <w:left w:val="none" w:sz="0" w:space="0" w:color="auto"/>
                <w:bottom w:val="none" w:sz="0" w:space="0" w:color="auto"/>
                <w:right w:val="none" w:sz="0" w:space="0" w:color="auto"/>
              </w:divBdr>
            </w:div>
            <w:div w:id="1272779783">
              <w:marLeft w:val="0"/>
              <w:marRight w:val="0"/>
              <w:marTop w:val="0"/>
              <w:marBottom w:val="0"/>
              <w:divBdr>
                <w:top w:val="none" w:sz="0" w:space="0" w:color="auto"/>
                <w:left w:val="none" w:sz="0" w:space="0" w:color="auto"/>
                <w:bottom w:val="none" w:sz="0" w:space="0" w:color="auto"/>
                <w:right w:val="none" w:sz="0" w:space="0" w:color="auto"/>
              </w:divBdr>
            </w:div>
            <w:div w:id="1487286840">
              <w:marLeft w:val="0"/>
              <w:marRight w:val="0"/>
              <w:marTop w:val="0"/>
              <w:marBottom w:val="0"/>
              <w:divBdr>
                <w:top w:val="none" w:sz="0" w:space="0" w:color="auto"/>
                <w:left w:val="none" w:sz="0" w:space="0" w:color="auto"/>
                <w:bottom w:val="none" w:sz="0" w:space="0" w:color="auto"/>
                <w:right w:val="none" w:sz="0" w:space="0" w:color="auto"/>
              </w:divBdr>
            </w:div>
          </w:divsChild>
        </w:div>
        <w:div w:id="889607319">
          <w:marLeft w:val="0"/>
          <w:marRight w:val="0"/>
          <w:marTop w:val="0"/>
          <w:marBottom w:val="0"/>
          <w:divBdr>
            <w:top w:val="none" w:sz="0" w:space="0" w:color="auto"/>
            <w:left w:val="none" w:sz="0" w:space="0" w:color="auto"/>
            <w:bottom w:val="none" w:sz="0" w:space="0" w:color="auto"/>
            <w:right w:val="none" w:sz="0" w:space="0" w:color="auto"/>
          </w:divBdr>
        </w:div>
        <w:div w:id="901676503">
          <w:marLeft w:val="0"/>
          <w:marRight w:val="0"/>
          <w:marTop w:val="0"/>
          <w:marBottom w:val="0"/>
          <w:divBdr>
            <w:top w:val="none" w:sz="0" w:space="0" w:color="auto"/>
            <w:left w:val="none" w:sz="0" w:space="0" w:color="auto"/>
            <w:bottom w:val="none" w:sz="0" w:space="0" w:color="auto"/>
            <w:right w:val="none" w:sz="0" w:space="0" w:color="auto"/>
          </w:divBdr>
        </w:div>
        <w:div w:id="902838675">
          <w:marLeft w:val="0"/>
          <w:marRight w:val="0"/>
          <w:marTop w:val="0"/>
          <w:marBottom w:val="0"/>
          <w:divBdr>
            <w:top w:val="none" w:sz="0" w:space="0" w:color="auto"/>
            <w:left w:val="none" w:sz="0" w:space="0" w:color="auto"/>
            <w:bottom w:val="none" w:sz="0" w:space="0" w:color="auto"/>
            <w:right w:val="none" w:sz="0" w:space="0" w:color="auto"/>
          </w:divBdr>
        </w:div>
        <w:div w:id="912199591">
          <w:marLeft w:val="0"/>
          <w:marRight w:val="0"/>
          <w:marTop w:val="0"/>
          <w:marBottom w:val="0"/>
          <w:divBdr>
            <w:top w:val="none" w:sz="0" w:space="0" w:color="auto"/>
            <w:left w:val="none" w:sz="0" w:space="0" w:color="auto"/>
            <w:bottom w:val="none" w:sz="0" w:space="0" w:color="auto"/>
            <w:right w:val="none" w:sz="0" w:space="0" w:color="auto"/>
          </w:divBdr>
        </w:div>
        <w:div w:id="917178423">
          <w:marLeft w:val="0"/>
          <w:marRight w:val="0"/>
          <w:marTop w:val="0"/>
          <w:marBottom w:val="0"/>
          <w:divBdr>
            <w:top w:val="none" w:sz="0" w:space="0" w:color="auto"/>
            <w:left w:val="none" w:sz="0" w:space="0" w:color="auto"/>
            <w:bottom w:val="none" w:sz="0" w:space="0" w:color="auto"/>
            <w:right w:val="none" w:sz="0" w:space="0" w:color="auto"/>
          </w:divBdr>
        </w:div>
        <w:div w:id="954991159">
          <w:marLeft w:val="0"/>
          <w:marRight w:val="0"/>
          <w:marTop w:val="0"/>
          <w:marBottom w:val="0"/>
          <w:divBdr>
            <w:top w:val="none" w:sz="0" w:space="0" w:color="auto"/>
            <w:left w:val="none" w:sz="0" w:space="0" w:color="auto"/>
            <w:bottom w:val="none" w:sz="0" w:space="0" w:color="auto"/>
            <w:right w:val="none" w:sz="0" w:space="0" w:color="auto"/>
          </w:divBdr>
          <w:divsChild>
            <w:div w:id="166361494">
              <w:marLeft w:val="0"/>
              <w:marRight w:val="0"/>
              <w:marTop w:val="0"/>
              <w:marBottom w:val="0"/>
              <w:divBdr>
                <w:top w:val="none" w:sz="0" w:space="0" w:color="auto"/>
                <w:left w:val="none" w:sz="0" w:space="0" w:color="auto"/>
                <w:bottom w:val="none" w:sz="0" w:space="0" w:color="auto"/>
                <w:right w:val="none" w:sz="0" w:space="0" w:color="auto"/>
              </w:divBdr>
            </w:div>
            <w:div w:id="203830541">
              <w:marLeft w:val="0"/>
              <w:marRight w:val="0"/>
              <w:marTop w:val="0"/>
              <w:marBottom w:val="0"/>
              <w:divBdr>
                <w:top w:val="none" w:sz="0" w:space="0" w:color="auto"/>
                <w:left w:val="none" w:sz="0" w:space="0" w:color="auto"/>
                <w:bottom w:val="none" w:sz="0" w:space="0" w:color="auto"/>
                <w:right w:val="none" w:sz="0" w:space="0" w:color="auto"/>
              </w:divBdr>
            </w:div>
          </w:divsChild>
        </w:div>
        <w:div w:id="996883513">
          <w:marLeft w:val="0"/>
          <w:marRight w:val="0"/>
          <w:marTop w:val="0"/>
          <w:marBottom w:val="0"/>
          <w:divBdr>
            <w:top w:val="none" w:sz="0" w:space="0" w:color="auto"/>
            <w:left w:val="none" w:sz="0" w:space="0" w:color="auto"/>
            <w:bottom w:val="none" w:sz="0" w:space="0" w:color="auto"/>
            <w:right w:val="none" w:sz="0" w:space="0" w:color="auto"/>
          </w:divBdr>
          <w:divsChild>
            <w:div w:id="65230655">
              <w:marLeft w:val="0"/>
              <w:marRight w:val="0"/>
              <w:marTop w:val="0"/>
              <w:marBottom w:val="0"/>
              <w:divBdr>
                <w:top w:val="none" w:sz="0" w:space="0" w:color="auto"/>
                <w:left w:val="none" w:sz="0" w:space="0" w:color="auto"/>
                <w:bottom w:val="none" w:sz="0" w:space="0" w:color="auto"/>
                <w:right w:val="none" w:sz="0" w:space="0" w:color="auto"/>
              </w:divBdr>
            </w:div>
            <w:div w:id="202836432">
              <w:marLeft w:val="0"/>
              <w:marRight w:val="0"/>
              <w:marTop w:val="0"/>
              <w:marBottom w:val="0"/>
              <w:divBdr>
                <w:top w:val="none" w:sz="0" w:space="0" w:color="auto"/>
                <w:left w:val="none" w:sz="0" w:space="0" w:color="auto"/>
                <w:bottom w:val="none" w:sz="0" w:space="0" w:color="auto"/>
                <w:right w:val="none" w:sz="0" w:space="0" w:color="auto"/>
              </w:divBdr>
            </w:div>
            <w:div w:id="699747456">
              <w:marLeft w:val="0"/>
              <w:marRight w:val="0"/>
              <w:marTop w:val="0"/>
              <w:marBottom w:val="0"/>
              <w:divBdr>
                <w:top w:val="none" w:sz="0" w:space="0" w:color="auto"/>
                <w:left w:val="none" w:sz="0" w:space="0" w:color="auto"/>
                <w:bottom w:val="none" w:sz="0" w:space="0" w:color="auto"/>
                <w:right w:val="none" w:sz="0" w:space="0" w:color="auto"/>
              </w:divBdr>
            </w:div>
            <w:div w:id="1455706805">
              <w:marLeft w:val="0"/>
              <w:marRight w:val="0"/>
              <w:marTop w:val="0"/>
              <w:marBottom w:val="0"/>
              <w:divBdr>
                <w:top w:val="none" w:sz="0" w:space="0" w:color="auto"/>
                <w:left w:val="none" w:sz="0" w:space="0" w:color="auto"/>
                <w:bottom w:val="none" w:sz="0" w:space="0" w:color="auto"/>
                <w:right w:val="none" w:sz="0" w:space="0" w:color="auto"/>
              </w:divBdr>
            </w:div>
          </w:divsChild>
        </w:div>
        <w:div w:id="1031565354">
          <w:marLeft w:val="0"/>
          <w:marRight w:val="0"/>
          <w:marTop w:val="0"/>
          <w:marBottom w:val="0"/>
          <w:divBdr>
            <w:top w:val="none" w:sz="0" w:space="0" w:color="auto"/>
            <w:left w:val="none" w:sz="0" w:space="0" w:color="auto"/>
            <w:bottom w:val="none" w:sz="0" w:space="0" w:color="auto"/>
            <w:right w:val="none" w:sz="0" w:space="0" w:color="auto"/>
          </w:divBdr>
        </w:div>
        <w:div w:id="1039428475">
          <w:marLeft w:val="0"/>
          <w:marRight w:val="0"/>
          <w:marTop w:val="0"/>
          <w:marBottom w:val="0"/>
          <w:divBdr>
            <w:top w:val="none" w:sz="0" w:space="0" w:color="auto"/>
            <w:left w:val="none" w:sz="0" w:space="0" w:color="auto"/>
            <w:bottom w:val="none" w:sz="0" w:space="0" w:color="auto"/>
            <w:right w:val="none" w:sz="0" w:space="0" w:color="auto"/>
          </w:divBdr>
          <w:divsChild>
            <w:div w:id="488592071">
              <w:marLeft w:val="0"/>
              <w:marRight w:val="0"/>
              <w:marTop w:val="0"/>
              <w:marBottom w:val="0"/>
              <w:divBdr>
                <w:top w:val="none" w:sz="0" w:space="0" w:color="auto"/>
                <w:left w:val="none" w:sz="0" w:space="0" w:color="auto"/>
                <w:bottom w:val="none" w:sz="0" w:space="0" w:color="auto"/>
                <w:right w:val="none" w:sz="0" w:space="0" w:color="auto"/>
              </w:divBdr>
            </w:div>
            <w:div w:id="716205639">
              <w:marLeft w:val="0"/>
              <w:marRight w:val="0"/>
              <w:marTop w:val="0"/>
              <w:marBottom w:val="0"/>
              <w:divBdr>
                <w:top w:val="none" w:sz="0" w:space="0" w:color="auto"/>
                <w:left w:val="none" w:sz="0" w:space="0" w:color="auto"/>
                <w:bottom w:val="none" w:sz="0" w:space="0" w:color="auto"/>
                <w:right w:val="none" w:sz="0" w:space="0" w:color="auto"/>
              </w:divBdr>
            </w:div>
            <w:div w:id="950161576">
              <w:marLeft w:val="0"/>
              <w:marRight w:val="0"/>
              <w:marTop w:val="0"/>
              <w:marBottom w:val="0"/>
              <w:divBdr>
                <w:top w:val="none" w:sz="0" w:space="0" w:color="auto"/>
                <w:left w:val="none" w:sz="0" w:space="0" w:color="auto"/>
                <w:bottom w:val="none" w:sz="0" w:space="0" w:color="auto"/>
                <w:right w:val="none" w:sz="0" w:space="0" w:color="auto"/>
              </w:divBdr>
            </w:div>
            <w:div w:id="1645502234">
              <w:marLeft w:val="0"/>
              <w:marRight w:val="0"/>
              <w:marTop w:val="0"/>
              <w:marBottom w:val="0"/>
              <w:divBdr>
                <w:top w:val="none" w:sz="0" w:space="0" w:color="auto"/>
                <w:left w:val="none" w:sz="0" w:space="0" w:color="auto"/>
                <w:bottom w:val="none" w:sz="0" w:space="0" w:color="auto"/>
                <w:right w:val="none" w:sz="0" w:space="0" w:color="auto"/>
              </w:divBdr>
            </w:div>
            <w:div w:id="2119792229">
              <w:marLeft w:val="0"/>
              <w:marRight w:val="0"/>
              <w:marTop w:val="0"/>
              <w:marBottom w:val="0"/>
              <w:divBdr>
                <w:top w:val="none" w:sz="0" w:space="0" w:color="auto"/>
                <w:left w:val="none" w:sz="0" w:space="0" w:color="auto"/>
                <w:bottom w:val="none" w:sz="0" w:space="0" w:color="auto"/>
                <w:right w:val="none" w:sz="0" w:space="0" w:color="auto"/>
              </w:divBdr>
            </w:div>
          </w:divsChild>
        </w:div>
        <w:div w:id="1087578021">
          <w:marLeft w:val="0"/>
          <w:marRight w:val="0"/>
          <w:marTop w:val="0"/>
          <w:marBottom w:val="0"/>
          <w:divBdr>
            <w:top w:val="none" w:sz="0" w:space="0" w:color="auto"/>
            <w:left w:val="none" w:sz="0" w:space="0" w:color="auto"/>
            <w:bottom w:val="none" w:sz="0" w:space="0" w:color="auto"/>
            <w:right w:val="none" w:sz="0" w:space="0" w:color="auto"/>
          </w:divBdr>
          <w:divsChild>
            <w:div w:id="189532127">
              <w:marLeft w:val="0"/>
              <w:marRight w:val="0"/>
              <w:marTop w:val="0"/>
              <w:marBottom w:val="0"/>
              <w:divBdr>
                <w:top w:val="none" w:sz="0" w:space="0" w:color="auto"/>
                <w:left w:val="none" w:sz="0" w:space="0" w:color="auto"/>
                <w:bottom w:val="none" w:sz="0" w:space="0" w:color="auto"/>
                <w:right w:val="none" w:sz="0" w:space="0" w:color="auto"/>
              </w:divBdr>
            </w:div>
            <w:div w:id="1375420186">
              <w:marLeft w:val="0"/>
              <w:marRight w:val="0"/>
              <w:marTop w:val="0"/>
              <w:marBottom w:val="0"/>
              <w:divBdr>
                <w:top w:val="none" w:sz="0" w:space="0" w:color="auto"/>
                <w:left w:val="none" w:sz="0" w:space="0" w:color="auto"/>
                <w:bottom w:val="none" w:sz="0" w:space="0" w:color="auto"/>
                <w:right w:val="none" w:sz="0" w:space="0" w:color="auto"/>
              </w:divBdr>
            </w:div>
            <w:div w:id="1392146931">
              <w:marLeft w:val="0"/>
              <w:marRight w:val="0"/>
              <w:marTop w:val="0"/>
              <w:marBottom w:val="0"/>
              <w:divBdr>
                <w:top w:val="none" w:sz="0" w:space="0" w:color="auto"/>
                <w:left w:val="none" w:sz="0" w:space="0" w:color="auto"/>
                <w:bottom w:val="none" w:sz="0" w:space="0" w:color="auto"/>
                <w:right w:val="none" w:sz="0" w:space="0" w:color="auto"/>
              </w:divBdr>
            </w:div>
            <w:div w:id="1413621095">
              <w:marLeft w:val="0"/>
              <w:marRight w:val="0"/>
              <w:marTop w:val="0"/>
              <w:marBottom w:val="0"/>
              <w:divBdr>
                <w:top w:val="none" w:sz="0" w:space="0" w:color="auto"/>
                <w:left w:val="none" w:sz="0" w:space="0" w:color="auto"/>
                <w:bottom w:val="none" w:sz="0" w:space="0" w:color="auto"/>
                <w:right w:val="none" w:sz="0" w:space="0" w:color="auto"/>
              </w:divBdr>
            </w:div>
            <w:div w:id="2020236583">
              <w:marLeft w:val="0"/>
              <w:marRight w:val="0"/>
              <w:marTop w:val="0"/>
              <w:marBottom w:val="0"/>
              <w:divBdr>
                <w:top w:val="none" w:sz="0" w:space="0" w:color="auto"/>
                <w:left w:val="none" w:sz="0" w:space="0" w:color="auto"/>
                <w:bottom w:val="none" w:sz="0" w:space="0" w:color="auto"/>
                <w:right w:val="none" w:sz="0" w:space="0" w:color="auto"/>
              </w:divBdr>
            </w:div>
          </w:divsChild>
        </w:div>
        <w:div w:id="1132137393">
          <w:marLeft w:val="0"/>
          <w:marRight w:val="0"/>
          <w:marTop w:val="0"/>
          <w:marBottom w:val="0"/>
          <w:divBdr>
            <w:top w:val="none" w:sz="0" w:space="0" w:color="auto"/>
            <w:left w:val="none" w:sz="0" w:space="0" w:color="auto"/>
            <w:bottom w:val="none" w:sz="0" w:space="0" w:color="auto"/>
            <w:right w:val="none" w:sz="0" w:space="0" w:color="auto"/>
          </w:divBdr>
        </w:div>
        <w:div w:id="1175536034">
          <w:marLeft w:val="0"/>
          <w:marRight w:val="0"/>
          <w:marTop w:val="0"/>
          <w:marBottom w:val="0"/>
          <w:divBdr>
            <w:top w:val="none" w:sz="0" w:space="0" w:color="auto"/>
            <w:left w:val="none" w:sz="0" w:space="0" w:color="auto"/>
            <w:bottom w:val="none" w:sz="0" w:space="0" w:color="auto"/>
            <w:right w:val="none" w:sz="0" w:space="0" w:color="auto"/>
          </w:divBdr>
        </w:div>
        <w:div w:id="1268661838">
          <w:marLeft w:val="0"/>
          <w:marRight w:val="0"/>
          <w:marTop w:val="0"/>
          <w:marBottom w:val="0"/>
          <w:divBdr>
            <w:top w:val="none" w:sz="0" w:space="0" w:color="auto"/>
            <w:left w:val="none" w:sz="0" w:space="0" w:color="auto"/>
            <w:bottom w:val="none" w:sz="0" w:space="0" w:color="auto"/>
            <w:right w:val="none" w:sz="0" w:space="0" w:color="auto"/>
          </w:divBdr>
        </w:div>
        <w:div w:id="1301183545">
          <w:marLeft w:val="0"/>
          <w:marRight w:val="0"/>
          <w:marTop w:val="0"/>
          <w:marBottom w:val="0"/>
          <w:divBdr>
            <w:top w:val="none" w:sz="0" w:space="0" w:color="auto"/>
            <w:left w:val="none" w:sz="0" w:space="0" w:color="auto"/>
            <w:bottom w:val="none" w:sz="0" w:space="0" w:color="auto"/>
            <w:right w:val="none" w:sz="0" w:space="0" w:color="auto"/>
          </w:divBdr>
          <w:divsChild>
            <w:div w:id="173958140">
              <w:marLeft w:val="0"/>
              <w:marRight w:val="0"/>
              <w:marTop w:val="0"/>
              <w:marBottom w:val="0"/>
              <w:divBdr>
                <w:top w:val="none" w:sz="0" w:space="0" w:color="auto"/>
                <w:left w:val="none" w:sz="0" w:space="0" w:color="auto"/>
                <w:bottom w:val="none" w:sz="0" w:space="0" w:color="auto"/>
                <w:right w:val="none" w:sz="0" w:space="0" w:color="auto"/>
              </w:divBdr>
            </w:div>
            <w:div w:id="805316052">
              <w:marLeft w:val="0"/>
              <w:marRight w:val="0"/>
              <w:marTop w:val="0"/>
              <w:marBottom w:val="0"/>
              <w:divBdr>
                <w:top w:val="none" w:sz="0" w:space="0" w:color="auto"/>
                <w:left w:val="none" w:sz="0" w:space="0" w:color="auto"/>
                <w:bottom w:val="none" w:sz="0" w:space="0" w:color="auto"/>
                <w:right w:val="none" w:sz="0" w:space="0" w:color="auto"/>
              </w:divBdr>
            </w:div>
            <w:div w:id="1232348171">
              <w:marLeft w:val="0"/>
              <w:marRight w:val="0"/>
              <w:marTop w:val="0"/>
              <w:marBottom w:val="0"/>
              <w:divBdr>
                <w:top w:val="none" w:sz="0" w:space="0" w:color="auto"/>
                <w:left w:val="none" w:sz="0" w:space="0" w:color="auto"/>
                <w:bottom w:val="none" w:sz="0" w:space="0" w:color="auto"/>
                <w:right w:val="none" w:sz="0" w:space="0" w:color="auto"/>
              </w:divBdr>
            </w:div>
            <w:div w:id="1845507819">
              <w:marLeft w:val="0"/>
              <w:marRight w:val="0"/>
              <w:marTop w:val="0"/>
              <w:marBottom w:val="0"/>
              <w:divBdr>
                <w:top w:val="none" w:sz="0" w:space="0" w:color="auto"/>
                <w:left w:val="none" w:sz="0" w:space="0" w:color="auto"/>
                <w:bottom w:val="none" w:sz="0" w:space="0" w:color="auto"/>
                <w:right w:val="none" w:sz="0" w:space="0" w:color="auto"/>
              </w:divBdr>
            </w:div>
            <w:div w:id="1880236502">
              <w:marLeft w:val="0"/>
              <w:marRight w:val="0"/>
              <w:marTop w:val="0"/>
              <w:marBottom w:val="0"/>
              <w:divBdr>
                <w:top w:val="none" w:sz="0" w:space="0" w:color="auto"/>
                <w:left w:val="none" w:sz="0" w:space="0" w:color="auto"/>
                <w:bottom w:val="none" w:sz="0" w:space="0" w:color="auto"/>
                <w:right w:val="none" w:sz="0" w:space="0" w:color="auto"/>
              </w:divBdr>
            </w:div>
          </w:divsChild>
        </w:div>
        <w:div w:id="1312251387">
          <w:marLeft w:val="0"/>
          <w:marRight w:val="0"/>
          <w:marTop w:val="0"/>
          <w:marBottom w:val="0"/>
          <w:divBdr>
            <w:top w:val="none" w:sz="0" w:space="0" w:color="auto"/>
            <w:left w:val="none" w:sz="0" w:space="0" w:color="auto"/>
            <w:bottom w:val="none" w:sz="0" w:space="0" w:color="auto"/>
            <w:right w:val="none" w:sz="0" w:space="0" w:color="auto"/>
          </w:divBdr>
        </w:div>
        <w:div w:id="1339308496">
          <w:marLeft w:val="0"/>
          <w:marRight w:val="0"/>
          <w:marTop w:val="0"/>
          <w:marBottom w:val="0"/>
          <w:divBdr>
            <w:top w:val="none" w:sz="0" w:space="0" w:color="auto"/>
            <w:left w:val="none" w:sz="0" w:space="0" w:color="auto"/>
            <w:bottom w:val="none" w:sz="0" w:space="0" w:color="auto"/>
            <w:right w:val="none" w:sz="0" w:space="0" w:color="auto"/>
          </w:divBdr>
        </w:div>
        <w:div w:id="1343127119">
          <w:marLeft w:val="0"/>
          <w:marRight w:val="0"/>
          <w:marTop w:val="0"/>
          <w:marBottom w:val="0"/>
          <w:divBdr>
            <w:top w:val="none" w:sz="0" w:space="0" w:color="auto"/>
            <w:left w:val="none" w:sz="0" w:space="0" w:color="auto"/>
            <w:bottom w:val="none" w:sz="0" w:space="0" w:color="auto"/>
            <w:right w:val="none" w:sz="0" w:space="0" w:color="auto"/>
          </w:divBdr>
          <w:divsChild>
            <w:div w:id="53352934">
              <w:marLeft w:val="0"/>
              <w:marRight w:val="0"/>
              <w:marTop w:val="0"/>
              <w:marBottom w:val="0"/>
              <w:divBdr>
                <w:top w:val="none" w:sz="0" w:space="0" w:color="auto"/>
                <w:left w:val="none" w:sz="0" w:space="0" w:color="auto"/>
                <w:bottom w:val="none" w:sz="0" w:space="0" w:color="auto"/>
                <w:right w:val="none" w:sz="0" w:space="0" w:color="auto"/>
              </w:divBdr>
            </w:div>
            <w:div w:id="373044197">
              <w:marLeft w:val="0"/>
              <w:marRight w:val="0"/>
              <w:marTop w:val="0"/>
              <w:marBottom w:val="0"/>
              <w:divBdr>
                <w:top w:val="none" w:sz="0" w:space="0" w:color="auto"/>
                <w:left w:val="none" w:sz="0" w:space="0" w:color="auto"/>
                <w:bottom w:val="none" w:sz="0" w:space="0" w:color="auto"/>
                <w:right w:val="none" w:sz="0" w:space="0" w:color="auto"/>
              </w:divBdr>
            </w:div>
            <w:div w:id="551696501">
              <w:marLeft w:val="0"/>
              <w:marRight w:val="0"/>
              <w:marTop w:val="0"/>
              <w:marBottom w:val="0"/>
              <w:divBdr>
                <w:top w:val="none" w:sz="0" w:space="0" w:color="auto"/>
                <w:left w:val="none" w:sz="0" w:space="0" w:color="auto"/>
                <w:bottom w:val="none" w:sz="0" w:space="0" w:color="auto"/>
                <w:right w:val="none" w:sz="0" w:space="0" w:color="auto"/>
              </w:divBdr>
            </w:div>
            <w:div w:id="585267232">
              <w:marLeft w:val="0"/>
              <w:marRight w:val="0"/>
              <w:marTop w:val="0"/>
              <w:marBottom w:val="0"/>
              <w:divBdr>
                <w:top w:val="none" w:sz="0" w:space="0" w:color="auto"/>
                <w:left w:val="none" w:sz="0" w:space="0" w:color="auto"/>
                <w:bottom w:val="none" w:sz="0" w:space="0" w:color="auto"/>
                <w:right w:val="none" w:sz="0" w:space="0" w:color="auto"/>
              </w:divBdr>
            </w:div>
            <w:div w:id="2064208817">
              <w:marLeft w:val="0"/>
              <w:marRight w:val="0"/>
              <w:marTop w:val="0"/>
              <w:marBottom w:val="0"/>
              <w:divBdr>
                <w:top w:val="none" w:sz="0" w:space="0" w:color="auto"/>
                <w:left w:val="none" w:sz="0" w:space="0" w:color="auto"/>
                <w:bottom w:val="none" w:sz="0" w:space="0" w:color="auto"/>
                <w:right w:val="none" w:sz="0" w:space="0" w:color="auto"/>
              </w:divBdr>
            </w:div>
          </w:divsChild>
        </w:div>
        <w:div w:id="1380665147">
          <w:marLeft w:val="0"/>
          <w:marRight w:val="0"/>
          <w:marTop w:val="0"/>
          <w:marBottom w:val="0"/>
          <w:divBdr>
            <w:top w:val="none" w:sz="0" w:space="0" w:color="auto"/>
            <w:left w:val="none" w:sz="0" w:space="0" w:color="auto"/>
            <w:bottom w:val="none" w:sz="0" w:space="0" w:color="auto"/>
            <w:right w:val="none" w:sz="0" w:space="0" w:color="auto"/>
          </w:divBdr>
          <w:divsChild>
            <w:div w:id="168328663">
              <w:marLeft w:val="0"/>
              <w:marRight w:val="0"/>
              <w:marTop w:val="0"/>
              <w:marBottom w:val="0"/>
              <w:divBdr>
                <w:top w:val="none" w:sz="0" w:space="0" w:color="auto"/>
                <w:left w:val="none" w:sz="0" w:space="0" w:color="auto"/>
                <w:bottom w:val="none" w:sz="0" w:space="0" w:color="auto"/>
                <w:right w:val="none" w:sz="0" w:space="0" w:color="auto"/>
              </w:divBdr>
            </w:div>
            <w:div w:id="342048398">
              <w:marLeft w:val="0"/>
              <w:marRight w:val="0"/>
              <w:marTop w:val="0"/>
              <w:marBottom w:val="0"/>
              <w:divBdr>
                <w:top w:val="none" w:sz="0" w:space="0" w:color="auto"/>
                <w:left w:val="none" w:sz="0" w:space="0" w:color="auto"/>
                <w:bottom w:val="none" w:sz="0" w:space="0" w:color="auto"/>
                <w:right w:val="none" w:sz="0" w:space="0" w:color="auto"/>
              </w:divBdr>
            </w:div>
            <w:div w:id="1565070644">
              <w:marLeft w:val="0"/>
              <w:marRight w:val="0"/>
              <w:marTop w:val="0"/>
              <w:marBottom w:val="0"/>
              <w:divBdr>
                <w:top w:val="none" w:sz="0" w:space="0" w:color="auto"/>
                <w:left w:val="none" w:sz="0" w:space="0" w:color="auto"/>
                <w:bottom w:val="none" w:sz="0" w:space="0" w:color="auto"/>
                <w:right w:val="none" w:sz="0" w:space="0" w:color="auto"/>
              </w:divBdr>
            </w:div>
            <w:div w:id="1577931392">
              <w:marLeft w:val="0"/>
              <w:marRight w:val="0"/>
              <w:marTop w:val="0"/>
              <w:marBottom w:val="0"/>
              <w:divBdr>
                <w:top w:val="none" w:sz="0" w:space="0" w:color="auto"/>
                <w:left w:val="none" w:sz="0" w:space="0" w:color="auto"/>
                <w:bottom w:val="none" w:sz="0" w:space="0" w:color="auto"/>
                <w:right w:val="none" w:sz="0" w:space="0" w:color="auto"/>
              </w:divBdr>
            </w:div>
            <w:div w:id="1775516638">
              <w:marLeft w:val="0"/>
              <w:marRight w:val="0"/>
              <w:marTop w:val="0"/>
              <w:marBottom w:val="0"/>
              <w:divBdr>
                <w:top w:val="none" w:sz="0" w:space="0" w:color="auto"/>
                <w:left w:val="none" w:sz="0" w:space="0" w:color="auto"/>
                <w:bottom w:val="none" w:sz="0" w:space="0" w:color="auto"/>
                <w:right w:val="none" w:sz="0" w:space="0" w:color="auto"/>
              </w:divBdr>
            </w:div>
          </w:divsChild>
        </w:div>
        <w:div w:id="1487934136">
          <w:marLeft w:val="0"/>
          <w:marRight w:val="0"/>
          <w:marTop w:val="0"/>
          <w:marBottom w:val="0"/>
          <w:divBdr>
            <w:top w:val="none" w:sz="0" w:space="0" w:color="auto"/>
            <w:left w:val="none" w:sz="0" w:space="0" w:color="auto"/>
            <w:bottom w:val="none" w:sz="0" w:space="0" w:color="auto"/>
            <w:right w:val="none" w:sz="0" w:space="0" w:color="auto"/>
          </w:divBdr>
        </w:div>
        <w:div w:id="1493137265">
          <w:marLeft w:val="0"/>
          <w:marRight w:val="0"/>
          <w:marTop w:val="0"/>
          <w:marBottom w:val="0"/>
          <w:divBdr>
            <w:top w:val="none" w:sz="0" w:space="0" w:color="auto"/>
            <w:left w:val="none" w:sz="0" w:space="0" w:color="auto"/>
            <w:bottom w:val="none" w:sz="0" w:space="0" w:color="auto"/>
            <w:right w:val="none" w:sz="0" w:space="0" w:color="auto"/>
          </w:divBdr>
        </w:div>
        <w:div w:id="1499611550">
          <w:marLeft w:val="0"/>
          <w:marRight w:val="0"/>
          <w:marTop w:val="0"/>
          <w:marBottom w:val="0"/>
          <w:divBdr>
            <w:top w:val="none" w:sz="0" w:space="0" w:color="auto"/>
            <w:left w:val="none" w:sz="0" w:space="0" w:color="auto"/>
            <w:bottom w:val="none" w:sz="0" w:space="0" w:color="auto"/>
            <w:right w:val="none" w:sz="0" w:space="0" w:color="auto"/>
          </w:divBdr>
          <w:divsChild>
            <w:div w:id="139621023">
              <w:marLeft w:val="0"/>
              <w:marRight w:val="0"/>
              <w:marTop w:val="0"/>
              <w:marBottom w:val="0"/>
              <w:divBdr>
                <w:top w:val="none" w:sz="0" w:space="0" w:color="auto"/>
                <w:left w:val="none" w:sz="0" w:space="0" w:color="auto"/>
                <w:bottom w:val="none" w:sz="0" w:space="0" w:color="auto"/>
                <w:right w:val="none" w:sz="0" w:space="0" w:color="auto"/>
              </w:divBdr>
            </w:div>
          </w:divsChild>
        </w:div>
        <w:div w:id="1529024664">
          <w:marLeft w:val="0"/>
          <w:marRight w:val="0"/>
          <w:marTop w:val="0"/>
          <w:marBottom w:val="0"/>
          <w:divBdr>
            <w:top w:val="none" w:sz="0" w:space="0" w:color="auto"/>
            <w:left w:val="none" w:sz="0" w:space="0" w:color="auto"/>
            <w:bottom w:val="none" w:sz="0" w:space="0" w:color="auto"/>
            <w:right w:val="none" w:sz="0" w:space="0" w:color="auto"/>
          </w:divBdr>
        </w:div>
        <w:div w:id="1538201706">
          <w:marLeft w:val="0"/>
          <w:marRight w:val="0"/>
          <w:marTop w:val="0"/>
          <w:marBottom w:val="0"/>
          <w:divBdr>
            <w:top w:val="none" w:sz="0" w:space="0" w:color="auto"/>
            <w:left w:val="none" w:sz="0" w:space="0" w:color="auto"/>
            <w:bottom w:val="none" w:sz="0" w:space="0" w:color="auto"/>
            <w:right w:val="none" w:sz="0" w:space="0" w:color="auto"/>
          </w:divBdr>
        </w:div>
        <w:div w:id="1539849854">
          <w:marLeft w:val="0"/>
          <w:marRight w:val="0"/>
          <w:marTop w:val="0"/>
          <w:marBottom w:val="0"/>
          <w:divBdr>
            <w:top w:val="none" w:sz="0" w:space="0" w:color="auto"/>
            <w:left w:val="none" w:sz="0" w:space="0" w:color="auto"/>
            <w:bottom w:val="none" w:sz="0" w:space="0" w:color="auto"/>
            <w:right w:val="none" w:sz="0" w:space="0" w:color="auto"/>
          </w:divBdr>
        </w:div>
        <w:div w:id="1546216591">
          <w:marLeft w:val="0"/>
          <w:marRight w:val="0"/>
          <w:marTop w:val="0"/>
          <w:marBottom w:val="0"/>
          <w:divBdr>
            <w:top w:val="none" w:sz="0" w:space="0" w:color="auto"/>
            <w:left w:val="none" w:sz="0" w:space="0" w:color="auto"/>
            <w:bottom w:val="none" w:sz="0" w:space="0" w:color="auto"/>
            <w:right w:val="none" w:sz="0" w:space="0" w:color="auto"/>
          </w:divBdr>
        </w:div>
        <w:div w:id="1755782218">
          <w:marLeft w:val="0"/>
          <w:marRight w:val="0"/>
          <w:marTop w:val="0"/>
          <w:marBottom w:val="0"/>
          <w:divBdr>
            <w:top w:val="none" w:sz="0" w:space="0" w:color="auto"/>
            <w:left w:val="none" w:sz="0" w:space="0" w:color="auto"/>
            <w:bottom w:val="none" w:sz="0" w:space="0" w:color="auto"/>
            <w:right w:val="none" w:sz="0" w:space="0" w:color="auto"/>
          </w:divBdr>
        </w:div>
        <w:div w:id="1785540564">
          <w:marLeft w:val="0"/>
          <w:marRight w:val="0"/>
          <w:marTop w:val="0"/>
          <w:marBottom w:val="0"/>
          <w:divBdr>
            <w:top w:val="none" w:sz="0" w:space="0" w:color="auto"/>
            <w:left w:val="none" w:sz="0" w:space="0" w:color="auto"/>
            <w:bottom w:val="none" w:sz="0" w:space="0" w:color="auto"/>
            <w:right w:val="none" w:sz="0" w:space="0" w:color="auto"/>
          </w:divBdr>
        </w:div>
        <w:div w:id="1895386278">
          <w:marLeft w:val="0"/>
          <w:marRight w:val="0"/>
          <w:marTop w:val="0"/>
          <w:marBottom w:val="0"/>
          <w:divBdr>
            <w:top w:val="none" w:sz="0" w:space="0" w:color="auto"/>
            <w:left w:val="none" w:sz="0" w:space="0" w:color="auto"/>
            <w:bottom w:val="none" w:sz="0" w:space="0" w:color="auto"/>
            <w:right w:val="none" w:sz="0" w:space="0" w:color="auto"/>
          </w:divBdr>
          <w:divsChild>
            <w:div w:id="1378314477">
              <w:marLeft w:val="0"/>
              <w:marRight w:val="0"/>
              <w:marTop w:val="0"/>
              <w:marBottom w:val="0"/>
              <w:divBdr>
                <w:top w:val="none" w:sz="0" w:space="0" w:color="auto"/>
                <w:left w:val="none" w:sz="0" w:space="0" w:color="auto"/>
                <w:bottom w:val="none" w:sz="0" w:space="0" w:color="auto"/>
                <w:right w:val="none" w:sz="0" w:space="0" w:color="auto"/>
              </w:divBdr>
            </w:div>
            <w:div w:id="1390421749">
              <w:marLeft w:val="0"/>
              <w:marRight w:val="0"/>
              <w:marTop w:val="0"/>
              <w:marBottom w:val="0"/>
              <w:divBdr>
                <w:top w:val="none" w:sz="0" w:space="0" w:color="auto"/>
                <w:left w:val="none" w:sz="0" w:space="0" w:color="auto"/>
                <w:bottom w:val="none" w:sz="0" w:space="0" w:color="auto"/>
                <w:right w:val="none" w:sz="0" w:space="0" w:color="auto"/>
              </w:divBdr>
            </w:div>
            <w:div w:id="1501387485">
              <w:marLeft w:val="0"/>
              <w:marRight w:val="0"/>
              <w:marTop w:val="0"/>
              <w:marBottom w:val="0"/>
              <w:divBdr>
                <w:top w:val="none" w:sz="0" w:space="0" w:color="auto"/>
                <w:left w:val="none" w:sz="0" w:space="0" w:color="auto"/>
                <w:bottom w:val="none" w:sz="0" w:space="0" w:color="auto"/>
                <w:right w:val="none" w:sz="0" w:space="0" w:color="auto"/>
              </w:divBdr>
            </w:div>
          </w:divsChild>
        </w:div>
        <w:div w:id="1930430042">
          <w:marLeft w:val="0"/>
          <w:marRight w:val="0"/>
          <w:marTop w:val="0"/>
          <w:marBottom w:val="0"/>
          <w:divBdr>
            <w:top w:val="none" w:sz="0" w:space="0" w:color="auto"/>
            <w:left w:val="none" w:sz="0" w:space="0" w:color="auto"/>
            <w:bottom w:val="none" w:sz="0" w:space="0" w:color="auto"/>
            <w:right w:val="none" w:sz="0" w:space="0" w:color="auto"/>
          </w:divBdr>
          <w:divsChild>
            <w:div w:id="1313801359">
              <w:marLeft w:val="0"/>
              <w:marRight w:val="0"/>
              <w:marTop w:val="0"/>
              <w:marBottom w:val="0"/>
              <w:divBdr>
                <w:top w:val="none" w:sz="0" w:space="0" w:color="auto"/>
                <w:left w:val="none" w:sz="0" w:space="0" w:color="auto"/>
                <w:bottom w:val="none" w:sz="0" w:space="0" w:color="auto"/>
                <w:right w:val="none" w:sz="0" w:space="0" w:color="auto"/>
              </w:divBdr>
            </w:div>
            <w:div w:id="1468090105">
              <w:marLeft w:val="0"/>
              <w:marRight w:val="0"/>
              <w:marTop w:val="0"/>
              <w:marBottom w:val="0"/>
              <w:divBdr>
                <w:top w:val="none" w:sz="0" w:space="0" w:color="auto"/>
                <w:left w:val="none" w:sz="0" w:space="0" w:color="auto"/>
                <w:bottom w:val="none" w:sz="0" w:space="0" w:color="auto"/>
                <w:right w:val="none" w:sz="0" w:space="0" w:color="auto"/>
              </w:divBdr>
            </w:div>
            <w:div w:id="1772041175">
              <w:marLeft w:val="0"/>
              <w:marRight w:val="0"/>
              <w:marTop w:val="0"/>
              <w:marBottom w:val="0"/>
              <w:divBdr>
                <w:top w:val="none" w:sz="0" w:space="0" w:color="auto"/>
                <w:left w:val="none" w:sz="0" w:space="0" w:color="auto"/>
                <w:bottom w:val="none" w:sz="0" w:space="0" w:color="auto"/>
                <w:right w:val="none" w:sz="0" w:space="0" w:color="auto"/>
              </w:divBdr>
            </w:div>
            <w:div w:id="1980958089">
              <w:marLeft w:val="0"/>
              <w:marRight w:val="0"/>
              <w:marTop w:val="0"/>
              <w:marBottom w:val="0"/>
              <w:divBdr>
                <w:top w:val="none" w:sz="0" w:space="0" w:color="auto"/>
                <w:left w:val="none" w:sz="0" w:space="0" w:color="auto"/>
                <w:bottom w:val="none" w:sz="0" w:space="0" w:color="auto"/>
                <w:right w:val="none" w:sz="0" w:space="0" w:color="auto"/>
              </w:divBdr>
            </w:div>
          </w:divsChild>
        </w:div>
        <w:div w:id="1942058035">
          <w:marLeft w:val="0"/>
          <w:marRight w:val="0"/>
          <w:marTop w:val="0"/>
          <w:marBottom w:val="0"/>
          <w:divBdr>
            <w:top w:val="none" w:sz="0" w:space="0" w:color="auto"/>
            <w:left w:val="none" w:sz="0" w:space="0" w:color="auto"/>
            <w:bottom w:val="none" w:sz="0" w:space="0" w:color="auto"/>
            <w:right w:val="none" w:sz="0" w:space="0" w:color="auto"/>
          </w:divBdr>
          <w:divsChild>
            <w:div w:id="203833823">
              <w:marLeft w:val="0"/>
              <w:marRight w:val="0"/>
              <w:marTop w:val="0"/>
              <w:marBottom w:val="0"/>
              <w:divBdr>
                <w:top w:val="none" w:sz="0" w:space="0" w:color="auto"/>
                <w:left w:val="none" w:sz="0" w:space="0" w:color="auto"/>
                <w:bottom w:val="none" w:sz="0" w:space="0" w:color="auto"/>
                <w:right w:val="none" w:sz="0" w:space="0" w:color="auto"/>
              </w:divBdr>
            </w:div>
            <w:div w:id="217976849">
              <w:marLeft w:val="0"/>
              <w:marRight w:val="0"/>
              <w:marTop w:val="0"/>
              <w:marBottom w:val="0"/>
              <w:divBdr>
                <w:top w:val="none" w:sz="0" w:space="0" w:color="auto"/>
                <w:left w:val="none" w:sz="0" w:space="0" w:color="auto"/>
                <w:bottom w:val="none" w:sz="0" w:space="0" w:color="auto"/>
                <w:right w:val="none" w:sz="0" w:space="0" w:color="auto"/>
              </w:divBdr>
            </w:div>
            <w:div w:id="730421500">
              <w:marLeft w:val="0"/>
              <w:marRight w:val="0"/>
              <w:marTop w:val="0"/>
              <w:marBottom w:val="0"/>
              <w:divBdr>
                <w:top w:val="none" w:sz="0" w:space="0" w:color="auto"/>
                <w:left w:val="none" w:sz="0" w:space="0" w:color="auto"/>
                <w:bottom w:val="none" w:sz="0" w:space="0" w:color="auto"/>
                <w:right w:val="none" w:sz="0" w:space="0" w:color="auto"/>
              </w:divBdr>
            </w:div>
            <w:div w:id="1557937231">
              <w:marLeft w:val="0"/>
              <w:marRight w:val="0"/>
              <w:marTop w:val="0"/>
              <w:marBottom w:val="0"/>
              <w:divBdr>
                <w:top w:val="none" w:sz="0" w:space="0" w:color="auto"/>
                <w:left w:val="none" w:sz="0" w:space="0" w:color="auto"/>
                <w:bottom w:val="none" w:sz="0" w:space="0" w:color="auto"/>
                <w:right w:val="none" w:sz="0" w:space="0" w:color="auto"/>
              </w:divBdr>
            </w:div>
            <w:div w:id="1621303846">
              <w:marLeft w:val="0"/>
              <w:marRight w:val="0"/>
              <w:marTop w:val="0"/>
              <w:marBottom w:val="0"/>
              <w:divBdr>
                <w:top w:val="none" w:sz="0" w:space="0" w:color="auto"/>
                <w:left w:val="none" w:sz="0" w:space="0" w:color="auto"/>
                <w:bottom w:val="none" w:sz="0" w:space="0" w:color="auto"/>
                <w:right w:val="none" w:sz="0" w:space="0" w:color="auto"/>
              </w:divBdr>
            </w:div>
          </w:divsChild>
        </w:div>
        <w:div w:id="1986161364">
          <w:marLeft w:val="0"/>
          <w:marRight w:val="0"/>
          <w:marTop w:val="0"/>
          <w:marBottom w:val="0"/>
          <w:divBdr>
            <w:top w:val="none" w:sz="0" w:space="0" w:color="auto"/>
            <w:left w:val="none" w:sz="0" w:space="0" w:color="auto"/>
            <w:bottom w:val="none" w:sz="0" w:space="0" w:color="auto"/>
            <w:right w:val="none" w:sz="0" w:space="0" w:color="auto"/>
          </w:divBdr>
          <w:divsChild>
            <w:div w:id="325405711">
              <w:marLeft w:val="0"/>
              <w:marRight w:val="0"/>
              <w:marTop w:val="0"/>
              <w:marBottom w:val="0"/>
              <w:divBdr>
                <w:top w:val="none" w:sz="0" w:space="0" w:color="auto"/>
                <w:left w:val="none" w:sz="0" w:space="0" w:color="auto"/>
                <w:bottom w:val="none" w:sz="0" w:space="0" w:color="auto"/>
                <w:right w:val="none" w:sz="0" w:space="0" w:color="auto"/>
              </w:divBdr>
            </w:div>
            <w:div w:id="378550524">
              <w:marLeft w:val="0"/>
              <w:marRight w:val="0"/>
              <w:marTop w:val="0"/>
              <w:marBottom w:val="0"/>
              <w:divBdr>
                <w:top w:val="none" w:sz="0" w:space="0" w:color="auto"/>
                <w:left w:val="none" w:sz="0" w:space="0" w:color="auto"/>
                <w:bottom w:val="none" w:sz="0" w:space="0" w:color="auto"/>
                <w:right w:val="none" w:sz="0" w:space="0" w:color="auto"/>
              </w:divBdr>
            </w:div>
            <w:div w:id="843010824">
              <w:marLeft w:val="0"/>
              <w:marRight w:val="0"/>
              <w:marTop w:val="0"/>
              <w:marBottom w:val="0"/>
              <w:divBdr>
                <w:top w:val="none" w:sz="0" w:space="0" w:color="auto"/>
                <w:left w:val="none" w:sz="0" w:space="0" w:color="auto"/>
                <w:bottom w:val="none" w:sz="0" w:space="0" w:color="auto"/>
                <w:right w:val="none" w:sz="0" w:space="0" w:color="auto"/>
              </w:divBdr>
            </w:div>
            <w:div w:id="862205983">
              <w:marLeft w:val="0"/>
              <w:marRight w:val="0"/>
              <w:marTop w:val="0"/>
              <w:marBottom w:val="0"/>
              <w:divBdr>
                <w:top w:val="none" w:sz="0" w:space="0" w:color="auto"/>
                <w:left w:val="none" w:sz="0" w:space="0" w:color="auto"/>
                <w:bottom w:val="none" w:sz="0" w:space="0" w:color="auto"/>
                <w:right w:val="none" w:sz="0" w:space="0" w:color="auto"/>
              </w:divBdr>
            </w:div>
          </w:divsChild>
        </w:div>
        <w:div w:id="2024623615">
          <w:marLeft w:val="0"/>
          <w:marRight w:val="0"/>
          <w:marTop w:val="0"/>
          <w:marBottom w:val="0"/>
          <w:divBdr>
            <w:top w:val="none" w:sz="0" w:space="0" w:color="auto"/>
            <w:left w:val="none" w:sz="0" w:space="0" w:color="auto"/>
            <w:bottom w:val="none" w:sz="0" w:space="0" w:color="auto"/>
            <w:right w:val="none" w:sz="0" w:space="0" w:color="auto"/>
          </w:divBdr>
        </w:div>
        <w:div w:id="2041126341">
          <w:marLeft w:val="0"/>
          <w:marRight w:val="0"/>
          <w:marTop w:val="0"/>
          <w:marBottom w:val="0"/>
          <w:divBdr>
            <w:top w:val="none" w:sz="0" w:space="0" w:color="auto"/>
            <w:left w:val="none" w:sz="0" w:space="0" w:color="auto"/>
            <w:bottom w:val="none" w:sz="0" w:space="0" w:color="auto"/>
            <w:right w:val="none" w:sz="0" w:space="0" w:color="auto"/>
          </w:divBdr>
        </w:div>
        <w:div w:id="2072341567">
          <w:marLeft w:val="0"/>
          <w:marRight w:val="0"/>
          <w:marTop w:val="0"/>
          <w:marBottom w:val="0"/>
          <w:divBdr>
            <w:top w:val="none" w:sz="0" w:space="0" w:color="auto"/>
            <w:left w:val="none" w:sz="0" w:space="0" w:color="auto"/>
            <w:bottom w:val="none" w:sz="0" w:space="0" w:color="auto"/>
            <w:right w:val="none" w:sz="0" w:space="0" w:color="auto"/>
          </w:divBdr>
        </w:div>
        <w:div w:id="2123957148">
          <w:marLeft w:val="0"/>
          <w:marRight w:val="0"/>
          <w:marTop w:val="0"/>
          <w:marBottom w:val="0"/>
          <w:divBdr>
            <w:top w:val="none" w:sz="0" w:space="0" w:color="auto"/>
            <w:left w:val="none" w:sz="0" w:space="0" w:color="auto"/>
            <w:bottom w:val="none" w:sz="0" w:space="0" w:color="auto"/>
            <w:right w:val="none" w:sz="0" w:space="0" w:color="auto"/>
          </w:divBdr>
          <w:divsChild>
            <w:div w:id="65033922">
              <w:marLeft w:val="0"/>
              <w:marRight w:val="0"/>
              <w:marTop w:val="0"/>
              <w:marBottom w:val="0"/>
              <w:divBdr>
                <w:top w:val="none" w:sz="0" w:space="0" w:color="auto"/>
                <w:left w:val="none" w:sz="0" w:space="0" w:color="auto"/>
                <w:bottom w:val="none" w:sz="0" w:space="0" w:color="auto"/>
                <w:right w:val="none" w:sz="0" w:space="0" w:color="auto"/>
              </w:divBdr>
            </w:div>
            <w:div w:id="207766238">
              <w:marLeft w:val="0"/>
              <w:marRight w:val="0"/>
              <w:marTop w:val="0"/>
              <w:marBottom w:val="0"/>
              <w:divBdr>
                <w:top w:val="none" w:sz="0" w:space="0" w:color="auto"/>
                <w:left w:val="none" w:sz="0" w:space="0" w:color="auto"/>
                <w:bottom w:val="none" w:sz="0" w:space="0" w:color="auto"/>
                <w:right w:val="none" w:sz="0" w:space="0" w:color="auto"/>
              </w:divBdr>
            </w:div>
            <w:div w:id="1643926030">
              <w:marLeft w:val="0"/>
              <w:marRight w:val="0"/>
              <w:marTop w:val="0"/>
              <w:marBottom w:val="0"/>
              <w:divBdr>
                <w:top w:val="none" w:sz="0" w:space="0" w:color="auto"/>
                <w:left w:val="none" w:sz="0" w:space="0" w:color="auto"/>
                <w:bottom w:val="none" w:sz="0" w:space="0" w:color="auto"/>
                <w:right w:val="none" w:sz="0" w:space="0" w:color="auto"/>
              </w:divBdr>
            </w:div>
            <w:div w:id="1759979983">
              <w:marLeft w:val="0"/>
              <w:marRight w:val="0"/>
              <w:marTop w:val="0"/>
              <w:marBottom w:val="0"/>
              <w:divBdr>
                <w:top w:val="none" w:sz="0" w:space="0" w:color="auto"/>
                <w:left w:val="none" w:sz="0" w:space="0" w:color="auto"/>
                <w:bottom w:val="none" w:sz="0" w:space="0" w:color="auto"/>
                <w:right w:val="none" w:sz="0" w:space="0" w:color="auto"/>
              </w:divBdr>
            </w:div>
            <w:div w:id="1966501890">
              <w:marLeft w:val="0"/>
              <w:marRight w:val="0"/>
              <w:marTop w:val="0"/>
              <w:marBottom w:val="0"/>
              <w:divBdr>
                <w:top w:val="none" w:sz="0" w:space="0" w:color="auto"/>
                <w:left w:val="none" w:sz="0" w:space="0" w:color="auto"/>
                <w:bottom w:val="none" w:sz="0" w:space="0" w:color="auto"/>
                <w:right w:val="none" w:sz="0" w:space="0" w:color="auto"/>
              </w:divBdr>
            </w:div>
          </w:divsChild>
        </w:div>
        <w:div w:id="2133209976">
          <w:marLeft w:val="0"/>
          <w:marRight w:val="0"/>
          <w:marTop w:val="0"/>
          <w:marBottom w:val="0"/>
          <w:divBdr>
            <w:top w:val="none" w:sz="0" w:space="0" w:color="auto"/>
            <w:left w:val="none" w:sz="0" w:space="0" w:color="auto"/>
            <w:bottom w:val="none" w:sz="0" w:space="0" w:color="auto"/>
            <w:right w:val="none" w:sz="0" w:space="0" w:color="auto"/>
          </w:divBdr>
        </w:div>
      </w:divsChild>
    </w:div>
    <w:div w:id="321008789">
      <w:bodyDiv w:val="1"/>
      <w:marLeft w:val="0"/>
      <w:marRight w:val="0"/>
      <w:marTop w:val="0"/>
      <w:marBottom w:val="0"/>
      <w:divBdr>
        <w:top w:val="none" w:sz="0" w:space="0" w:color="auto"/>
        <w:left w:val="none" w:sz="0" w:space="0" w:color="auto"/>
        <w:bottom w:val="none" w:sz="0" w:space="0" w:color="auto"/>
        <w:right w:val="none" w:sz="0" w:space="0" w:color="auto"/>
      </w:divBdr>
    </w:div>
    <w:div w:id="341736327">
      <w:bodyDiv w:val="1"/>
      <w:marLeft w:val="0"/>
      <w:marRight w:val="0"/>
      <w:marTop w:val="0"/>
      <w:marBottom w:val="0"/>
      <w:divBdr>
        <w:top w:val="none" w:sz="0" w:space="0" w:color="auto"/>
        <w:left w:val="none" w:sz="0" w:space="0" w:color="auto"/>
        <w:bottom w:val="none" w:sz="0" w:space="0" w:color="auto"/>
        <w:right w:val="none" w:sz="0" w:space="0" w:color="auto"/>
      </w:divBdr>
    </w:div>
    <w:div w:id="347172020">
      <w:bodyDiv w:val="1"/>
      <w:marLeft w:val="0"/>
      <w:marRight w:val="0"/>
      <w:marTop w:val="0"/>
      <w:marBottom w:val="0"/>
      <w:divBdr>
        <w:top w:val="none" w:sz="0" w:space="0" w:color="auto"/>
        <w:left w:val="none" w:sz="0" w:space="0" w:color="auto"/>
        <w:bottom w:val="none" w:sz="0" w:space="0" w:color="auto"/>
        <w:right w:val="none" w:sz="0" w:space="0" w:color="auto"/>
      </w:divBdr>
    </w:div>
    <w:div w:id="353387923">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586227507">
      <w:bodyDiv w:val="1"/>
      <w:marLeft w:val="0"/>
      <w:marRight w:val="0"/>
      <w:marTop w:val="0"/>
      <w:marBottom w:val="0"/>
      <w:divBdr>
        <w:top w:val="none" w:sz="0" w:space="0" w:color="auto"/>
        <w:left w:val="none" w:sz="0" w:space="0" w:color="auto"/>
        <w:bottom w:val="none" w:sz="0" w:space="0" w:color="auto"/>
        <w:right w:val="none" w:sz="0" w:space="0" w:color="auto"/>
      </w:divBdr>
    </w:div>
    <w:div w:id="672414705">
      <w:bodyDiv w:val="1"/>
      <w:marLeft w:val="0"/>
      <w:marRight w:val="0"/>
      <w:marTop w:val="0"/>
      <w:marBottom w:val="0"/>
      <w:divBdr>
        <w:top w:val="none" w:sz="0" w:space="0" w:color="auto"/>
        <w:left w:val="none" w:sz="0" w:space="0" w:color="auto"/>
        <w:bottom w:val="none" w:sz="0" w:space="0" w:color="auto"/>
        <w:right w:val="none" w:sz="0" w:space="0" w:color="auto"/>
      </w:divBdr>
    </w:div>
    <w:div w:id="719397543">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766776186">
      <w:bodyDiv w:val="1"/>
      <w:marLeft w:val="0"/>
      <w:marRight w:val="0"/>
      <w:marTop w:val="0"/>
      <w:marBottom w:val="0"/>
      <w:divBdr>
        <w:top w:val="none" w:sz="0" w:space="0" w:color="auto"/>
        <w:left w:val="none" w:sz="0" w:space="0" w:color="auto"/>
        <w:bottom w:val="none" w:sz="0" w:space="0" w:color="auto"/>
        <w:right w:val="none" w:sz="0" w:space="0" w:color="auto"/>
      </w:divBdr>
    </w:div>
    <w:div w:id="794757788">
      <w:bodyDiv w:val="1"/>
      <w:marLeft w:val="0"/>
      <w:marRight w:val="0"/>
      <w:marTop w:val="0"/>
      <w:marBottom w:val="0"/>
      <w:divBdr>
        <w:top w:val="none" w:sz="0" w:space="0" w:color="auto"/>
        <w:left w:val="none" w:sz="0" w:space="0" w:color="auto"/>
        <w:bottom w:val="none" w:sz="0" w:space="0" w:color="auto"/>
        <w:right w:val="none" w:sz="0" w:space="0" w:color="auto"/>
      </w:divBdr>
    </w:div>
    <w:div w:id="799373105">
      <w:bodyDiv w:val="1"/>
      <w:marLeft w:val="0"/>
      <w:marRight w:val="0"/>
      <w:marTop w:val="0"/>
      <w:marBottom w:val="0"/>
      <w:divBdr>
        <w:top w:val="none" w:sz="0" w:space="0" w:color="auto"/>
        <w:left w:val="none" w:sz="0" w:space="0" w:color="auto"/>
        <w:bottom w:val="none" w:sz="0" w:space="0" w:color="auto"/>
        <w:right w:val="none" w:sz="0" w:space="0" w:color="auto"/>
      </w:divBdr>
    </w:div>
    <w:div w:id="820393105">
      <w:bodyDiv w:val="1"/>
      <w:marLeft w:val="0"/>
      <w:marRight w:val="0"/>
      <w:marTop w:val="0"/>
      <w:marBottom w:val="0"/>
      <w:divBdr>
        <w:top w:val="none" w:sz="0" w:space="0" w:color="auto"/>
        <w:left w:val="none" w:sz="0" w:space="0" w:color="auto"/>
        <w:bottom w:val="none" w:sz="0" w:space="0" w:color="auto"/>
        <w:right w:val="none" w:sz="0" w:space="0" w:color="auto"/>
      </w:divBdr>
    </w:div>
    <w:div w:id="911617482">
      <w:bodyDiv w:val="1"/>
      <w:marLeft w:val="0"/>
      <w:marRight w:val="0"/>
      <w:marTop w:val="0"/>
      <w:marBottom w:val="0"/>
      <w:divBdr>
        <w:top w:val="none" w:sz="0" w:space="0" w:color="auto"/>
        <w:left w:val="none" w:sz="0" w:space="0" w:color="auto"/>
        <w:bottom w:val="none" w:sz="0" w:space="0" w:color="auto"/>
        <w:right w:val="none" w:sz="0" w:space="0" w:color="auto"/>
      </w:divBdr>
    </w:div>
    <w:div w:id="950278300">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74743735">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110473376">
      <w:bodyDiv w:val="1"/>
      <w:marLeft w:val="0"/>
      <w:marRight w:val="0"/>
      <w:marTop w:val="0"/>
      <w:marBottom w:val="0"/>
      <w:divBdr>
        <w:top w:val="none" w:sz="0" w:space="0" w:color="auto"/>
        <w:left w:val="none" w:sz="0" w:space="0" w:color="auto"/>
        <w:bottom w:val="none" w:sz="0" w:space="0" w:color="auto"/>
        <w:right w:val="none" w:sz="0" w:space="0" w:color="auto"/>
      </w:divBdr>
    </w:div>
    <w:div w:id="1114472398">
      <w:bodyDiv w:val="1"/>
      <w:marLeft w:val="0"/>
      <w:marRight w:val="0"/>
      <w:marTop w:val="0"/>
      <w:marBottom w:val="0"/>
      <w:divBdr>
        <w:top w:val="none" w:sz="0" w:space="0" w:color="auto"/>
        <w:left w:val="none" w:sz="0" w:space="0" w:color="auto"/>
        <w:bottom w:val="none" w:sz="0" w:space="0" w:color="auto"/>
        <w:right w:val="none" w:sz="0" w:space="0" w:color="auto"/>
      </w:divBdr>
    </w:div>
    <w:div w:id="1226798679">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361471617">
      <w:bodyDiv w:val="1"/>
      <w:marLeft w:val="0"/>
      <w:marRight w:val="0"/>
      <w:marTop w:val="0"/>
      <w:marBottom w:val="0"/>
      <w:divBdr>
        <w:top w:val="none" w:sz="0" w:space="0" w:color="auto"/>
        <w:left w:val="none" w:sz="0" w:space="0" w:color="auto"/>
        <w:bottom w:val="none" w:sz="0" w:space="0" w:color="auto"/>
        <w:right w:val="none" w:sz="0" w:space="0" w:color="auto"/>
      </w:divBdr>
    </w:div>
    <w:div w:id="1554198545">
      <w:bodyDiv w:val="1"/>
      <w:marLeft w:val="0"/>
      <w:marRight w:val="0"/>
      <w:marTop w:val="0"/>
      <w:marBottom w:val="0"/>
      <w:divBdr>
        <w:top w:val="none" w:sz="0" w:space="0" w:color="auto"/>
        <w:left w:val="none" w:sz="0" w:space="0" w:color="auto"/>
        <w:bottom w:val="none" w:sz="0" w:space="0" w:color="auto"/>
        <w:right w:val="none" w:sz="0" w:space="0" w:color="auto"/>
      </w:divBdr>
    </w:div>
    <w:div w:id="1565605547">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748305181">
      <w:bodyDiv w:val="1"/>
      <w:marLeft w:val="0"/>
      <w:marRight w:val="0"/>
      <w:marTop w:val="0"/>
      <w:marBottom w:val="0"/>
      <w:divBdr>
        <w:top w:val="none" w:sz="0" w:space="0" w:color="auto"/>
        <w:left w:val="none" w:sz="0" w:space="0" w:color="auto"/>
        <w:bottom w:val="none" w:sz="0" w:space="0" w:color="auto"/>
        <w:right w:val="none" w:sz="0" w:space="0" w:color="auto"/>
      </w:divBdr>
    </w:div>
    <w:div w:id="1806045478">
      <w:bodyDiv w:val="1"/>
      <w:marLeft w:val="0"/>
      <w:marRight w:val="0"/>
      <w:marTop w:val="0"/>
      <w:marBottom w:val="0"/>
      <w:divBdr>
        <w:top w:val="none" w:sz="0" w:space="0" w:color="auto"/>
        <w:left w:val="none" w:sz="0" w:space="0" w:color="auto"/>
        <w:bottom w:val="none" w:sz="0" w:space="0" w:color="auto"/>
        <w:right w:val="none" w:sz="0" w:space="0" w:color="auto"/>
      </w:divBdr>
    </w:div>
    <w:div w:id="1824272652">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37533599">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 w:id="21294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8.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Guo, Yi</DisplayName>
        <AccountId>15</AccountId>
        <AccountType/>
      </UserInfo>
      <UserInfo>
        <DisplayName>Palat, Sudeep K</DisplayName>
        <AccountId>6</AccountId>
        <AccountType/>
      </UserInfo>
      <UserInfo>
        <DisplayName>Bangolae, Sangeetha L</DisplayName>
        <AccountId>13</AccountId>
        <AccountType/>
      </UserInfo>
      <UserInfo>
        <DisplayName>Davydov, Alexei</DisplayName>
        <AccountId>87</AccountId>
        <AccountType/>
      </UserInfo>
      <UserInfo>
        <DisplayName>Heo, Youn Hyoung</DisplayName>
        <AccountId>10</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Malik, Rafia</DisplayName>
        <AccountId>44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2F34A-E6A3-4673-A3CA-0C706B985A54}">
  <ds:schemaRefs>
    <ds:schemaRef ds:uri="http://schemas.openxmlformats.org/officeDocument/2006/bibliography"/>
  </ds:schemaRefs>
</ds:datastoreItem>
</file>

<file path=customXml/itemProps2.xml><?xml version="1.0" encoding="utf-8"?>
<ds:datastoreItem xmlns:ds="http://schemas.openxmlformats.org/officeDocument/2006/customXml" ds:itemID="{588E68D1-3565-4EE8-AED5-A7A8013E2F39}">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www.w3.org/XML/1998/namespace"/>
    <ds:schemaRef ds:uri="cfa6e706-8601-4650-be9b-147c2ee1b24b"/>
    <ds:schemaRef ds:uri="afff7df5-a137-4180-a445-635b252ac6e7"/>
  </ds:schemaRefs>
</ds:datastoreItem>
</file>

<file path=customXml/itemProps3.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4.xml><?xml version="1.0" encoding="utf-8"?>
<ds:datastoreItem xmlns:ds="http://schemas.openxmlformats.org/officeDocument/2006/customXml" ds:itemID="{8268CAA3-2F8A-491C-BB2E-EC750CCFB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5614</Characters>
  <Application>Microsoft Office Word</Application>
  <DocSecurity>0</DocSecurity>
  <Lines>46</Lines>
  <Paragraphs>13</Paragraphs>
  <ScaleCrop>false</ScaleCrop>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Intel_yh</cp:lastModifiedBy>
  <cp:revision>2</cp:revision>
  <dcterms:created xsi:type="dcterms:W3CDTF">2021-05-11T04:53:00Z</dcterms:created>
  <dcterms:modified xsi:type="dcterms:W3CDTF">2021-05-11T04:53:00Z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