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r w:rsidRPr="00EA4ABC">
              <w:t>ra-ResponseWindow and mac-ContentionResolutionTimer</w:t>
            </w:r>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ra-ResponseWindow and </w:t>
            </w:r>
            <w:r>
              <w:rPr>
                <w:rFonts w:eastAsia="SimSun" w:hint="eastAsia"/>
                <w:lang w:eastAsia="zh-CN"/>
              </w:rPr>
              <w:t>ra</w:t>
            </w:r>
            <w:r w:rsidRPr="00781401">
              <w:rPr>
                <w:rFonts w:eastAsia="SimSun"/>
                <w:lang w:eastAsia="zh-CN"/>
              </w:rPr>
              <w:t>-ContentionResolutionTimer</w:t>
            </w:r>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F33565" w:rsidRPr="0002223F" w14:paraId="6DF5F0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D5D30F1" w14:textId="0F0849EC" w:rsidR="00F33565" w:rsidRDefault="00F33565"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2B76AD" w14:textId="7FED6D7E" w:rsidR="00F33565" w:rsidRDefault="00F33565"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749E9E" w14:textId="5585FB25" w:rsidR="00F33565" w:rsidRDefault="00F33565"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drx-HARQ-RTT-TimerDL </w:t>
            </w:r>
            <w:r>
              <w:t>is offset by UE-specific RTT</w:t>
            </w:r>
            <w:r w:rsidRPr="00D1251B">
              <w:t xml:space="preserve"> (UE-gNB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0498398D" w:rsidR="00F33565" w:rsidRPr="00F33565"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 also see Q1</w:t>
            </w:r>
          </w:p>
        </w:tc>
      </w:tr>
      <w:tr w:rsidR="00F33565" w:rsidRPr="00F11BE3" w14:paraId="044B77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1F777F7" w14:textId="5E36FB7F" w:rsidR="00F33565" w:rsidRDefault="00F33565"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23C7E" w14:textId="7E5B20B5" w:rsidR="00F33565" w:rsidRDefault="00F33565"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978EBB" w14:textId="6B8191C3" w:rsidR="00F33565" w:rsidRDefault="00F33565"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F33565" w:rsidRPr="00A93AB3" w14:paraId="6CD10C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00E8750" w14:textId="2AD3CCE9" w:rsidR="00F33565" w:rsidRDefault="00F33565"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69E1D4" w14:textId="5212A1A2" w:rsidR="00F33565" w:rsidRDefault="00F33565"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094CB8" w14:textId="3B679C80" w:rsidR="00F33565" w:rsidRDefault="00F33565" w:rsidP="00F3356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HiSilicon</w:t>
            </w:r>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r w:rsidRPr="00781401">
              <w:rPr>
                <w:rFonts w:eastAsia="SimSun"/>
                <w:lang w:eastAsia="zh-CN"/>
              </w:rPr>
              <w:t xml:space="preserve">sr-ProhibitTimer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r w:rsidRPr="008E6DA2">
              <w:rPr>
                <w:i/>
                <w:iCs/>
              </w:rPr>
              <w:t>sr-ProhibitTimer</w:t>
            </w:r>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F33565" w:rsidRPr="007975DB" w14:paraId="54C9F4C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CABDF53" w14:textId="1BA1DF54" w:rsidR="00F33565" w:rsidRDefault="00F33565" w:rsidP="00F33565">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A36558" w14:textId="2C01481F" w:rsidR="00F33565" w:rsidRDefault="00F33565"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73B3EA" w14:textId="4838A65A" w:rsidR="00F33565" w:rsidRDefault="00F33565"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F33565" w:rsidRPr="00C15A50" w14:paraId="0A8A275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C7C73B" w14:textId="7112D1F2" w:rsidR="00F33565" w:rsidRDefault="00F33565"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332303" w14:textId="7A0D1F5B" w:rsidR="00F33565" w:rsidRDefault="00F33565"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D2F83D" w14:textId="60D2ACC0" w:rsidR="00F33565" w:rsidRDefault="00F33565" w:rsidP="00F33565">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 xml:space="preserve">-ResponseWindow and mac-ContentionResolutionTimer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 xml:space="preserve">mac-ContentionResolutionTimer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r w:rsidRPr="00E264F3">
              <w:rPr>
                <w:rFonts w:eastAsia="SimSun"/>
                <w:i/>
                <w:iCs/>
                <w:lang w:eastAsia="zh-CN"/>
              </w:rPr>
              <w:t>pur-ResponseTimer</w:t>
            </w:r>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F33565" w:rsidRPr="00A93AB3" w14:paraId="5BB6B9E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3070270" w14:textId="0C069CE0" w:rsidR="00F33565" w:rsidRDefault="00F33565"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53CFB" w14:textId="74BD0707" w:rsidR="00F33565" w:rsidRDefault="00F33565"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314F2A" w14:textId="46D12CB1" w:rsidR="00F33565" w:rsidRDefault="00F33565"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bl>
    <w:p w14:paraId="2C36C0C1" w14:textId="77777777" w:rsidR="00214CA8" w:rsidRPr="00882194" w:rsidRDefault="00214CA8" w:rsidP="0007541C"/>
    <w:p w14:paraId="6D568A2D" w14:textId="53AAC5D6" w:rsidR="0007541C" w:rsidRPr="00EA4ABC" w:rsidRDefault="00486A3C" w:rsidP="008E67B7">
      <w:pPr>
        <w:pStyle w:val="Heading3"/>
      </w:pPr>
      <w:r>
        <w:lastRenderedPageBreak/>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AB2CF2" w:rsidRPr="00A93AB3" w14:paraId="5E8D3EE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A78F05" w14:textId="6BB259BD" w:rsidR="00AB2CF2" w:rsidRDefault="00AB2CF2"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26A3E3" w14:textId="3429883E" w:rsidR="00AB2CF2" w:rsidRDefault="00AB2CF2"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69F29D" w14:textId="1BC35F3E" w:rsidR="00AB2CF2" w:rsidRDefault="00AB2CF2"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AB2CF2" w:rsidRPr="00A93AB3" w14:paraId="777EFF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EE5D825" w14:textId="5E177A69" w:rsidR="00AB2CF2" w:rsidRDefault="00AB2CF2"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A1ACA7" w14:textId="31B4D328" w:rsidR="00AB2CF2" w:rsidRDefault="00AB2CF2"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6958C3" w14:textId="77777777" w:rsidR="00AB2CF2" w:rsidRDefault="00AB2CF2" w:rsidP="00BF4954">
            <w:pPr>
              <w:overflowPunct w:val="0"/>
              <w:autoSpaceDE w:val="0"/>
              <w:autoSpaceDN w:val="0"/>
              <w:adjustRightInd w:val="0"/>
              <w:spacing w:after="120"/>
              <w:jc w:val="both"/>
              <w:textAlignment w:val="baseline"/>
              <w:rPr>
                <w:rFonts w:eastAsia="SimSun"/>
                <w:noProof/>
                <w:lang w:eastAsia="zh-CN"/>
              </w:rPr>
            </w:pP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AB2CF2" w:rsidRPr="00781401" w14:paraId="522224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1AB8A7B" w14:textId="02E8EEF0" w:rsidR="00AB2CF2" w:rsidRDefault="00AB2CF2"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EC7A55" w14:textId="68E096F4" w:rsidR="00AB2CF2" w:rsidRDefault="00AB2CF2" w:rsidP="00AB2CF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71DED36" w14:textId="1674715B" w:rsidR="00AB2CF2" w:rsidRDefault="00AB2CF2"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bl>
    <w:p w14:paraId="0D5068F9" w14:textId="77777777" w:rsidR="00214CA8" w:rsidRPr="00882194" w:rsidRDefault="00214CA8" w:rsidP="00EA4ABC"/>
    <w:p w14:paraId="67223414" w14:textId="261395A9" w:rsidR="008E67B7" w:rsidRPr="00EA4ABC" w:rsidRDefault="008E67B7" w:rsidP="008E67B7">
      <w:pPr>
        <w:pStyle w:val="Heading3"/>
      </w:pPr>
      <w:r>
        <w:lastRenderedPageBreak/>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AB2CF2" w:rsidRPr="00781401" w14:paraId="18B0955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D8DF7D" w14:textId="495F21C5" w:rsidR="00AB2CF2" w:rsidRDefault="00AB2CF2"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029999" w14:textId="619F6E9C" w:rsidR="00AB2CF2" w:rsidRDefault="00AB2CF2"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CB6A0E" w14:textId="77777777" w:rsidR="00AB2CF2" w:rsidRDefault="00AB2CF2" w:rsidP="00BF4954">
            <w:pPr>
              <w:overflowPunct w:val="0"/>
              <w:autoSpaceDE w:val="0"/>
              <w:autoSpaceDN w:val="0"/>
              <w:adjustRightInd w:val="0"/>
              <w:spacing w:after="120"/>
              <w:jc w:val="both"/>
              <w:textAlignment w:val="baseline"/>
              <w:rPr>
                <w:rFonts w:eastAsia="DengXian"/>
                <w:lang w:eastAsia="zh-CN"/>
              </w:rPr>
            </w:pP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dicussion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AB2CF2" w:rsidRPr="00781401" w14:paraId="2567FE4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490645" w14:textId="2191C2B5" w:rsidR="00AB2CF2" w:rsidRDefault="00AB2CF2"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82638D" w14:textId="173465FD" w:rsidR="00AB2CF2" w:rsidRDefault="00AB2CF2"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31F3EF" w14:textId="40D48ADA" w:rsidR="00AB2CF2" w:rsidRDefault="00AB2CF2"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AB2CF2" w:rsidRPr="00781401" w14:paraId="6BC4E32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C6B4F5" w14:textId="24619B56" w:rsidR="00AB2CF2" w:rsidRDefault="00AB2CF2"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D0BA" w14:textId="31E6607C" w:rsidR="00AB2CF2" w:rsidRDefault="00AB2CF2"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0C5279" w14:textId="0DE93C54" w:rsidR="00AB2CF2" w:rsidRDefault="00AB2CF2" w:rsidP="00BF4954">
            <w:pPr>
              <w:rPr>
                <w:rFonts w:eastAsia="SimSun"/>
                <w:noProof/>
                <w:lang w:eastAsia="zh-CN"/>
              </w:rPr>
            </w:pPr>
            <w:r>
              <w:rPr>
                <w:rFonts w:eastAsia="SimSun"/>
                <w:noProof/>
                <w:lang w:eastAsia="zh-CN"/>
              </w:rPr>
              <w:t>We agree with Gatehouse comment.</w:t>
            </w:r>
          </w:p>
        </w:tc>
      </w:tr>
    </w:tbl>
    <w:p w14:paraId="7AF9FD23" w14:textId="77777777" w:rsidR="00214CA8" w:rsidRPr="00EA4ABC" w:rsidRDefault="00214CA8" w:rsidP="000831B3"/>
    <w:p w14:paraId="1A9EBA87" w14:textId="1B0F55C9" w:rsidR="000831B3" w:rsidRDefault="000831B3" w:rsidP="000831B3">
      <w:pPr>
        <w:pStyle w:val="Heading3"/>
      </w:pPr>
      <w:r>
        <w:lastRenderedPageBreak/>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B2CF2" w:rsidRPr="00781401" w14:paraId="7719651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CCC7C7" w14:textId="244702F0" w:rsidR="00AB2CF2" w:rsidRDefault="00AB2CF2"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18CF0C" w14:textId="543C7FA0" w:rsidR="00AB2CF2" w:rsidRDefault="00AB2CF2" w:rsidP="00BF4954">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CBCA36" w14:textId="2D3BF5B2" w:rsidR="00AB2CF2" w:rsidRDefault="00AB2CF2"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w:t>
            </w:r>
            <w:r w:rsidR="00477CE0">
              <w:rPr>
                <w:rFonts w:eastAsia="SimSun"/>
                <w:noProof/>
                <w:lang w:eastAsia="zh-CN"/>
              </w:rPr>
              <w:t xml:space="preserve"> for the rest</w:t>
            </w:r>
            <w:r>
              <w:rPr>
                <w:rFonts w:eastAsia="SimSun"/>
                <w:noProof/>
                <w:lang w:eastAsia="zh-CN"/>
              </w:rPr>
              <w:t xml:space="preserve">. </w:t>
            </w:r>
            <w:r w:rsidR="00477CE0">
              <w:rPr>
                <w:rFonts w:eastAsia="SimSun"/>
                <w:noProof/>
                <w:lang w:eastAsia="zh-CN"/>
              </w:rPr>
              <w:t xml:space="preserve"> Connected mode mobility should be deprioritized for Rel 17.</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lastRenderedPageBreak/>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i-drx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8"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477CE0" w:rsidRPr="00A93AB3" w14:paraId="0EDDE58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7B038A" w14:textId="695094A0" w:rsidR="00477CE0" w:rsidRDefault="00477CE0"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437B3B" w14:textId="5362AE4B" w:rsidR="00477CE0" w:rsidRDefault="00477CE0"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DB65D2" w14:textId="606ED5E8" w:rsidR="00477CE0" w:rsidRDefault="00477CE0"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lastRenderedPageBreak/>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477CE0" w:rsidRPr="00781401" w14:paraId="52576DF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1E27349" w14:textId="7F23B9A8" w:rsidR="00477CE0" w:rsidRDefault="00477CE0"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6D708A" w14:textId="1896630F" w:rsidR="00477CE0" w:rsidRDefault="00477CE0"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C8340BC" w14:textId="09A28726" w:rsidR="00477CE0" w:rsidRDefault="00477CE0"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lastRenderedPageBreak/>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s necessary to consider how to resolve the cell-change during eDRX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477CE0" w:rsidRPr="00047EBA" w14:paraId="554DFAC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47A65DB" w14:textId="05E525E6" w:rsidR="00477CE0" w:rsidRDefault="00477CE0"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A260AA" w14:textId="1FBEFA40" w:rsidR="00477CE0" w:rsidRDefault="00477CE0"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635F5B" w14:textId="512ADF76" w:rsidR="00477CE0" w:rsidRDefault="00477CE0"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477CE0" w:rsidRPr="00A93AB3" w14:paraId="0E3B66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5600FE7" w14:textId="6DC37DCC" w:rsidR="00477CE0" w:rsidRDefault="00477CE0"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4F0549" w14:textId="32D58679" w:rsidR="00477CE0" w:rsidRDefault="00477CE0"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8A7871" w14:textId="126FB0E5" w:rsidR="00477CE0" w:rsidRDefault="00477CE0" w:rsidP="00090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w:t>
            </w:r>
            <w:r w:rsidR="00090043">
              <w:rPr>
                <w:rFonts w:eastAsia="SimSun"/>
                <w:noProof/>
                <w:lang w:eastAsia="zh-CN"/>
              </w:rPr>
              <w:t xml:space="preserve"> Time permitting, enhancements for discontinuous coverage can be considered, but less priority.</w:t>
            </w: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CE0277" w:rsidRPr="00A93AB3" w14:paraId="789FE1F8" w14:textId="77777777" w:rsidTr="00CE0277">
        <w:tc>
          <w:tcPr>
            <w:tcW w:w="1838" w:type="dxa"/>
            <w:shd w:val="clear" w:color="auto" w:fill="auto"/>
          </w:tcPr>
          <w:p w14:paraId="56679583" w14:textId="36655F6C" w:rsidR="00CE0277" w:rsidRPr="00A93AB3" w:rsidRDefault="00090043"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4AC74D07" w:rsidR="00CE0277" w:rsidRPr="00A93AB3" w:rsidRDefault="00090043"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lastRenderedPageBreak/>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r>
              <w:rPr>
                <w:rFonts w:hint="eastAsia"/>
                <w:lang w:eastAsia="zh-CN"/>
              </w:rPr>
              <w:t>Sidong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r>
              <w:rPr>
                <w:lang w:val="en-GB" w:eastAsia="ja-JP"/>
              </w:rPr>
              <w:t>e</w:t>
            </w:r>
            <w:r w:rsidRPr="00616A6A">
              <w:rPr>
                <w:lang w:val="en-GB" w:eastAsia="ja-JP"/>
              </w:rPr>
              <w:t xml:space="preserve">mre dot yavuz at </w:t>
            </w:r>
            <w:r>
              <w:rPr>
                <w:lang w:val="en-GB" w:eastAsia="ja-JP"/>
              </w:rPr>
              <w:t>ericsson dot com</w:t>
            </w:r>
          </w:p>
        </w:tc>
      </w:tr>
      <w:tr w:rsidR="00882194" w:rsidRPr="00616A6A" w14:paraId="1425179E" w14:textId="77777777" w:rsidTr="00197497">
        <w:tc>
          <w:tcPr>
            <w:tcW w:w="1760" w:type="dxa"/>
          </w:tcPr>
          <w:p w14:paraId="1DE3B5E4" w14:textId="6881C9B1" w:rsidR="00882194" w:rsidRPr="00616A6A" w:rsidRDefault="00C66146" w:rsidP="00D22BCA">
            <w:pPr>
              <w:overflowPunct w:val="0"/>
              <w:autoSpaceDE w:val="0"/>
              <w:autoSpaceDN w:val="0"/>
              <w:adjustRightInd w:val="0"/>
              <w:spacing w:after="0"/>
              <w:rPr>
                <w:lang w:val="en-GB" w:eastAsia="ja-JP"/>
              </w:rPr>
            </w:pPr>
            <w:r>
              <w:rPr>
                <w:lang w:val="en-GB" w:eastAsia="ja-JP"/>
              </w:rPr>
              <w:t>Inmarsat</w:t>
            </w:r>
          </w:p>
        </w:tc>
        <w:tc>
          <w:tcPr>
            <w:tcW w:w="2687" w:type="dxa"/>
          </w:tcPr>
          <w:p w14:paraId="43C5B901" w14:textId="48B574FE" w:rsidR="00882194" w:rsidRPr="00616A6A" w:rsidRDefault="00C66146" w:rsidP="00D22BCA">
            <w:pPr>
              <w:overflowPunct w:val="0"/>
              <w:autoSpaceDE w:val="0"/>
              <w:autoSpaceDN w:val="0"/>
              <w:adjustRightInd w:val="0"/>
              <w:spacing w:after="0"/>
              <w:rPr>
                <w:lang w:val="en-GB" w:eastAsia="ja-JP"/>
              </w:rPr>
            </w:pPr>
            <w:r>
              <w:rPr>
                <w:lang w:val="en-GB" w:eastAsia="ja-JP"/>
              </w:rPr>
              <w:t>Luca Lodigiani</w:t>
            </w:r>
          </w:p>
        </w:tc>
        <w:tc>
          <w:tcPr>
            <w:tcW w:w="4903" w:type="dxa"/>
          </w:tcPr>
          <w:p w14:paraId="135738A7" w14:textId="31C94436" w:rsidR="00882194" w:rsidRPr="00616A6A" w:rsidRDefault="00C66146" w:rsidP="00D22BCA">
            <w:pPr>
              <w:overflowPunct w:val="0"/>
              <w:autoSpaceDE w:val="0"/>
              <w:autoSpaceDN w:val="0"/>
              <w:adjustRightInd w:val="0"/>
              <w:spacing w:after="0"/>
              <w:rPr>
                <w:lang w:val="en-GB" w:eastAsia="ja-JP"/>
              </w:rPr>
            </w:pPr>
            <w:r>
              <w:rPr>
                <w:lang w:val="en-GB" w:eastAsia="ja-JP"/>
              </w:rPr>
              <w:t>Lu</w:t>
            </w:r>
            <w:bookmarkStart w:id="13" w:name="_GoBack"/>
            <w:bookmarkEnd w:id="13"/>
            <w:r>
              <w:rPr>
                <w:lang w:val="en-GB" w:eastAsia="ja-JP"/>
              </w:rPr>
              <w:t>ca dot lodigiani at Inmarsat dot com</w:t>
            </w:r>
          </w:p>
        </w:tc>
      </w:tr>
      <w:tr w:rsidR="00882194" w:rsidRPr="00616A6A" w14:paraId="2FE82B96" w14:textId="77777777" w:rsidTr="00197497">
        <w:tc>
          <w:tcPr>
            <w:tcW w:w="1760" w:type="dxa"/>
          </w:tcPr>
          <w:p w14:paraId="6E07BDAC"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3A044EF2"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2555D46"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2DD172C0" w14:textId="77777777" w:rsidTr="00197497">
        <w:tc>
          <w:tcPr>
            <w:tcW w:w="1760" w:type="dxa"/>
          </w:tcPr>
          <w:p w14:paraId="78DCD535"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AEC498A"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65CE1390"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5C09D34A" w14:textId="77777777" w:rsidTr="00197497">
        <w:tc>
          <w:tcPr>
            <w:tcW w:w="1760" w:type="dxa"/>
          </w:tcPr>
          <w:p w14:paraId="572BF7C1"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CCC964E"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FAF1D74" w14:textId="77777777" w:rsidR="00882194" w:rsidRPr="00616A6A" w:rsidRDefault="00882194" w:rsidP="00D22BCA">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CA03D" w14:textId="77777777" w:rsidR="002B36BD" w:rsidRDefault="002B36BD">
      <w:pPr>
        <w:pStyle w:val="TAL"/>
      </w:pPr>
      <w:r>
        <w:separator/>
      </w:r>
    </w:p>
  </w:endnote>
  <w:endnote w:type="continuationSeparator" w:id="0">
    <w:p w14:paraId="512E0899" w14:textId="77777777" w:rsidR="002B36BD" w:rsidRDefault="002B36B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56C4BE48" w:rsidR="00F33565" w:rsidRDefault="00AB2CF2">
    <w:pPr>
      <w:pStyle w:val="Footer"/>
    </w:pPr>
    <w:r>
      <w:rPr>
        <w:lang w:eastAsia="en-GB"/>
      </w:rPr>
      <mc:AlternateContent>
        <mc:Choice Requires="wps">
          <w:drawing>
            <wp:anchor distT="0" distB="0" distL="114300" distR="114300" simplePos="0" relativeHeight="251659264" behindDoc="0" locked="0" layoutInCell="0" allowOverlap="1" wp14:anchorId="54C4C14D" wp14:editId="1D6C65AC">
              <wp:simplePos x="0" y="0"/>
              <wp:positionH relativeFrom="page">
                <wp:posOffset>0</wp:posOffset>
              </wp:positionH>
              <wp:positionV relativeFrom="page">
                <wp:posOffset>10229215</wp:posOffset>
              </wp:positionV>
              <wp:extent cx="7560945" cy="273050"/>
              <wp:effectExtent l="0" t="0" r="0" b="12700"/>
              <wp:wrapNone/>
              <wp:docPr id="1" name="MSIPCM63024e2cbf9c02473e9987e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9282E4" w14:textId="2A0768EB" w:rsidR="00AB2CF2" w:rsidRPr="00AB2CF2" w:rsidRDefault="00AB2CF2" w:rsidP="00AB2CF2">
                          <w:pPr>
                            <w:spacing w:after="0"/>
                            <w:rPr>
                              <w:rFonts w:ascii="Calibri" w:hAnsi="Calibri"/>
                              <w:color w:val="000000"/>
                              <w:sz w:val="14"/>
                            </w:rPr>
                          </w:pPr>
                          <w:r w:rsidRPr="00AB2CF2">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C4C14D" id="_x0000_t202" coordsize="21600,21600" o:spt="202" path="m,l,21600r21600,l21600,xe">
              <v:stroke joinstyle="miter"/>
              <v:path gradientshapeok="t" o:connecttype="rect"/>
            </v:shapetype>
            <v:shape id="MSIPCM63024e2cbf9c02473e9987e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" o:allowincell="f" filled="f" stroked="f" strokeweight=".5pt">
              <v:fill o:detectmouseclick="t"/>
              <v:textbox inset="20pt,0,,0">
                <w:txbxContent>
                  <w:p w14:paraId="1E9282E4" w14:textId="2A0768EB" w:rsidR="00AB2CF2" w:rsidRPr="00AB2CF2" w:rsidRDefault="00AB2CF2" w:rsidP="00AB2CF2">
                    <w:pPr>
                      <w:spacing w:after="0"/>
                      <w:rPr>
                        <w:rFonts w:ascii="Calibri" w:hAnsi="Calibri"/>
                        <w:color w:val="000000"/>
                        <w:sz w:val="14"/>
                      </w:rPr>
                    </w:pPr>
                    <w:r w:rsidRPr="00AB2CF2">
                      <w:rPr>
                        <w:rFonts w:ascii="Calibri" w:hAnsi="Calibri"/>
                        <w:color w:val="000000"/>
                        <w:sz w:val="14"/>
                      </w:rPr>
                      <w:t>INTERNAL | © INMARSAT</w:t>
                    </w:r>
                  </w:p>
                </w:txbxContent>
              </v:textbox>
              <w10:wrap anchorx="page" anchory="page"/>
            </v:shape>
          </w:pict>
        </mc:Fallback>
      </mc:AlternateContent>
    </w:r>
    <w:r w:rsidR="00F33565">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853F9" w14:textId="77777777" w:rsidR="002B36BD" w:rsidRDefault="002B36BD">
      <w:pPr>
        <w:pStyle w:val="TAL"/>
      </w:pPr>
      <w:r>
        <w:separator/>
      </w:r>
    </w:p>
  </w:footnote>
  <w:footnote w:type="continuationSeparator" w:id="0">
    <w:p w14:paraId="24F0ADAA" w14:textId="77777777" w:rsidR="002B36BD" w:rsidRDefault="002B36BD">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F33565" w:rsidRDefault="00F33565">
    <w:pPr>
      <w:pStyle w:val="Header"/>
      <w:framePr w:wrap="auto" w:vAnchor="text" w:hAnchor="margin" w:xAlign="center" w:y="1"/>
      <w:widowControl/>
    </w:pPr>
    <w:r>
      <w:fldChar w:fldCharType="begin"/>
    </w:r>
    <w:r>
      <w:instrText xml:space="preserve"> PAGE </w:instrText>
    </w:r>
    <w:r>
      <w:fldChar w:fldCharType="separate"/>
    </w:r>
    <w:r w:rsidR="00C66146">
      <w:t>19</w:t>
    </w:r>
    <w:r>
      <w:fldChar w:fldCharType="end"/>
    </w:r>
  </w:p>
  <w:p w14:paraId="7E7576F4" w14:textId="77777777" w:rsidR="00F33565" w:rsidRDefault="00F33565">
    <w:pPr>
      <w:pStyle w:val="Header"/>
    </w:pPr>
  </w:p>
  <w:p w14:paraId="7B616B78" w14:textId="77777777" w:rsidR="00F33565" w:rsidRDefault="00F335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0043"/>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36BD"/>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77CE0"/>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2CF2"/>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6146"/>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565"/>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29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37D77-77D5-4C6B-A47F-A0F95D6E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19</Pages>
  <Words>7799</Words>
  <Characters>44459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52154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Luca Lodigiani</cp:lastModifiedBy>
  <cp:revision>6</cp:revision>
  <cp:lastPrinted>2007-12-21T11:58:00Z</cp:lastPrinted>
  <dcterms:created xsi:type="dcterms:W3CDTF">2021-04-15T11:22:00Z</dcterms:created>
  <dcterms:modified xsi:type="dcterms:W3CDTF">2021-04-15T15:15:00Z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67f73250-91c3-4058-a7be-ac7b98891567_Enabled">
    <vt:lpwstr>true</vt:lpwstr>
  </property>
  <property fmtid="{D5CDD505-2E9C-101B-9397-08002B2CF9AE}" pid="7" name="MSIP_Label_67f73250-91c3-4058-a7be-ac7b98891567_SetDate">
    <vt:lpwstr>2021-04-15T15:15:09Z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549b66a7-333e-4a43-84af-e993ae80b1c8</vt:lpwstr>
  </property>
  <property fmtid="{D5CDD505-2E9C-101B-9397-08002B2CF9AE}" pid="12" name="MSIP_Label_67f73250-91c3-4058-a7be-ac7b98891567_ContentBits">
    <vt:lpwstr>2</vt:lpwstr>
  </property>
</Properties>
</file>