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1D" w:rsidRDefault="00F2333E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3bis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</w:t>
      </w:r>
      <w:r>
        <w:rPr>
          <w:rFonts w:hint="eastAsia"/>
          <w:sz w:val="32"/>
          <w:szCs w:val="32"/>
          <w:lang w:val="en-US"/>
        </w:rPr>
        <w:t>10xxxx</w:t>
      </w:r>
    </w:p>
    <w:p w:rsidR="00E64C1D" w:rsidRDefault="00F2333E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12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– </w:t>
      </w:r>
      <w:r>
        <w:rPr>
          <w:rFonts w:hint="eastAsia"/>
          <w:lang w:val="en-US"/>
        </w:rPr>
        <w:t>20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2021</w:t>
      </w:r>
      <w:r>
        <w:tab/>
      </w:r>
    </w:p>
    <w:p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:rsidR="00E64C1D" w:rsidRDefault="00F2333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Email discussion summary of </w:t>
      </w:r>
      <w:r>
        <w:rPr>
          <w:rStyle w:val="af5"/>
          <w:rFonts w:cs="Arial"/>
          <w:b/>
          <w:color w:val="000000"/>
          <w:sz w:val="21"/>
          <w:szCs w:val="21"/>
          <w:shd w:val="clear" w:color="auto" w:fill="FFFFFF"/>
        </w:rPr>
        <w:t>[AT113bis-e][011][NR15] UE caps III (ZTE)</w:t>
      </w:r>
    </w:p>
    <w:p w:rsidR="00E64C1D" w:rsidRDefault="00F2333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E64C1D" w:rsidRDefault="00F2333E">
      <w:pPr>
        <w:pStyle w:val="1"/>
      </w:pPr>
      <w:r>
        <w:t>1</w:t>
      </w:r>
      <w:r>
        <w:tab/>
        <w:t>Introduction</w:t>
      </w:r>
    </w:p>
    <w:p w:rsidR="00E64C1D" w:rsidRDefault="00F2333E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:rsidR="00E64C1D" w:rsidRDefault="00F2333E">
      <w:pPr>
        <w:pStyle w:val="EmailDiscussion"/>
      </w:pPr>
      <w:r>
        <w:t>[AT113bis-e][011][NR15] UE caps III (ZTE)</w:t>
      </w:r>
    </w:p>
    <w:p w:rsidR="00E64C1D" w:rsidRDefault="00F2333E">
      <w:pPr>
        <w:pStyle w:val="EmailDiscussion2"/>
      </w:pPr>
      <w:r>
        <w:tab/>
        <w:t>Scope: Treat R2-2104185, R2-2104186, R2-2104187, R2-2104188, R2-2102618, R2-2103025, R2-2103026, R2-2102610, R2-2103759, R2-2103760,</w:t>
      </w:r>
    </w:p>
    <w:p w:rsidR="00E64C1D" w:rsidRDefault="00F2333E">
      <w:pPr>
        <w:pStyle w:val="EmailDiscussion2"/>
      </w:pPr>
      <w:r>
        <w:tab/>
        <w:t>Phase 1, determine agreeable parts, Phase 2, for agreeable parts Work on CRs.</w:t>
      </w:r>
    </w:p>
    <w:p w:rsidR="00E64C1D" w:rsidRDefault="00F2333E">
      <w:pPr>
        <w:pStyle w:val="EmailDiscussion2"/>
      </w:pPr>
      <w:r>
        <w:tab/>
        <w:t xml:space="preserve">Intended outcome: Report and Agreed-in-principle CRs. </w:t>
      </w:r>
    </w:p>
    <w:p w:rsidR="00E64C1D" w:rsidRDefault="00F2333E">
      <w:pPr>
        <w:pStyle w:val="EmailDiscussion2"/>
        <w:rPr>
          <w:rFonts w:eastAsia="宋体"/>
          <w:lang w:val="en-US" w:eastAsia="zh-CN"/>
        </w:rPr>
      </w:pPr>
      <w:r>
        <w:tab/>
        <w:t>Deadline: Schedule A</w:t>
      </w:r>
      <w:r>
        <w:rPr>
          <w:rFonts w:eastAsia="宋体" w:hint="eastAsia"/>
          <w:lang w:val="en-US" w:eastAsia="zh-CN"/>
        </w:rPr>
        <w:t xml:space="preserve"> (Phase 1 deadline-</w:t>
      </w:r>
      <w:r>
        <w:rPr>
          <w:b/>
        </w:rPr>
        <w:t xml:space="preserve"> </w:t>
      </w:r>
      <w:r>
        <w:rPr>
          <w:b/>
          <w:color w:val="FF0000"/>
        </w:rPr>
        <w:t>Wednesday April 14 1000 UTC</w:t>
      </w:r>
      <w:r>
        <w:rPr>
          <w:rFonts w:eastAsia="宋体" w:hint="eastAsia"/>
          <w:b/>
          <w:color w:val="FF0000"/>
          <w:lang w:val="en-US" w:eastAsia="zh-CN"/>
        </w:rPr>
        <w:t>)</w:t>
      </w:r>
    </w:p>
    <w:p w:rsidR="00E64C1D" w:rsidRDefault="00F2333E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64C1D">
        <w:tc>
          <w:tcPr>
            <w:tcW w:w="2405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E64C1D">
        <w:tc>
          <w:tcPr>
            <w:tcW w:w="2405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E64C1D">
        <w:tc>
          <w:tcPr>
            <w:tcW w:w="2405" w:type="dxa"/>
            <w:shd w:val="clear" w:color="auto" w:fill="auto"/>
          </w:tcPr>
          <w:p w:rsidR="00E64C1D" w:rsidRDefault="00E04B80">
            <w:pPr>
              <w:spacing w:line="276" w:lineRule="auto"/>
              <w:rPr>
                <w:lang w:val="en-US" w:eastAsia="zh-CN"/>
              </w:rPr>
            </w:pPr>
            <w:r w:rsidRPr="00E04B80">
              <w:rPr>
                <w:lang w:val="en-US" w:eastAsia="zh-CN"/>
              </w:rPr>
              <w:t>Huawei, HiSilicon</w:t>
            </w:r>
          </w:p>
        </w:tc>
        <w:tc>
          <w:tcPr>
            <w:tcW w:w="7224" w:type="dxa"/>
            <w:shd w:val="clear" w:color="auto" w:fill="auto"/>
          </w:tcPr>
          <w:p w:rsidR="00E64C1D" w:rsidRDefault="00E04B80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</w:t>
            </w:r>
            <w:r>
              <w:rPr>
                <w:lang w:val="en-US" w:eastAsia="zh-CN"/>
              </w:rPr>
              <w:t>uangyiru@huawei.com</w:t>
            </w:r>
          </w:p>
        </w:tc>
      </w:tr>
    </w:tbl>
    <w:p w:rsidR="00E64C1D" w:rsidRDefault="00E64C1D">
      <w:pPr>
        <w:pStyle w:val="EmailDiscussion2"/>
      </w:pPr>
    </w:p>
    <w:p w:rsidR="00E64C1D" w:rsidRDefault="00F2333E">
      <w:pPr>
        <w:pStyle w:val="1"/>
        <w:numPr>
          <w:ilvl w:val="0"/>
          <w:numId w:val="14"/>
        </w:numPr>
      </w:pPr>
      <w:r>
        <w:t>Discussion</w:t>
      </w:r>
    </w:p>
    <w:p w:rsidR="00E64C1D" w:rsidRDefault="00F2333E">
      <w:pPr>
        <w:pStyle w:val="21"/>
        <w:rPr>
          <w:lang w:val="en-US" w:eastAsia="zh-CN"/>
        </w:rPr>
      </w:pPr>
      <w:r>
        <w:t>2.1</w:t>
      </w:r>
      <w:r>
        <w:tab/>
        <w:t>Part 1: Intended to determine agreeable parts</w:t>
      </w:r>
      <w:r>
        <w:rPr>
          <w:rFonts w:hint="eastAsia"/>
          <w:lang w:val="en-US" w:eastAsia="zh-CN"/>
        </w:rPr>
        <w:t xml:space="preserve"> </w:t>
      </w:r>
    </w:p>
    <w:p w:rsidR="00E64C1D" w:rsidRDefault="00F2333E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:rsidR="00E64C1D" w:rsidRDefault="00F2333E">
      <w:pPr>
        <w:pStyle w:val="31"/>
        <w:numPr>
          <w:ilvl w:val="2"/>
          <w:numId w:val="14"/>
        </w:numPr>
        <w:rPr>
          <w:rFonts w:eastAsia="等线"/>
          <w:lang w:val="sv-SE" w:eastAsia="zh-CN"/>
        </w:rPr>
      </w:pPr>
      <w:r>
        <w:rPr>
          <w:rFonts w:eastAsia="等线" w:hint="eastAsia"/>
          <w:lang w:val="en-US" w:eastAsia="zh-CN"/>
        </w:rPr>
        <w:t xml:space="preserve"> </w:t>
      </w:r>
      <w:r>
        <w:rPr>
          <w:rFonts w:eastAsia="等线" w:hint="eastAsia"/>
          <w:lang w:val="sv-SE" w:eastAsia="zh-CN"/>
        </w:rPr>
        <w:t>Intra-band and Inter-band EN-DC Capability</w:t>
      </w:r>
    </w:p>
    <w:p w:rsidR="00E64C1D" w:rsidRDefault="00F82666">
      <w:pPr>
        <w:pStyle w:val="Doc-title"/>
        <w:rPr>
          <w:sz w:val="18"/>
          <w:szCs w:val="18"/>
        </w:rPr>
      </w:pPr>
      <w:hyperlink r:id="rId12" w:tooltip="D:Documents3GPPtsg_ranWG2TSGR2_113bis-eDocsR2-2104185.zip" w:history="1">
        <w:r w:rsidR="00F2333E">
          <w:rPr>
            <w:rStyle w:val="af9"/>
            <w:sz w:val="18"/>
            <w:szCs w:val="18"/>
          </w:rPr>
          <w:t>R2-2104185</w:t>
        </w:r>
      </w:hyperlink>
      <w:r w:rsidR="00F2333E">
        <w:rPr>
          <w:sz w:val="18"/>
          <w:szCs w:val="18"/>
        </w:rPr>
        <w:tab/>
        <w:t>Clarification on the Intra-band and Inter-band EN-DC Capabilities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discussion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NG_RAN_PRN-Core</w:t>
      </w:r>
      <w:r w:rsidR="00F2333E">
        <w:rPr>
          <w:sz w:val="18"/>
          <w:szCs w:val="18"/>
        </w:rPr>
        <w:tab/>
        <w:t>R2-2101562</w:t>
      </w:r>
    </w:p>
    <w:p w:rsidR="00E64C1D" w:rsidRDefault="00F82666">
      <w:pPr>
        <w:pStyle w:val="Doc-title"/>
        <w:rPr>
          <w:sz w:val="18"/>
          <w:szCs w:val="18"/>
        </w:rPr>
      </w:pPr>
      <w:hyperlink r:id="rId13" w:tooltip="D:Documents3GPPtsg_ranWG2TSGR2_113bis-eDocsR2-2104186.zip" w:history="1">
        <w:r w:rsidR="00F2333E">
          <w:rPr>
            <w:rStyle w:val="af9"/>
            <w:sz w:val="18"/>
            <w:szCs w:val="18"/>
          </w:rPr>
          <w:t>R2-2104186</w:t>
        </w:r>
      </w:hyperlink>
      <w:r w:rsidR="00F2333E">
        <w:rPr>
          <w:sz w:val="18"/>
          <w:szCs w:val="18"/>
        </w:rPr>
        <w:tab/>
        <w:t>CR on the Intra-band and Inter-band EN-DC Capabilities-R15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15.13.0</w:t>
      </w:r>
      <w:r w:rsidR="00F2333E">
        <w:rPr>
          <w:sz w:val="18"/>
          <w:szCs w:val="18"/>
        </w:rPr>
        <w:tab/>
        <w:t>0517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F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R2-2101563</w:t>
      </w:r>
    </w:p>
    <w:p w:rsidR="00E64C1D" w:rsidRDefault="00F82666">
      <w:pPr>
        <w:pStyle w:val="Doc-title"/>
        <w:rPr>
          <w:sz w:val="18"/>
          <w:szCs w:val="18"/>
        </w:rPr>
      </w:pPr>
      <w:hyperlink r:id="rId14" w:tooltip="D:Documents3GPPtsg_ranWG2TSGR2_113bis-eDocsR2-2104187.zip" w:history="1">
        <w:r w:rsidR="00F2333E">
          <w:rPr>
            <w:rStyle w:val="af9"/>
            <w:sz w:val="18"/>
            <w:szCs w:val="18"/>
          </w:rPr>
          <w:t>R2-2104187</w:t>
        </w:r>
      </w:hyperlink>
      <w:r w:rsidR="00F2333E">
        <w:rPr>
          <w:sz w:val="18"/>
          <w:szCs w:val="18"/>
        </w:rPr>
        <w:tab/>
        <w:t>CR on the Intra-band and Inter-band EN-DC Capabilities-R16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CR</w:t>
      </w:r>
      <w:r w:rsidR="00F2333E">
        <w:rPr>
          <w:sz w:val="18"/>
          <w:szCs w:val="18"/>
        </w:rPr>
        <w:tab/>
        <w:t>Rel-16</w:t>
      </w:r>
      <w:r w:rsidR="00F2333E">
        <w:rPr>
          <w:sz w:val="18"/>
          <w:szCs w:val="18"/>
        </w:rPr>
        <w:tab/>
        <w:t>38.306</w:t>
      </w:r>
      <w:r w:rsidR="00F2333E">
        <w:rPr>
          <w:sz w:val="18"/>
          <w:szCs w:val="18"/>
        </w:rPr>
        <w:tab/>
        <w:t>16.4.0</w:t>
      </w:r>
      <w:r w:rsidR="00F2333E">
        <w:rPr>
          <w:sz w:val="18"/>
          <w:szCs w:val="18"/>
        </w:rPr>
        <w:tab/>
        <w:t>0518</w:t>
      </w:r>
      <w:r w:rsidR="00F2333E">
        <w:rPr>
          <w:sz w:val="18"/>
          <w:szCs w:val="18"/>
        </w:rPr>
        <w:tab/>
        <w:t>1</w:t>
      </w:r>
      <w:r w:rsidR="00F2333E">
        <w:rPr>
          <w:sz w:val="18"/>
          <w:szCs w:val="18"/>
        </w:rPr>
        <w:tab/>
        <w:t>A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R2-2101564</w:t>
      </w:r>
    </w:p>
    <w:p w:rsidR="00E64C1D" w:rsidRDefault="00F82666">
      <w:pPr>
        <w:pStyle w:val="Doc-title"/>
        <w:rPr>
          <w:sz w:val="18"/>
          <w:szCs w:val="18"/>
        </w:rPr>
      </w:pPr>
      <w:hyperlink r:id="rId15" w:tooltip="D:Documents3GPPtsg_ranWG2TSGR2_113bis-eDocsR2-2104188.zip" w:history="1">
        <w:r w:rsidR="00F2333E">
          <w:rPr>
            <w:rStyle w:val="af9"/>
            <w:sz w:val="18"/>
            <w:szCs w:val="18"/>
          </w:rPr>
          <w:t>R2-2104188</w:t>
        </w:r>
      </w:hyperlink>
      <w:r w:rsidR="00F2333E">
        <w:rPr>
          <w:sz w:val="18"/>
          <w:szCs w:val="18"/>
        </w:rPr>
        <w:tab/>
        <w:t>Draft LS on the Intra-band and Inter-band EN-DC Capabilities</w:t>
      </w:r>
      <w:r w:rsidR="00F2333E">
        <w:rPr>
          <w:sz w:val="18"/>
          <w:szCs w:val="18"/>
        </w:rPr>
        <w:tab/>
        <w:t>ZTE Corporation, Sanechips</w:t>
      </w:r>
      <w:r w:rsidR="00F2333E">
        <w:rPr>
          <w:sz w:val="18"/>
          <w:szCs w:val="18"/>
        </w:rPr>
        <w:tab/>
        <w:t>LS out</w:t>
      </w:r>
      <w:r w:rsidR="00F2333E">
        <w:rPr>
          <w:sz w:val="18"/>
          <w:szCs w:val="18"/>
        </w:rPr>
        <w:tab/>
        <w:t>Rel-15</w:t>
      </w:r>
      <w:r w:rsidR="00F2333E">
        <w:rPr>
          <w:sz w:val="18"/>
          <w:szCs w:val="18"/>
        </w:rPr>
        <w:tab/>
        <w:t>NR_newRAT-Core</w:t>
      </w:r>
      <w:r w:rsidR="00F2333E">
        <w:rPr>
          <w:sz w:val="18"/>
          <w:szCs w:val="18"/>
        </w:rPr>
        <w:tab/>
        <w:t>R2-2101565</w:t>
      </w:r>
      <w:r w:rsidR="00F2333E">
        <w:rPr>
          <w:sz w:val="18"/>
          <w:szCs w:val="18"/>
        </w:rPr>
        <w:tab/>
        <w:t>To:RAN4</w:t>
      </w:r>
    </w:p>
    <w:p w:rsidR="00E64C1D" w:rsidRDefault="00E64C1D">
      <w:pPr>
        <w:pStyle w:val="Doc-text2"/>
        <w:ind w:left="0" w:firstLine="0"/>
        <w:rPr>
          <w:rFonts w:eastAsia="宋体"/>
          <w:lang w:val="en-US"/>
        </w:rPr>
      </w:pPr>
    </w:p>
    <w:p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eastAsia="MS Mincho" w:hAnsi="Arial" w:cs="Arial"/>
          <w:szCs w:val="24"/>
          <w:lang w:val="en-US" w:eastAsia="zh-CN"/>
        </w:rPr>
        <w:t xml:space="preserve">These 4 papers are on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. The intention was to clarify the related </w:t>
      </w:r>
      <w:r>
        <w:rPr>
          <w:rFonts w:ascii="Arial" w:eastAsia="MS Mincho" w:hAnsi="Arial" w:cs="Arial"/>
          <w:szCs w:val="24"/>
          <w:lang w:eastAsia="en-GB"/>
        </w:rPr>
        <w:t>(NG)EN-DC/NE-D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these capabilities. Before going to the detail of these capabilities, the proponent hope to give a clear clarification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 as below</w:t>
      </w:r>
      <w:r>
        <w:rPr>
          <w:rFonts w:ascii="Arial" w:eastAsia="MS Mincho" w:hAnsi="Arial" w:cs="Arial"/>
          <w:szCs w:val="24"/>
          <w:lang w:val="en-US" w:eastAsia="zh-CN"/>
        </w:rPr>
        <w:t xml:space="preserve"> 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. </w:t>
      </w:r>
    </w:p>
    <w:p w:rsidR="00E64C1D" w:rsidRDefault="00F2333E">
      <w:pPr>
        <w:jc w:val="both"/>
        <w:rPr>
          <w:rFonts w:ascii="Arial" w:hAnsi="Arial" w:cs="Arial"/>
          <w:i/>
          <w:lang w:val="en-US" w:eastAsia="zh-CN" w:bidi="ar"/>
        </w:rPr>
      </w:pPr>
      <w:r>
        <w:rPr>
          <w:rFonts w:ascii="Arial" w:hAnsi="Arial" w:cs="Arial" w:hint="eastAsia"/>
          <w:bCs/>
          <w:iCs/>
          <w:szCs w:val="21"/>
          <w:lang w:val="en-US" w:eastAsia="zh-CN"/>
        </w:rPr>
        <w:lastRenderedPageBreak/>
        <w:t xml:space="preserve">In the last meeting, companies have achieved some consensus on the terminologies for the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types in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 xml:space="preserve"> [1]</w:t>
      </w:r>
      <w:r>
        <w:rPr>
          <w:rFonts w:ascii="Arial" w:hAnsi="Arial" w:cs="Arial" w:hint="eastAsia"/>
          <w:bCs/>
          <w:iCs/>
          <w:lang w:val="en-US" w:eastAsia="zh-CN"/>
        </w:rPr>
        <w:t xml:space="preserve">. However, it was only reflected in the field description of the </w:t>
      </w:r>
      <w:r>
        <w:rPr>
          <w:rFonts w:ascii="Arial" w:hAnsi="Arial" w:cs="Arial"/>
          <w:i/>
          <w:lang w:val="en-US" w:bidi="ar"/>
        </w:rPr>
        <w:t>supportedBandwidthCombinationSetIntraENDC</w:t>
      </w:r>
      <w:r>
        <w:rPr>
          <w:rFonts w:ascii="Arial" w:hAnsi="Arial" w:cs="Arial" w:hint="eastAsia"/>
          <w:i/>
          <w:lang w:val="en-US" w:eastAsia="zh-CN" w:bidi="ar"/>
        </w:rPr>
        <w:t>. E.g.</w:t>
      </w:r>
    </w:p>
    <w:p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1: I</w:t>
      </w:r>
      <w:r>
        <w:rPr>
          <w:rFonts w:ascii="Arial" w:hAnsi="Arial" w:cs="Arial"/>
          <w:iCs/>
          <w:sz w:val="18"/>
          <w:szCs w:val="18"/>
        </w:rPr>
        <w:t>ntra-band (NG)EN-DC/NE-DC combination without additional in</w:t>
      </w:r>
      <w:r>
        <w:rPr>
          <w:rFonts w:ascii="Arial" w:hAnsi="Arial" w:cs="Arial"/>
          <w:sz w:val="18"/>
          <w:szCs w:val="18"/>
        </w:rPr>
        <w:t xml:space="preserve">ter-band NR and LTE CA component, e.g. DC </w:t>
      </w:r>
      <w:r>
        <w:rPr>
          <w:rFonts w:ascii="Arial" w:hAnsi="Arial" w:cs="Arial"/>
          <w:b/>
          <w:bCs/>
          <w:sz w:val="18"/>
          <w:szCs w:val="18"/>
        </w:rPr>
        <w:t xml:space="preserve">41A_n41A </w:t>
      </w:r>
    </w:p>
    <w:p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2: I</w:t>
      </w:r>
      <w:r>
        <w:rPr>
          <w:rFonts w:ascii="Arial" w:hAnsi="Arial" w:cs="Arial"/>
          <w:iCs/>
          <w:sz w:val="18"/>
          <w:szCs w:val="18"/>
        </w:rPr>
        <w:t xml:space="preserve">ntra-band (NG)EN-DC/NE-DC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supporting both UL and DL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A_n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E64C1D" w:rsidRDefault="00F2333E">
      <w:pPr>
        <w:numPr>
          <w:ilvl w:val="0"/>
          <w:numId w:val="15"/>
        </w:numP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E64C1D" w:rsidRDefault="00F2333E">
      <w:pPr>
        <w:pStyle w:val="TAL"/>
        <w:numPr>
          <w:ilvl w:val="0"/>
          <w:numId w:val="15"/>
        </w:numPr>
        <w:jc w:val="both"/>
        <w:rPr>
          <w:rFonts w:cs="Arial"/>
          <w:b/>
          <w:bCs/>
          <w:i/>
          <w:iCs/>
          <w:szCs w:val="18"/>
          <w:lang w:val="en-US"/>
        </w:rPr>
      </w:pPr>
      <w:r>
        <w:rPr>
          <w:rFonts w:cs="Arial"/>
          <w:bCs/>
          <w:iCs/>
          <w:szCs w:val="18"/>
          <w:lang w:val="en-US"/>
        </w:rPr>
        <w:t>Type 4: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 without Intra-band component, in short we call it as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combination.</w:t>
      </w:r>
    </w:p>
    <w:p w:rsidR="00E64C1D" w:rsidRDefault="00E64C1D">
      <w:pPr>
        <w:pStyle w:val="TAL"/>
        <w:jc w:val="both"/>
        <w:rPr>
          <w:b/>
          <w:bCs/>
          <w:i/>
          <w:iCs/>
          <w:szCs w:val="21"/>
          <w:lang w:val="en-US"/>
        </w:rPr>
      </w:pPr>
    </w:p>
    <w:p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hAnsi="Arial" w:cs="Arial" w:hint="eastAsia"/>
          <w:iCs/>
          <w:lang w:val="en-US" w:eastAsia="zh-CN" w:bidi="ar"/>
        </w:rPr>
        <w:t>Obviously, these</w:t>
      </w:r>
      <w:r>
        <w:rPr>
          <w:rFonts w:ascii="Arial" w:hAnsi="Arial" w:cs="Arial" w:hint="eastAsia"/>
          <w:i/>
          <w:lang w:val="en-US" w:eastAsia="zh-CN" w:bidi="ar"/>
        </w:rPr>
        <w:t xml:space="preserve"> </w:t>
      </w:r>
      <w:r>
        <w:rPr>
          <w:rFonts w:ascii="Arial" w:hAnsi="Arial" w:cs="Arial" w:hint="eastAsia"/>
          <w:iCs/>
          <w:lang w:val="en-US" w:eastAsia="zh-CN" w:bidi="ar"/>
        </w:rPr>
        <w:t xml:space="preserve">terminologies shall be used consistently among all of the related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capabilities. Before extending these terminologies to the field description of other capabilities, it</w:t>
      </w:r>
      <w:r>
        <w:rPr>
          <w:rFonts w:ascii="Arial" w:hAnsi="Arial" w:cs="Arial"/>
          <w:bCs/>
          <w:iCs/>
          <w:lang w:val="en-US" w:eastAsia="zh-CN"/>
        </w:rPr>
        <w:t>’</w:t>
      </w:r>
      <w:r>
        <w:rPr>
          <w:rFonts w:ascii="Arial" w:hAnsi="Arial" w:cs="Arial" w:hint="eastAsia"/>
          <w:bCs/>
          <w:iCs/>
          <w:lang w:val="en-US" w:eastAsia="zh-CN"/>
        </w:rPr>
        <w:t xml:space="preserve">s better to give a clear 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definition (as the proposal 1 below) </w:t>
      </w:r>
      <w:r>
        <w:rPr>
          <w:rFonts w:ascii="Arial" w:hAnsi="Arial" w:cs="Arial" w:hint="eastAsia"/>
          <w:bCs/>
          <w:iCs/>
          <w:lang w:val="en-US" w:eastAsia="zh-CN"/>
        </w:rPr>
        <w:t>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 either in the chairman note or in the spec, which would be helpful for the readers who didn</w:t>
      </w:r>
      <w:r>
        <w:rPr>
          <w:rFonts w:ascii="Arial" w:hAnsi="Arial" w:cs="Arial"/>
          <w:bCs/>
          <w:iCs/>
          <w:szCs w:val="21"/>
          <w:lang w:val="en-US" w:eastAsia="zh-CN"/>
        </w:rPr>
        <w:t>’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t attend the post email discussion of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>.</w:t>
      </w:r>
    </w:p>
    <w:p w:rsidR="00E64C1D" w:rsidRDefault="00E64C1D">
      <w:pPr>
        <w:pStyle w:val="Doc-text2"/>
        <w:rPr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Q1: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proposal 1 in [2]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</w:p>
    <w:p w:rsidR="00E64C1D" w:rsidRDefault="00F2333E">
      <w:pPr>
        <w:rPr>
          <w:b/>
          <w:iCs/>
        </w:rPr>
      </w:pPr>
      <w:r>
        <w:rPr>
          <w:rFonts w:hint="eastAsia"/>
          <w:b/>
          <w:iCs/>
        </w:rPr>
        <w:t xml:space="preserve">Proposal 1: Ran2 confirm that the </w:t>
      </w:r>
      <w:r>
        <w:rPr>
          <w:b/>
          <w:iCs/>
        </w:rPr>
        <w:t>intra-band (NG)EN-DC/NE-DC</w:t>
      </w:r>
      <w:r>
        <w:rPr>
          <w:rFonts w:hint="eastAsia"/>
          <w:b/>
          <w:iCs/>
        </w:rPr>
        <w:t xml:space="preserve"> combination (with or without </w:t>
      </w:r>
      <w:r>
        <w:rPr>
          <w:b/>
          <w:iCs/>
        </w:rPr>
        <w:t>additional in</w:t>
      </w:r>
      <w:r>
        <w:rPr>
          <w:rFonts w:hint="eastAsia"/>
          <w:b/>
          <w:szCs w:val="21"/>
        </w:rPr>
        <w:t xml:space="preserve">ter-band NR/LTE CA component) in 38306 means </w:t>
      </w:r>
      <w:r>
        <w:rPr>
          <w:rFonts w:hint="eastAsia"/>
          <w:b/>
        </w:rPr>
        <w:t xml:space="preserve">the </w:t>
      </w:r>
      <w:r>
        <w:rPr>
          <w:rFonts w:hint="eastAsia"/>
          <w:b/>
          <w:szCs w:val="21"/>
        </w:rPr>
        <w:t>(NG)EN-DC/NE-DC band combinations that have the same band component at NR and Eutra side (</w:t>
      </w:r>
      <w:r>
        <w:rPr>
          <w:rFonts w:hint="eastAsia"/>
          <w:b/>
          <w:color w:val="FF0000"/>
          <w:szCs w:val="21"/>
        </w:rPr>
        <w:t>irrespective of SPcell or Scell</w:t>
      </w:r>
      <w:r>
        <w:rPr>
          <w:rFonts w:hint="eastAsia"/>
          <w:b/>
          <w:szCs w:val="21"/>
        </w:rPr>
        <w:t>), for other cases, it would be defined as inter-band (NG)EN-DC/NE-DC combination.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20"/>
        <w:gridCol w:w="1784"/>
        <w:gridCol w:w="1811"/>
        <w:gridCol w:w="4814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Include in the spec or chairman note?</w:t>
            </w:r>
          </w:p>
        </w:tc>
        <w:tc>
          <w:tcPr>
            <w:tcW w:w="5562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061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985" w:type="dxa"/>
          </w:tcPr>
          <w:p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Spec or chairman note</w:t>
            </w:r>
          </w:p>
        </w:tc>
        <w:tc>
          <w:tcPr>
            <w:tcW w:w="5562" w:type="dxa"/>
          </w:tcPr>
          <w:p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Normally when we say intra-band EN-DC, the pcell and P</w:t>
            </w:r>
            <w:r w:rsidR="00B96D79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cell were considered. </w:t>
            </w:r>
          </w:p>
          <w:p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However,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according to the current spec, for the intra-band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(NG)EN-DC/NE-DC band combinations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 xml:space="preserve"> with the inter-band component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it could be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scell of the MCG and the PScell sharing the same band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e.g. type 3 BC as above 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A_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),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it could also be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pcell and scell of the SCG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sharing the same band 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.</w:t>
            </w:r>
          </w:p>
          <w:p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Thus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we need this clarification for the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intra-band (NG)EN-DC/NE-DC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combination (with or without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additional in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ter-band NR/LTE CA component),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which would be helpful for the readers who didn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t attend the post email discussion of [Post113-e][009][NR15] EN-DC BCS (Nokia).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061" w:type="dxa"/>
            <w:vAlign w:val="center"/>
          </w:tcPr>
          <w:p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1985" w:type="dxa"/>
          </w:tcPr>
          <w:p w:rsidR="00E64C1D" w:rsidRDefault="005D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</w:t>
            </w:r>
            <w:r w:rsidR="0058022A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hairman note</w:t>
            </w:r>
          </w:p>
        </w:tc>
        <w:tc>
          <w:tcPr>
            <w:tcW w:w="5562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5562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lang w:val="sv-SE" w:eastAsia="zh-CN"/>
        </w:rPr>
      </w:pPr>
    </w:p>
    <w:p w:rsidR="00E64C1D" w:rsidRDefault="00F2333E">
      <w:pPr>
        <w:rPr>
          <w:rFonts w:ascii="Arial" w:eastAsia="MS Mincho" w:hAnsi="Arial" w:cs="Arial"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lastRenderedPageBreak/>
        <w:t xml:space="preserve">In the following questions, the </w:t>
      </w:r>
      <w:r>
        <w:rPr>
          <w:rFonts w:ascii="Arial" w:eastAsia="MS Mincho" w:hAnsi="Arial" w:cs="Arial"/>
          <w:szCs w:val="24"/>
          <w:lang w:val="en-US" w:eastAsia="zh-CN"/>
        </w:rPr>
        <w:t xml:space="preserve">related </w:t>
      </w:r>
      <w:r>
        <w:rPr>
          <w:rFonts w:ascii="Arial" w:eastAsia="MS Mincho" w:hAnsi="Arial" w:cs="Arial"/>
          <w:szCs w:val="24"/>
          <w:lang w:eastAsia="en-GB"/>
        </w:rPr>
        <w:t>(NG)EN-DC/NE-D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would be </w:t>
      </w:r>
      <w:r>
        <w:rPr>
          <w:rFonts w:ascii="Arial" w:eastAsia="MS Mincho" w:hAnsi="Arial" w:cs="Arial"/>
          <w:szCs w:val="24"/>
          <w:lang w:val="en-US" w:eastAsia="zh-CN"/>
        </w:rPr>
        <w:t xml:space="preserve">discussed. For discussion convenience, the below 5 BC types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were </w:t>
      </w:r>
      <w:r>
        <w:rPr>
          <w:rFonts w:ascii="Arial" w:eastAsia="MS Mincho" w:hAnsi="Arial" w:cs="Arial"/>
          <w:szCs w:val="24"/>
          <w:lang w:val="en-US" w:eastAsia="zh-CN"/>
        </w:rPr>
        <w:t>defined</w:t>
      </w:r>
      <w:r>
        <w:rPr>
          <w:rFonts w:ascii="Arial" w:eastAsia="MS Mincho" w:hAnsi="Arial" w:cs="Arial" w:hint="eastAsia"/>
          <w:szCs w:val="24"/>
          <w:lang w:val="en-US" w:eastAsia="zh-CN"/>
        </w:rPr>
        <w:t>.</w:t>
      </w:r>
    </w:p>
    <w:p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 xml:space="preserve">e.g.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:rsidR="00E64C1D" w:rsidRDefault="00F2333E">
      <w:pPr>
        <w:numPr>
          <w:ilvl w:val="0"/>
          <w:numId w:val="15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E64C1D" w:rsidRDefault="00F2333E">
      <w:pPr>
        <w:pStyle w:val="TAL"/>
        <w:numPr>
          <w:ilvl w:val="0"/>
          <w:numId w:val="15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ul-TimingAlignmentEUTRA-NR/dualPA-Architecture/pa-PhaseDiscontinuityImpact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ul-TimingAlignmentEUTRA-NR</w:t>
            </w:r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dualPA-Architecture</w:t>
            </w:r>
          </w:p>
          <w:p w:rsidR="00E64C1D" w:rsidRDefault="00F2333E">
            <w:pPr>
              <w:pStyle w:val="TAL"/>
              <w:rPr>
                <w:b/>
                <w:i/>
              </w:rPr>
            </w:pPr>
            <w:r>
              <w:rPr>
                <w:lang w:val="en-US"/>
              </w:rPr>
              <w:t xml:space="preserve">For an intra-band band combination, this field indicates the support of dual PAs. If absent in an intra-band band combination, the UE supports single PA for all the ULs in the intra-band band combination. </w:t>
            </w:r>
            <w:r>
              <w:t>For other band combinations, this field is not applicable.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>
        <w:trPr>
          <w:cantSplit/>
          <w:trHeight w:val="1338"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pa-PhaseDiscontinuityImpacts</w:t>
            </w:r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E64C1D" w:rsidRDefault="00E64C1D">
      <w:pPr>
        <w:rPr>
          <w:b/>
          <w:bCs/>
          <w:szCs w:val="21"/>
          <w:lang w:val="en-US"/>
        </w:rPr>
      </w:pPr>
    </w:p>
    <w:p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2 as below in [2]?</w:t>
      </w:r>
    </w:p>
    <w:p w:rsidR="00E64C1D" w:rsidRDefault="00F2333E">
      <w:pPr>
        <w:pStyle w:val="TAL"/>
        <w:rPr>
          <w:rFonts w:ascii="Times New Roman" w:hAnsi="Times New Roman"/>
          <w:b/>
          <w:i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2: The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ul-TimingAlignmentEUTRA-NR/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ul-dualPA-Architecture/ pa-PhaseDiscontinuityImpacts 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 xml:space="preserve">is for the Type 1/2 BC, and not for the Type </w:t>
      </w:r>
      <w:r>
        <w:rPr>
          <w:rFonts w:ascii="Times New Roman" w:hAnsi="Times New Roman" w:hint="eastAsia"/>
          <w:b/>
          <w:iCs/>
          <w:sz w:val="21"/>
          <w:szCs w:val="21"/>
          <w:lang w:val="en-US"/>
        </w:rPr>
        <w:t>3/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>4 BC.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:rsidR="00E64C1D" w:rsidRPr="0058022A" w:rsidRDefault="00E64C1D">
            <w:pPr>
              <w:rPr>
                <w:rFonts w:ascii="Arial" w:eastAsiaTheme="minorEastAsia" w:hAnsi="Arial" w:cs="Arial" w:hint="eastAsia"/>
                <w:lang w:eastAsia="zh-CN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Pr="0058022A" w:rsidRDefault="0058022A" w:rsidP="0058022A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intention/modification on these 3 capabilities in the CRs [3][4]?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12"/>
        <w:gridCol w:w="1784"/>
        <w:gridCol w:w="1784"/>
        <w:gridCol w:w="4849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31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236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061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311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236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061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</w:tcPr>
          <w:p w:rsidR="00E64C1D" w:rsidRPr="0058022A" w:rsidRDefault="0058022A" w:rsidP="0058022A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Prefer to </w:t>
            </w:r>
            <w:r>
              <w:rPr>
                <w:rFonts w:ascii="Arial" w:eastAsiaTheme="minorEastAsia" w:hAnsi="Arial" w:cs="Arial"/>
                <w:lang w:eastAsia="zh-CN"/>
              </w:rPr>
              <w:t>first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wait for RAN4 confirmation.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 w:eastAsia="zh-CN"/>
        </w:rPr>
      </w:pPr>
    </w:p>
    <w:p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3 as below in [2]?</w:t>
      </w:r>
    </w:p>
    <w:p w:rsidR="00E64C1D" w:rsidRDefault="00F2333E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3: Confirm with Ran 4 whether the </w:t>
      </w:r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ul-TimingAlignmentEUTRA-NR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ul-dualPA-Architecture/ pa-PhaseDiscontinuityImpacts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shall be adopted for the Type 5 BC.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:rsidTr="0058022A">
        <w:tc>
          <w:tcPr>
            <w:tcW w:w="123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:rsidTr="0058022A">
        <w:tc>
          <w:tcPr>
            <w:tcW w:w="1237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:rsidR="0058022A" w:rsidRPr="0058022A" w:rsidRDefault="0058022A" w:rsidP="0058022A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Seems ok but it should be confirmed by RAN4 first.</w:t>
            </w:r>
          </w:p>
        </w:tc>
      </w:tr>
      <w:tr w:rsidR="0058022A" w:rsidTr="0058022A">
        <w:tc>
          <w:tcPr>
            <w:tcW w:w="1237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:rsidR="0058022A" w:rsidRDefault="0058022A" w:rsidP="0058022A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asyncIntraBandENDC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</w:rPr>
            </w:pPr>
            <w:r>
              <w:rPr>
                <w:rFonts w:hint="eastAsia"/>
                <w:b/>
                <w:i/>
                <w:lang w:val="en-US"/>
              </w:rPr>
              <w:t>asyncIntraBandENDC</w:t>
            </w:r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is not supported, the UE supports only 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t>FR1 only</w:t>
            </w: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rPr>
          <w:b/>
          <w:bCs/>
          <w:szCs w:val="21"/>
          <w:lang w:val="en-US" w:eastAsia="zh-CN"/>
        </w:rPr>
      </w:pPr>
      <w:r>
        <w:rPr>
          <w:b/>
          <w:bCs/>
          <w:szCs w:val="21"/>
          <w:lang w:val="en-US"/>
        </w:rPr>
        <w:t>Q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  <w:lang w:val="en-US"/>
        </w:rPr>
        <w:t>: Do companies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  <w:lang w:val="en-US"/>
        </w:rPr>
        <w:t>agree</w:t>
      </w:r>
      <w:r>
        <w:rPr>
          <w:rFonts w:hint="eastAsia"/>
          <w:b/>
          <w:bCs/>
          <w:szCs w:val="21"/>
          <w:lang w:val="en-US" w:eastAsia="zh-CN"/>
        </w:rPr>
        <w:t xml:space="preserve"> that the</w:t>
      </w:r>
      <w:r>
        <w:rPr>
          <w:rFonts w:eastAsia="MS Mincho"/>
          <w:b/>
          <w:bCs/>
          <w:szCs w:val="21"/>
        </w:rPr>
        <w:t xml:space="preserve"> </w:t>
      </w:r>
      <w:r>
        <w:rPr>
          <w:rFonts w:eastAsia="MS Mincho"/>
          <w:b/>
          <w:bCs/>
          <w:i/>
          <w:iCs/>
          <w:szCs w:val="21"/>
        </w:rPr>
        <w:t>asyncIntraBandENDC</w:t>
      </w:r>
      <w:r>
        <w:rPr>
          <w:rFonts w:eastAsia="MS Mincho"/>
          <w:b/>
          <w:bCs/>
          <w:szCs w:val="21"/>
        </w:rPr>
        <w:t xml:space="preserve"> is </w:t>
      </w:r>
      <w:r>
        <w:rPr>
          <w:rFonts w:hint="eastAsia"/>
          <w:b/>
          <w:bCs/>
          <w:szCs w:val="21"/>
          <w:lang w:val="en-US" w:eastAsia="zh-CN"/>
        </w:rPr>
        <w:t xml:space="preserve">only </w:t>
      </w:r>
      <w:r>
        <w:rPr>
          <w:rFonts w:eastAsia="MS Mincho"/>
          <w:b/>
          <w:bCs/>
          <w:szCs w:val="21"/>
        </w:rPr>
        <w:t>for Type 1/2 BC</w:t>
      </w:r>
      <w:r>
        <w:rPr>
          <w:rFonts w:hint="eastAsia"/>
          <w:b/>
          <w:bCs/>
          <w:szCs w:val="21"/>
          <w:lang w:val="en-US" w:eastAsia="zh-CN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:rsidTr="0058022A">
        <w:tc>
          <w:tcPr>
            <w:tcW w:w="123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:rsidTr="0058022A">
        <w:tc>
          <w:tcPr>
            <w:tcW w:w="123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58022A" w:rsidTr="0058022A">
        <w:tc>
          <w:tcPr>
            <w:tcW w:w="1237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:rsidR="0058022A" w:rsidRPr="0058022A" w:rsidRDefault="0058022A" w:rsidP="0058022A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understand </w:t>
            </w:r>
            <w:r w:rsidRPr="0058022A">
              <w:rPr>
                <w:rFonts w:ascii="Arial" w:eastAsiaTheme="minorEastAsia" w:hAnsi="Arial" w:cs="Arial"/>
                <w:lang w:eastAsia="zh-CN"/>
              </w:rPr>
              <w:t>Type 3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can also be applied for </w:t>
            </w:r>
            <w:r w:rsidRPr="0058022A">
              <w:rPr>
                <w:rFonts w:ascii="Arial" w:eastAsiaTheme="minorEastAsia" w:hAnsi="Arial" w:cs="Arial"/>
                <w:i/>
                <w:lang w:eastAsia="zh-CN"/>
              </w:rPr>
              <w:t>asyncIntraBandENDC</w:t>
            </w:r>
            <w:r>
              <w:rPr>
                <w:rFonts w:ascii="Arial" w:eastAsiaTheme="minorEastAsia" w:hAnsi="Arial" w:cs="Arial"/>
                <w:lang w:eastAsia="zh-CN"/>
              </w:rPr>
              <w:t>, but it should be confirmed by RAN4 first.</w:t>
            </w:r>
          </w:p>
        </w:tc>
      </w:tr>
      <w:tr w:rsidR="0058022A" w:rsidTr="0058022A">
        <w:tc>
          <w:tcPr>
            <w:tcW w:w="1237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58022A" w:rsidRDefault="0058022A" w:rsidP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:rsidR="0058022A" w:rsidRDefault="0058022A" w:rsidP="0058022A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modification on this capability in the CRs [3][4]?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6"/>
        <w:gridCol w:w="1784"/>
        <w:gridCol w:w="6609"/>
      </w:tblGrid>
      <w:tr w:rsidR="00E64C1D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892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505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892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>
        <w:tc>
          <w:tcPr>
            <w:tcW w:w="1242" w:type="dxa"/>
            <w:vAlign w:val="center"/>
          </w:tcPr>
          <w:p w:rsidR="00E64C1D" w:rsidRDefault="0058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505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</w:tcPr>
          <w:p w:rsidR="00E64C1D" w:rsidRDefault="0058022A">
            <w:pPr>
              <w:rPr>
                <w:rFonts w:ascii="Arial" w:hAnsi="Arial" w:cs="Arial"/>
              </w:rPr>
            </w:pPr>
            <w:r w:rsidRPr="0058022A">
              <w:rPr>
                <w:rFonts w:ascii="Arial" w:hAnsi="Arial" w:cs="Arial"/>
              </w:rPr>
              <w:t>Prefer to first wait for RAN4 confirmation.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simultaneousRxTxInterBandENDC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simultaneousRxTxInterBandENDC</w:t>
            </w:r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bCs/>
                <w:iCs/>
                <w:lang w:val="en-US"/>
              </w:rPr>
              <w:t>EN-DC/NE-DC. It is mandatory for certain TDD-FDD and TDD-TDD band combinations defined in TS 38.101-3 [4].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/>
        </w:rPr>
        <w:t>agree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that the </w:t>
      </w:r>
      <w:r>
        <w:rPr>
          <w:rFonts w:eastAsiaTheme="minorEastAsia"/>
          <w:b/>
          <w:sz w:val="22"/>
          <w:szCs w:val="22"/>
          <w:lang w:val="en-US"/>
        </w:rPr>
        <w:t>s</w:t>
      </w:r>
      <w:r>
        <w:rPr>
          <w:rFonts w:eastAsiaTheme="minorEastAsia"/>
          <w:b/>
          <w:i/>
          <w:iCs/>
          <w:sz w:val="22"/>
          <w:szCs w:val="22"/>
          <w:lang w:val="en-US"/>
        </w:rPr>
        <w:t>imultaneousRxTxInterBandENDC</w:t>
      </w:r>
      <w:r>
        <w:rPr>
          <w:rFonts w:eastAsiaTheme="minorEastAsia"/>
          <w:b/>
          <w:sz w:val="22"/>
          <w:szCs w:val="22"/>
          <w:lang w:val="en-US"/>
        </w:rPr>
        <w:t xml:space="preserve"> is for Type 2/3/4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(not for type 1)?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 w:rsidTr="00E036C0">
        <w:tc>
          <w:tcPr>
            <w:tcW w:w="123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608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:rsidTr="00E036C0">
        <w:tc>
          <w:tcPr>
            <w:tcW w:w="123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608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:rsidTr="00E036C0">
        <w:tc>
          <w:tcPr>
            <w:tcW w:w="1237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:rsidR="00E036C0" w:rsidRPr="0058022A" w:rsidRDefault="00E036C0" w:rsidP="00E036C0">
            <w:pPr>
              <w:rPr>
                <w:rFonts w:ascii="Arial" w:eastAsiaTheme="minorEastAsia" w:hAnsi="Arial" w:cs="Arial" w:hint="eastAsia"/>
                <w:lang w:eastAsia="zh-CN"/>
              </w:rPr>
            </w:pPr>
            <w:r w:rsidRPr="00E036C0">
              <w:rPr>
                <w:rFonts w:ascii="Arial" w:hAnsi="Arial" w:cs="Arial"/>
              </w:rPr>
              <w:t>Seems ok but it should be confirmed by RAN4 first.</w:t>
            </w:r>
          </w:p>
        </w:tc>
      </w:tr>
      <w:tr w:rsidR="00E036C0" w:rsidTr="00E036C0">
        <w:tc>
          <w:tcPr>
            <w:tcW w:w="1237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8" w:type="dxa"/>
          </w:tcPr>
          <w:p w:rsidR="00E036C0" w:rsidRDefault="00E036C0" w:rsidP="00E036C0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 modification on this capability in the CRs [3][4]?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14"/>
        <w:gridCol w:w="1784"/>
        <w:gridCol w:w="1784"/>
        <w:gridCol w:w="4847"/>
      </w:tblGrid>
      <w:tr w:rsidR="00E64C1D" w:rsidTr="00E036C0">
        <w:tc>
          <w:tcPr>
            <w:tcW w:w="1214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784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4847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 w:rsidTr="00E036C0">
        <w:tc>
          <w:tcPr>
            <w:tcW w:w="1214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784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4847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E036C0" w:rsidTr="00E036C0">
        <w:tc>
          <w:tcPr>
            <w:tcW w:w="1214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84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:rsidR="00E036C0" w:rsidRDefault="00E036C0" w:rsidP="00E036C0">
            <w:pPr>
              <w:rPr>
                <w:rFonts w:ascii="Arial" w:hAnsi="Arial" w:cs="Arial"/>
              </w:rPr>
            </w:pPr>
          </w:p>
        </w:tc>
        <w:tc>
          <w:tcPr>
            <w:tcW w:w="4847" w:type="dxa"/>
          </w:tcPr>
          <w:p w:rsidR="00E036C0" w:rsidRPr="0058022A" w:rsidRDefault="00E036C0" w:rsidP="00E036C0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Prefer to </w:t>
            </w:r>
            <w:r>
              <w:rPr>
                <w:rFonts w:ascii="Arial" w:eastAsiaTheme="minorEastAsia" w:hAnsi="Arial" w:cs="Arial"/>
                <w:lang w:eastAsia="zh-CN"/>
              </w:rPr>
              <w:t>first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wait for RAN4 confirmation.</w:t>
            </w:r>
          </w:p>
        </w:tc>
      </w:tr>
      <w:tr w:rsidR="00E036C0" w:rsidTr="00E036C0">
        <w:tc>
          <w:tcPr>
            <w:tcW w:w="1214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036C0" w:rsidRDefault="00E036C0" w:rsidP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 w:rsidR="00E036C0" w:rsidRDefault="00E036C0" w:rsidP="00E036C0">
            <w:pPr>
              <w:rPr>
                <w:rFonts w:ascii="Arial" w:hAnsi="Arial" w:cs="Arial"/>
              </w:rPr>
            </w:pPr>
          </w:p>
        </w:tc>
        <w:tc>
          <w:tcPr>
            <w:tcW w:w="4847" w:type="dxa"/>
          </w:tcPr>
          <w:p w:rsidR="00E036C0" w:rsidRDefault="00E036C0" w:rsidP="00E036C0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:rsidR="00E64C1D" w:rsidRDefault="00F2333E">
      <w:pPr>
        <w:pStyle w:val="TAL"/>
        <w:rPr>
          <w:rFonts w:ascii="Times New Roman" w:eastAsiaTheme="minorEastAsia" w:hAnsi="Times New Roman"/>
          <w:b/>
          <w:bCs/>
          <w:sz w:val="20"/>
          <w:szCs w:val="21"/>
          <w:lang w:val="en-US"/>
        </w:rPr>
      </w:pP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Q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6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: Do companies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agree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to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 xml:space="preserve"> send a LS to RAN4 to confirm whether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the </w:t>
      </w:r>
      <w:r>
        <w:rPr>
          <w:rFonts w:ascii="Times New Roman" w:eastAsiaTheme="minorEastAsia" w:hAnsi="Times New Roman"/>
          <w:b/>
          <w:i/>
          <w:iCs/>
          <w:sz w:val="22"/>
          <w:szCs w:val="22"/>
          <w:lang w:val="en-US" w:eastAsia="ja-JP"/>
        </w:rPr>
        <w:t>simultaneousRxTxInterBandENDC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>is needed also for the type 5 BC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342" w:type="dxa"/>
            <w:vAlign w:val="center"/>
          </w:tcPr>
          <w:p w:rsidR="00E64C1D" w:rsidRDefault="00E03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7091" w:type="dxa"/>
          </w:tcPr>
          <w:p w:rsidR="00E64C1D" w:rsidRPr="00E036C0" w:rsidRDefault="00E036C0" w:rsidP="005B736C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</w:t>
            </w:r>
            <w:r w:rsidR="005B736C">
              <w:rPr>
                <w:rFonts w:ascii="Arial" w:eastAsiaTheme="minorEastAsia" w:hAnsi="Arial" w:cs="Arial"/>
                <w:lang w:eastAsia="zh-CN"/>
              </w:rPr>
              <w:t>prefer to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send LS to RAN4 to let them 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confirm the </w:t>
            </w:r>
            <w:r w:rsidR="00316B02">
              <w:rPr>
                <w:rFonts w:ascii="Arial" w:eastAsiaTheme="minorEastAsia" w:hAnsi="Arial" w:cs="Arial"/>
                <w:lang w:eastAsia="zh-CN"/>
              </w:rPr>
              <w:t>correct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BC type</w:t>
            </w:r>
            <w:r w:rsidR="00E74881">
              <w:rPr>
                <w:rFonts w:ascii="Arial" w:eastAsiaTheme="minorEastAsia" w:hAnsi="Arial" w:cs="Arial"/>
                <w:lang w:eastAsia="zh-CN"/>
              </w:rPr>
              <w:t>(s)</w:t>
            </w:r>
            <w:r w:rsidR="005B736C">
              <w:rPr>
                <w:rFonts w:ascii="Arial" w:eastAsiaTheme="minorEastAsia" w:hAnsi="Arial" w:cs="Arial"/>
                <w:lang w:eastAsia="zh-CN"/>
              </w:rPr>
              <w:t xml:space="preserve"> for all the </w:t>
            </w:r>
            <w:r w:rsidR="00E74881">
              <w:rPr>
                <w:rFonts w:ascii="Arial" w:eastAsiaTheme="minorEastAsia" w:hAnsi="Arial" w:cs="Arial"/>
                <w:lang w:eastAsia="zh-CN"/>
              </w:rPr>
              <w:t xml:space="preserve">capability </w:t>
            </w:r>
            <w:r w:rsidR="005B736C">
              <w:rPr>
                <w:rFonts w:ascii="Arial" w:eastAsiaTheme="minorEastAsia" w:hAnsi="Arial" w:cs="Arial"/>
                <w:lang w:eastAsia="zh-CN"/>
              </w:rPr>
              <w:t>parameters listed, then RAN2 to decide what clarification should be captured.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</w:tbl>
    <w:p w:rsidR="00E64C1D" w:rsidRPr="00E036C0" w:rsidRDefault="00E64C1D">
      <w:pPr>
        <w:pStyle w:val="Doc-text2"/>
        <w:rPr>
          <w:lang w:val="en-US"/>
        </w:rPr>
      </w:pPr>
    </w:p>
    <w:p w:rsidR="00E64C1D" w:rsidRPr="00E036C0" w:rsidRDefault="00E64C1D">
      <w:pPr>
        <w:pStyle w:val="Doc-text2"/>
        <w:rPr>
          <w:lang w:val="en-US"/>
        </w:rPr>
      </w:pPr>
    </w:p>
    <w:p w:rsidR="00E64C1D" w:rsidRDefault="00F2333E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2.1.2 Cross-Carrier Operation</w:t>
      </w:r>
    </w:p>
    <w:p w:rsidR="00E64C1D" w:rsidRDefault="00F82666">
      <w:pPr>
        <w:pStyle w:val="Doc-title"/>
      </w:pPr>
      <w:hyperlink r:id="rId16" w:tooltip="D:Documents3GPPtsg_ranWG2TSGR2_113bis-eDocsR2-2102618.zip" w:history="1">
        <w:r w:rsidR="00F2333E">
          <w:rPr>
            <w:rStyle w:val="af9"/>
          </w:rPr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</w:p>
    <w:p w:rsidR="00E64C1D" w:rsidRDefault="00F2333E">
      <w:pPr>
        <w:pStyle w:val="Doc-comment"/>
        <w:rPr>
          <w:i w:val="0"/>
        </w:rPr>
      </w:pPr>
      <w:r>
        <w:t>Moved from 5.1</w:t>
      </w:r>
    </w:p>
    <w:p w:rsidR="00E64C1D" w:rsidRDefault="00F82666">
      <w:pPr>
        <w:pStyle w:val="Doc-title"/>
      </w:pPr>
      <w:hyperlink r:id="rId17" w:tooltip="D:Documents3GPPtsg_ranWG2TSGR2_113bis-eDocsR2-2103025.zip" w:history="1">
        <w:r w:rsidR="00F2333E">
          <w:rPr>
            <w:rStyle w:val="af9"/>
          </w:rPr>
          <w:t>R2-2103025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:rsidR="00E64C1D" w:rsidRDefault="00F82666">
      <w:pPr>
        <w:pStyle w:val="Doc-title"/>
      </w:pPr>
      <w:hyperlink r:id="rId18" w:tooltip="D:Documents3GPPtsg_ranWG2TSGR2_113bis-eDocsR2-2103026.zip" w:history="1">
        <w:r w:rsidR="00F2333E">
          <w:rPr>
            <w:rStyle w:val="af9"/>
          </w:rPr>
          <w:t>R2-2103026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7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:rsidR="00E64C1D" w:rsidRDefault="00E64C1D">
      <w:pPr>
        <w:pStyle w:val="Doc-text2"/>
        <w:rPr>
          <w:lang w:val="en-US"/>
        </w:rPr>
      </w:pPr>
    </w:p>
    <w:tbl>
      <w:tblPr>
        <w:tblStyle w:val="af4"/>
        <w:tblW w:w="9870" w:type="dxa"/>
        <w:tblLook w:val="04A0" w:firstRow="1" w:lastRow="0" w:firstColumn="1" w:lastColumn="0" w:noHBand="0" w:noVBand="1"/>
      </w:tblPr>
      <w:tblGrid>
        <w:gridCol w:w="1240"/>
        <w:gridCol w:w="1784"/>
        <w:gridCol w:w="6846"/>
      </w:tblGrid>
      <w:tr w:rsidR="00E64C1D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28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900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  <w:tr w:rsidR="00E64C1D" w:rsidRPr="00084950">
        <w:tc>
          <w:tcPr>
            <w:tcW w:w="1242" w:type="dxa"/>
            <w:vAlign w:val="center"/>
          </w:tcPr>
          <w:p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28" w:type="dxa"/>
            <w:vAlign w:val="center"/>
          </w:tcPr>
          <w:p w:rsidR="00E64C1D" w:rsidRDefault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but</w:t>
            </w:r>
          </w:p>
        </w:tc>
        <w:tc>
          <w:tcPr>
            <w:tcW w:w="6900" w:type="dxa"/>
          </w:tcPr>
          <w:p w:rsidR="00E64C1D" w:rsidRPr="00084950" w:rsidRDefault="00084950" w:rsidP="00084950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For NOTE 2, we are not sure why it states “</w:t>
            </w:r>
            <w:ins w:id="1" w:author="ZTE" w:date="2021-04-02T02:47:00Z">
              <w:r w:rsidRPr="00084950">
                <w:rPr>
                  <w:rFonts w:ascii="Arial" w:eastAsia="等线" w:hAnsi="Arial"/>
                  <w:sz w:val="18"/>
                  <w:highlight w:val="yellow"/>
                </w:rPr>
                <w:t>Only applicable</w:t>
              </w:r>
              <w:r w:rsidRPr="00BE0C01">
                <w:rPr>
                  <w:rFonts w:ascii="Arial" w:eastAsia="等线" w:hAnsi="Arial"/>
                  <w:sz w:val="18"/>
                </w:rPr>
                <w:t xml:space="preserve"> for cross carrier scheduling with the same SCS</w:t>
              </w:r>
            </w:ins>
            <w:r>
              <w:rPr>
                <w:rFonts w:ascii="Arial" w:eastAsia="等线" w:hAnsi="Arial"/>
                <w:sz w:val="18"/>
              </w:rPr>
              <w:t>…</w:t>
            </w:r>
            <w:r>
              <w:rPr>
                <w:rFonts w:ascii="Arial" w:eastAsiaTheme="minorEastAsia" w:hAnsi="Arial" w:cs="Arial"/>
                <w:lang w:eastAsia="zh-CN"/>
              </w:rPr>
              <w:t xml:space="preserve">” RAN1 does not mention that it is only </w:t>
            </w:r>
            <w:r w:rsidRPr="00084950">
              <w:rPr>
                <w:rFonts w:ascii="Arial" w:eastAsiaTheme="minorEastAsia" w:hAnsi="Arial" w:cs="Arial"/>
                <w:lang w:eastAsia="zh-CN"/>
              </w:rPr>
              <w:t>applicable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for such case, and RAN1 is discussing how to understand </w:t>
            </w:r>
            <w:r w:rsidRPr="00084950">
              <w:rPr>
                <w:rFonts w:ascii="Arial" w:eastAsiaTheme="minorEastAsia" w:hAnsi="Arial" w:cs="Arial"/>
                <w:i/>
                <w:lang w:eastAsia="zh-CN"/>
              </w:rPr>
              <w:t>pdcch-MonitoringAnyOccasionsWithSpanGap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in case of</w:t>
            </w:r>
            <w:r>
              <w:t xml:space="preserve"> 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cross carrier scheduling with the </w:t>
            </w:r>
            <w:r w:rsidRPr="00084950">
              <w:rPr>
                <w:rFonts w:ascii="Arial" w:eastAsiaTheme="minorEastAsia" w:hAnsi="Arial" w:cs="Arial"/>
                <w:b/>
                <w:lang w:eastAsia="zh-CN"/>
              </w:rPr>
              <w:t>different</w:t>
            </w:r>
            <w:r w:rsidRPr="00084950">
              <w:rPr>
                <w:rFonts w:ascii="Arial" w:eastAsiaTheme="minorEastAsia" w:hAnsi="Arial" w:cs="Arial"/>
                <w:lang w:eastAsia="zh-CN"/>
              </w:rPr>
              <w:t xml:space="preserve"> SCS</w:t>
            </w:r>
            <w:r>
              <w:rPr>
                <w:rFonts w:ascii="Arial" w:eastAsiaTheme="minorEastAsia" w:hAnsi="Arial" w:cs="Arial"/>
                <w:lang w:eastAsia="zh-CN"/>
              </w:rPr>
              <w:t>.</w:t>
            </w:r>
            <w:bookmarkStart w:id="2" w:name="_GoBack"/>
            <w:bookmarkEnd w:id="2"/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E64C1D" w:rsidRDefault="00E64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E64C1D" w:rsidRDefault="00E64C1D">
            <w:pPr>
              <w:rPr>
                <w:rFonts w:ascii="Arial" w:hAnsi="Arial" w:cs="Arial"/>
              </w:rPr>
            </w:pPr>
          </w:p>
        </w:tc>
      </w:tr>
    </w:tbl>
    <w:p w:rsidR="00E64C1D" w:rsidRPr="00084950" w:rsidRDefault="00E64C1D">
      <w:pPr>
        <w:pStyle w:val="Doc-text2"/>
        <w:rPr>
          <w:lang w:val="en-US"/>
        </w:rPr>
      </w:pPr>
    </w:p>
    <w:p w:rsidR="00E64C1D" w:rsidRDefault="00F2333E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2.1.3 Simultaneous CSI-RS resources</w:t>
      </w:r>
    </w:p>
    <w:p w:rsidR="00E64C1D" w:rsidRDefault="00F82666">
      <w:pPr>
        <w:pStyle w:val="Doc-title"/>
      </w:pPr>
      <w:hyperlink r:id="rId19" w:tooltip="D:Documents3GPPtsg_ranWG2TSGR2_113bis-eDocsR2-2102610.zip" w:history="1">
        <w:r w:rsidR="00F2333E">
          <w:rPr>
            <w:rStyle w:val="af9"/>
          </w:rPr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</w:p>
    <w:p w:rsidR="00E64C1D" w:rsidRDefault="00F2333E">
      <w:pPr>
        <w:pStyle w:val="Doc-comment"/>
        <w:rPr>
          <w:i w:val="0"/>
        </w:rPr>
      </w:pPr>
      <w:r>
        <w:t>Moved from 5.1</w:t>
      </w:r>
    </w:p>
    <w:p w:rsidR="00E64C1D" w:rsidRDefault="00F82666">
      <w:pPr>
        <w:pStyle w:val="Doc-title"/>
      </w:pPr>
      <w:hyperlink r:id="rId20" w:tooltip="D:Documents3GPPtsg_ranWG2TSGR2_113bis-eDocsR2-2103759.zip" w:history="1">
        <w:r w:rsidR="00F2333E">
          <w:rPr>
            <w:rStyle w:val="af9"/>
          </w:rPr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:rsidR="00E64C1D" w:rsidRDefault="00F82666">
      <w:pPr>
        <w:pStyle w:val="Doc-title"/>
      </w:pPr>
      <w:hyperlink r:id="rId21" w:tooltip="D:Documents3GPPtsg_ranWG2TSGR2_113bis-eDocsR2-2103760.zip" w:history="1">
        <w:r w:rsidR="00F2333E">
          <w:rPr>
            <w:rStyle w:val="af9"/>
          </w:rPr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:rsidR="00E64C1D" w:rsidRDefault="00E64C1D">
      <w:pPr>
        <w:pStyle w:val="Doc-text2"/>
        <w:rPr>
          <w:lang w:val="en-US"/>
        </w:rPr>
      </w:pPr>
    </w:p>
    <w:p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8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:rsidR="00E64C1D" w:rsidRDefault="00E64C1D">
      <w:pPr>
        <w:pStyle w:val="Doc-text2"/>
        <w:ind w:left="0" w:firstLine="0"/>
        <w:rPr>
          <w:lang w:val="en-US"/>
        </w:rPr>
      </w:pPr>
    </w:p>
    <w:tbl>
      <w:tblPr>
        <w:tblStyle w:val="af4"/>
        <w:tblW w:w="9870" w:type="dxa"/>
        <w:tblLook w:val="04A0" w:firstRow="1" w:lastRow="0" w:firstColumn="1" w:lastColumn="0" w:noHBand="0" w:noVBand="1"/>
      </w:tblPr>
      <w:tblGrid>
        <w:gridCol w:w="1242"/>
        <w:gridCol w:w="1728"/>
        <w:gridCol w:w="6900"/>
      </w:tblGrid>
      <w:tr w:rsidR="00E64C1D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28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We agree with these 2 CRs, which align with RAN1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 LS</w:t>
            </w:r>
          </w:p>
        </w:tc>
      </w:tr>
      <w:tr w:rsidR="00D975BA">
        <w:tc>
          <w:tcPr>
            <w:tcW w:w="1242" w:type="dxa"/>
            <w:vAlign w:val="center"/>
          </w:tcPr>
          <w:p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2A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28" w:type="dxa"/>
            <w:vAlign w:val="center"/>
          </w:tcPr>
          <w:p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:rsidR="00D975BA" w:rsidRDefault="00D975BA" w:rsidP="00D975BA">
            <w:pPr>
              <w:rPr>
                <w:rFonts w:ascii="Arial" w:hAnsi="Arial" w:cs="Arial"/>
              </w:rPr>
            </w:pPr>
          </w:p>
        </w:tc>
      </w:tr>
      <w:tr w:rsidR="00D975BA">
        <w:tc>
          <w:tcPr>
            <w:tcW w:w="1242" w:type="dxa"/>
            <w:vAlign w:val="center"/>
          </w:tcPr>
          <w:p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D975BA" w:rsidRDefault="00D975BA" w:rsidP="00D97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D975BA" w:rsidRDefault="00D975BA" w:rsidP="00D975BA">
            <w:pPr>
              <w:rPr>
                <w:rFonts w:ascii="Arial" w:hAnsi="Arial" w:cs="Arial"/>
              </w:rPr>
            </w:pPr>
          </w:p>
        </w:tc>
      </w:tr>
    </w:tbl>
    <w:p w:rsidR="00E64C1D" w:rsidRDefault="00E64C1D">
      <w:pPr>
        <w:rPr>
          <w:rFonts w:ascii="Arial" w:eastAsia="MS Mincho" w:hAnsi="Arial"/>
          <w:szCs w:val="24"/>
          <w:lang w:eastAsia="zh-CN"/>
        </w:rPr>
      </w:pPr>
    </w:p>
    <w:bookmarkEnd w:id="0"/>
    <w:p w:rsidR="00E64C1D" w:rsidRDefault="00F2333E">
      <w:pPr>
        <w:pStyle w:val="21"/>
      </w:pPr>
      <w:r>
        <w:t>2.2</w:t>
      </w:r>
      <w:r>
        <w:tab/>
        <w:t>Part 2: Intended to progress discussion on agreeable parts</w:t>
      </w:r>
    </w:p>
    <w:p w:rsidR="00E64C1D" w:rsidRDefault="00F2333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:rsidR="00E64C1D" w:rsidRDefault="00F2333E">
      <w:pPr>
        <w:pStyle w:val="1"/>
      </w:pPr>
      <w:r>
        <w:t>3</w:t>
      </w:r>
      <w:r>
        <w:tab/>
        <w:t>Conclusion</w:t>
      </w:r>
    </w:p>
    <w:p w:rsidR="00E64C1D" w:rsidRDefault="00E64C1D">
      <w:pPr>
        <w:pStyle w:val="a6"/>
        <w:rPr>
          <w:lang w:val="en-US"/>
        </w:rPr>
      </w:pPr>
    </w:p>
    <w:p w:rsidR="00E64C1D" w:rsidRDefault="00F2333E">
      <w:pPr>
        <w:spacing w:after="0"/>
        <w:jc w:val="both"/>
      </w:pPr>
      <w:r>
        <w:rPr>
          <w:rFonts w:ascii="Arial" w:hAnsi="Arial"/>
        </w:rPr>
        <w:t xml:space="preserve">- To be updated after discussion on part 1 - </w:t>
      </w: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</w:p>
    <w:p w:rsidR="00E64C1D" w:rsidRDefault="00F2333E">
      <w:pPr>
        <w:pStyle w:val="af1"/>
        <w:tabs>
          <w:tab w:val="right" w:leader="dot" w:pos="9629"/>
        </w:tabs>
      </w:pPr>
      <w:r>
        <w:rPr>
          <w:bCs/>
          <w:lang w:val="en-US"/>
        </w:rPr>
        <w:fldChar w:fldCharType="end"/>
      </w: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:rsidR="00E64C1D" w:rsidRDefault="00F2333E">
      <w:pPr>
        <w:pStyle w:val="1"/>
      </w:pPr>
      <w:r>
        <w:rPr>
          <w:b/>
          <w:bCs/>
          <w:lang w:val="en-US"/>
        </w:rPr>
        <w:lastRenderedPageBreak/>
        <w:fldChar w:fldCharType="end"/>
      </w:r>
      <w:r>
        <w:t>4</w:t>
      </w:r>
      <w:r>
        <w:tab/>
        <w:t>References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r>
        <w:t>R2-2102215</w:t>
      </w:r>
      <w:r>
        <w:tab/>
        <w:t>Summary of [Post113-e][009][NR15] EN-DC BCS (Nokia)</w:t>
      </w:r>
      <w:r>
        <w:tab/>
        <w:t>Nokia, Nokia Shanghai Bell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2" w:tooltip="D:Documents3GPPtsg_ranWG2TSGR2_113bis-eDocsR2-2104185.zip" w:history="1">
        <w:r w:rsidR="00F2333E">
          <w:t>R2-2104185</w:t>
        </w:r>
      </w:hyperlink>
      <w:r w:rsidR="00F2333E">
        <w:tab/>
        <w:t>Clarification on the Intra-band and Inter-band EN-DC Capabilities</w:t>
      </w:r>
      <w:r w:rsidR="00F2333E">
        <w:tab/>
        <w:t>ZTE Corporation, Sanechips</w:t>
      </w:r>
      <w:r w:rsidR="00F2333E">
        <w:tab/>
        <w:t>discussion</w:t>
      </w:r>
      <w:r w:rsidR="00F2333E">
        <w:tab/>
        <w:t>Rel-15</w:t>
      </w:r>
      <w:r w:rsidR="00F2333E">
        <w:tab/>
        <w:t>NG_RAN_PRN-Core</w:t>
      </w:r>
      <w:r w:rsidR="00F2333E">
        <w:tab/>
        <w:t>R2-2101562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3" w:tooltip="D:Documents3GPPtsg_ranWG2TSGR2_113bis-eDocsR2-2104186.zip" w:history="1">
        <w:r w:rsidR="00F2333E">
          <w:t>R2-2104186</w:t>
        </w:r>
      </w:hyperlink>
      <w:r w:rsidR="00F2333E">
        <w:tab/>
        <w:t>CR on the Intra-band and Inter-band EN-DC Capabilities-R15</w:t>
      </w:r>
      <w:r w:rsidR="00F2333E">
        <w:tab/>
        <w:t>ZTE Corporation, Sanechips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0517</w:t>
      </w:r>
      <w:r w:rsidR="00F2333E">
        <w:tab/>
        <w:t>1</w:t>
      </w:r>
      <w:r w:rsidR="00F2333E">
        <w:tab/>
        <w:t>F</w:t>
      </w:r>
      <w:r w:rsidR="00F2333E">
        <w:tab/>
        <w:t>NR_newRAT-Core</w:t>
      </w:r>
      <w:r w:rsidR="00F2333E">
        <w:tab/>
        <w:t>R2-2101563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4" w:tooltip="D:Documents3GPPtsg_ranWG2TSGR2_113bis-eDocsR2-2104187.zip" w:history="1">
        <w:r w:rsidR="00F2333E">
          <w:t>R2-2104187</w:t>
        </w:r>
      </w:hyperlink>
      <w:r w:rsidR="00F2333E">
        <w:tab/>
        <w:t>CR on the Intra-band and Inter-band EN-DC Capabilities-R16</w:t>
      </w:r>
      <w:r w:rsidR="00F2333E">
        <w:tab/>
        <w:t>ZTE Corporation, Sanechips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0518</w:t>
      </w:r>
      <w:r w:rsidR="00F2333E">
        <w:tab/>
        <w:t>1</w:t>
      </w:r>
      <w:r w:rsidR="00F2333E">
        <w:tab/>
        <w:t>A</w:t>
      </w:r>
      <w:r w:rsidR="00F2333E">
        <w:tab/>
        <w:t>NR_newRAT-Core</w:t>
      </w:r>
      <w:r w:rsidR="00F2333E">
        <w:tab/>
        <w:t>R2-2101564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5" w:tooltip="D:Documents3GPPtsg_ranWG2TSGR2_113bis-eDocsR2-2104188.zip" w:history="1">
        <w:r w:rsidR="00F2333E">
          <w:t>R2-2104188</w:t>
        </w:r>
      </w:hyperlink>
      <w:r w:rsidR="00F2333E">
        <w:tab/>
        <w:t>Draft LS on the Intra-band and Inter-band EN-DC Capabilities</w:t>
      </w:r>
      <w:r w:rsidR="00F2333E">
        <w:tab/>
        <w:t>ZTE Corporation, Sanechips</w:t>
      </w:r>
      <w:r w:rsidR="00F2333E">
        <w:tab/>
        <w:t>LS out</w:t>
      </w:r>
      <w:r w:rsidR="00F2333E">
        <w:tab/>
        <w:t>Rel-15</w:t>
      </w:r>
      <w:r w:rsidR="00F2333E">
        <w:tab/>
        <w:t>NR_newRAT-Core</w:t>
      </w:r>
      <w:r w:rsidR="00F2333E">
        <w:tab/>
        <w:t>R2-2101565</w:t>
      </w:r>
      <w:r w:rsidR="00F2333E">
        <w:tab/>
        <w:t>To:RAN4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6" w:tooltip="D:Documents3GPPtsg_ranWG2TSGR2_113bis-eDocsR2-2102618.zip" w:history="1">
        <w:r w:rsidR="00F2333E">
          <w:t>R2-2102618</w:t>
        </w:r>
      </w:hyperlink>
      <w:r w:rsidR="00F2333E">
        <w:tab/>
        <w:t>LS on Interpretation of UE Features in Case of Cross-Carrier Operation (R1-2102085; contact: ZTE)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  <w:r w:rsidR="00F2333E">
        <w:rPr>
          <w:rFonts w:eastAsia="宋体" w:hint="eastAsia"/>
          <w:lang w:val="en-US" w:eastAsia="zh-CN"/>
        </w:rPr>
        <w:t xml:space="preserve"> </w:t>
      </w:r>
      <w:r w:rsidR="00F2333E">
        <w:t>Moved from 5.1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7" w:tooltip="D:Documents3GPPtsg_ranWG2TSGR2_113bis-eDocsR2-2103025.zip" w:history="1">
        <w:r w:rsidR="00F2333E">
          <w:t>R2-2103025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0544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3bis-eDocsR2-2103026.zip" w:history="1">
        <w:r w:rsidR="00F2333E">
          <w:t>R2-2103026</w:t>
        </w:r>
      </w:hyperlink>
      <w:r w:rsidR="00F2333E">
        <w:tab/>
        <w:t>CR on UE capability in case of Cross-Carrier operation</w:t>
      </w:r>
      <w:r w:rsidR="00F2333E">
        <w:tab/>
        <w:t>ZTE Corporation, Sanechips, Ericsson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0545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3bis-eDocsR2-2102610.zip" w:history="1">
        <w:r w:rsidR="00F2333E">
          <w:t>R2-2102610</w:t>
        </w:r>
      </w:hyperlink>
      <w:r w:rsidR="00F2333E">
        <w:tab/>
        <w:t>Reply LS on the use of simultaneous CSI-RS resources and ports (R1-2101962; contact: Ericsson)</w:t>
      </w:r>
      <w:r w:rsidR="00F2333E">
        <w:tab/>
        <w:t>RAN1</w:t>
      </w:r>
      <w:r w:rsidR="00F2333E">
        <w:tab/>
        <w:t>LS in</w:t>
      </w:r>
      <w:r w:rsidR="00F2333E">
        <w:tab/>
        <w:t>Rel-15</w:t>
      </w:r>
      <w:r w:rsidR="00F2333E">
        <w:tab/>
        <w:t>NR_newRAT-Core</w:t>
      </w:r>
      <w:r w:rsidR="00F2333E">
        <w:tab/>
        <w:t>To:RAN2</w:t>
      </w:r>
      <w:r w:rsidR="00F2333E">
        <w:rPr>
          <w:rFonts w:eastAsia="宋体" w:hint="eastAsia"/>
          <w:lang w:val="en-US" w:eastAsia="zh-CN"/>
        </w:rPr>
        <w:t xml:space="preserve"> </w:t>
      </w:r>
      <w:r w:rsidR="00F2333E">
        <w:t>Moved from 5.1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3bis-eDocsR2-2103759.zip" w:history="1">
        <w:r w:rsidR="00F2333E">
          <w:t>R2-2103759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Rel-15</w:t>
      </w:r>
      <w:r w:rsidR="00F2333E">
        <w:tab/>
        <w:t>38.306</w:t>
      </w:r>
      <w:r w:rsidR="00F2333E">
        <w:tab/>
        <w:t>15.13.0</w:t>
      </w:r>
      <w:r w:rsidR="00F2333E">
        <w:tab/>
        <w:t>0552</w:t>
      </w:r>
      <w:r w:rsidR="00F2333E">
        <w:tab/>
        <w:t>-</w:t>
      </w:r>
      <w:r w:rsidR="00F2333E">
        <w:tab/>
        <w:t>F</w:t>
      </w:r>
      <w:r w:rsidR="00F2333E">
        <w:tab/>
        <w:t>NR_newRAT-Core</w:t>
      </w:r>
    </w:p>
    <w:p w:rsidR="00E64C1D" w:rsidRDefault="00F82666">
      <w:pPr>
        <w:pStyle w:val="Doc-title"/>
        <w:numPr>
          <w:ilvl w:val="0"/>
          <w:numId w:val="17"/>
        </w:numPr>
        <w:ind w:left="400" w:hangingChars="200" w:hanging="400"/>
      </w:pPr>
      <w:hyperlink r:id="rId31" w:tooltip="D:Documents3GPPtsg_ranWG2TSGR2_113bis-eDocsR2-2103760.zip" w:history="1">
        <w:r w:rsidR="00F2333E">
          <w:t>R2-2103760</w:t>
        </w:r>
      </w:hyperlink>
      <w:r w:rsidR="00F2333E">
        <w:tab/>
        <w:t>Correction to the use of simultaneous CSI-RS resources</w:t>
      </w:r>
      <w:r w:rsidR="00F2333E">
        <w:tab/>
        <w:t>Ericsson, Nokia</w:t>
      </w:r>
      <w:r w:rsidR="00F2333E">
        <w:tab/>
        <w:t>CR</w:t>
      </w:r>
      <w:r w:rsidR="00F2333E">
        <w:tab/>
        <w:t>Rel-16</w:t>
      </w:r>
      <w:r w:rsidR="00F2333E">
        <w:tab/>
        <w:t>38.306</w:t>
      </w:r>
      <w:r w:rsidR="00F2333E">
        <w:tab/>
        <w:t>16.4.0</w:t>
      </w:r>
      <w:r w:rsidR="00F2333E">
        <w:tab/>
        <w:t>0553</w:t>
      </w:r>
      <w:r w:rsidR="00F2333E">
        <w:tab/>
        <w:t>-</w:t>
      </w:r>
      <w:r w:rsidR="00F2333E">
        <w:tab/>
        <w:t>A</w:t>
      </w:r>
      <w:r w:rsidR="00F2333E">
        <w:tab/>
        <w:t>NR_newRAT-Core</w:t>
      </w:r>
    </w:p>
    <w:p w:rsidR="00E64C1D" w:rsidRDefault="00E64C1D">
      <w:pPr>
        <w:pStyle w:val="Doc-text2"/>
        <w:rPr>
          <w:lang w:val="en-US"/>
        </w:rPr>
      </w:pPr>
    </w:p>
    <w:p w:rsidR="00E64C1D" w:rsidRDefault="00E64C1D">
      <w:pPr>
        <w:rPr>
          <w:b/>
          <w:sz w:val="22"/>
          <w:szCs w:val="22"/>
        </w:rPr>
      </w:pPr>
    </w:p>
    <w:p w:rsidR="00E64C1D" w:rsidRDefault="00E64C1D">
      <w:pPr>
        <w:pStyle w:val="Doc-text2"/>
        <w:rPr>
          <w:lang w:val="en-US"/>
        </w:rPr>
      </w:pPr>
    </w:p>
    <w:sectPr w:rsidR="00E64C1D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66" w:rsidRDefault="00F82666" w:rsidP="00E04B80">
      <w:pPr>
        <w:spacing w:after="0" w:line="240" w:lineRule="auto"/>
      </w:pPr>
      <w:r>
        <w:separator/>
      </w:r>
    </w:p>
  </w:endnote>
  <w:endnote w:type="continuationSeparator" w:id="0">
    <w:p w:rsidR="00F82666" w:rsidRDefault="00F82666" w:rsidP="00E0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66" w:rsidRDefault="00F82666" w:rsidP="00E04B80">
      <w:pPr>
        <w:spacing w:after="0" w:line="240" w:lineRule="auto"/>
      </w:pPr>
      <w:r>
        <w:separator/>
      </w:r>
    </w:p>
  </w:footnote>
  <w:footnote w:type="continuationSeparator" w:id="0">
    <w:p w:rsidR="00F82666" w:rsidRDefault="00F82666" w:rsidP="00E0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EBC274"/>
    <w:multiLevelType w:val="singleLevel"/>
    <w:tmpl w:val="E0EBC27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950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6B02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022A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36C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BF8"/>
    <w:rsid w:val="005D2DC8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9BC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0AA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29D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5A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6D79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5BA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36C0"/>
    <w:rsid w:val="00E04332"/>
    <w:rsid w:val="00E04B80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4C1D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488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33E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213E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666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F1C4CD8"/>
    <w:rsid w:val="14A420F2"/>
    <w:rsid w:val="154B360E"/>
    <w:rsid w:val="16332B03"/>
    <w:rsid w:val="18172672"/>
    <w:rsid w:val="1BCE3B6D"/>
    <w:rsid w:val="1EAC20D7"/>
    <w:rsid w:val="20A65BC2"/>
    <w:rsid w:val="26362F47"/>
    <w:rsid w:val="266E3A46"/>
    <w:rsid w:val="29032FD0"/>
    <w:rsid w:val="2B547BDC"/>
    <w:rsid w:val="2D3B604D"/>
    <w:rsid w:val="2D8F20AE"/>
    <w:rsid w:val="37B4137C"/>
    <w:rsid w:val="3AB362AE"/>
    <w:rsid w:val="3E9E2ADF"/>
    <w:rsid w:val="40AC27AB"/>
    <w:rsid w:val="454966ED"/>
    <w:rsid w:val="47957696"/>
    <w:rsid w:val="4988757E"/>
    <w:rsid w:val="4B31143E"/>
    <w:rsid w:val="5F0D73A3"/>
    <w:rsid w:val="5F9968C2"/>
    <w:rsid w:val="63FB03FF"/>
    <w:rsid w:val="65D55A0C"/>
    <w:rsid w:val="65EB4607"/>
    <w:rsid w:val="661A1CE8"/>
    <w:rsid w:val="6C3B0BC4"/>
    <w:rsid w:val="71362798"/>
    <w:rsid w:val="746022F9"/>
    <w:rsid w:val="78461432"/>
    <w:rsid w:val="789924C1"/>
    <w:rsid w:val="79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DF2A9-0902-4FB9-92FF-44E365F5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lang w:val="en-GB" w:eastAsia="ja-JP"/>
    </w:rPr>
  </w:style>
  <w:style w:type="paragraph" w:styleId="1">
    <w:name w:val="heading 1"/>
    <w:basedOn w:val="a1"/>
    <w:next w:val="a1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a1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3bis-e\Docs\R2-2104186.zip" TargetMode="External"/><Relationship Id="rId18" Type="http://schemas.openxmlformats.org/officeDocument/2006/relationships/hyperlink" Target="file:///D:\Documents\3GPP\tsg_ran\WG2\TSGR2_113bis-e\Docs\R2-2103026.zip" TargetMode="External"/><Relationship Id="rId26" Type="http://schemas.openxmlformats.org/officeDocument/2006/relationships/hyperlink" Target="file:///D:\Documents\3GPP\tsg_ran\WG2\TSGR2_113bis-e\Docs\R2-210261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3760.zip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185.zip" TargetMode="External"/><Relationship Id="rId17" Type="http://schemas.openxmlformats.org/officeDocument/2006/relationships/hyperlink" Target="file:///D:\Documents\3GPP\tsg_ran\WG2\TSGR2_113bis-e\Docs\R2-2103025.zip" TargetMode="External"/><Relationship Id="rId25" Type="http://schemas.openxmlformats.org/officeDocument/2006/relationships/hyperlink" Target="file:///D:\Documents\3GPP\tsg_ran\WG2\TSGR2_113bis-e\Docs\R2-2104188.zip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2618.zip" TargetMode="External"/><Relationship Id="rId20" Type="http://schemas.openxmlformats.org/officeDocument/2006/relationships/hyperlink" Target="file:///D:\Documents\3GPP\tsg_ran\WG2\TSGR2_113bis-e\Docs\R2-2103759.zip" TargetMode="External"/><Relationship Id="rId29" Type="http://schemas.openxmlformats.org/officeDocument/2006/relationships/hyperlink" Target="file:///D:\Documents\3GPP\tsg_ran\WG2\TSGR2_113bis-e\Docs\R2-210261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4187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188.zip" TargetMode="External"/><Relationship Id="rId23" Type="http://schemas.openxmlformats.org/officeDocument/2006/relationships/hyperlink" Target="file:///D:\Documents\3GPP\tsg_ran\WG2\TSGR2_113bis-e\Docs\R2-2104186.zip" TargetMode="External"/><Relationship Id="rId28" Type="http://schemas.openxmlformats.org/officeDocument/2006/relationships/hyperlink" Target="file:///D:\Documents\3GPP\tsg_ran\WG2\TSGR2_113bis-e\Docs\R2-210302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2610.zip" TargetMode="External"/><Relationship Id="rId31" Type="http://schemas.openxmlformats.org/officeDocument/2006/relationships/hyperlink" Target="file:///D:\Documents\3GPP\tsg_ran\WG2\TSGR2_113bis-e\Docs\R2-21037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4187.zip" TargetMode="External"/><Relationship Id="rId22" Type="http://schemas.openxmlformats.org/officeDocument/2006/relationships/hyperlink" Target="file:///D:\Documents\3GPP\tsg_ran\WG2\TSGR2_113bis-e\Docs\R2-2104185.zip" TargetMode="External"/><Relationship Id="rId27" Type="http://schemas.openxmlformats.org/officeDocument/2006/relationships/hyperlink" Target="file:///D:\Documents\3GPP\tsg_ran\WG2\TSGR2_113bis-e\Docs\R2-2103025.zip" TargetMode="External"/><Relationship Id="rId30" Type="http://schemas.openxmlformats.org/officeDocument/2006/relationships/hyperlink" Target="file:///D:\Documents\3GPP\tsg_ran\WG2\TSGR2_113bis-e\Docs\R2-2103759.zip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616FD1-6508-4240-967A-2F7B0617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2501</Words>
  <Characters>14262</Characters>
  <Application>Microsoft Office Word</Application>
  <DocSecurity>0</DocSecurity>
  <Lines>118</Lines>
  <Paragraphs>33</Paragraphs>
  <ScaleCrop>false</ScaleCrop>
  <Company>Ericsson</Company>
  <LinksUpToDate>false</LinksUpToDate>
  <CharactersWithSpaces>16730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</cp:lastModifiedBy>
  <cp:revision>21</cp:revision>
  <cp:lastPrinted>2008-02-01T05:09:00Z</cp:lastPrinted>
  <dcterms:created xsi:type="dcterms:W3CDTF">2021-01-28T13:00:00Z</dcterms:created>
  <dcterms:modified xsi:type="dcterms:W3CDTF">2021-04-13T03:30:00Z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C:\Users\seungri.jin\Downloads\R2-20xxxxx-Offline [AT113-e][010][NR15] UE Capabilities II(ZTE)-v010_Apple.docx</vt:lpwstr>
  </property>
  <property fmtid="{D5CDD505-2E9C-101B-9397-08002B2CF9AE}" pid="6" name="_2015_ms_pID_725343">
    <vt:lpwstr>(2)cL0Pl+Ac5tjJ7e4cmiUGZBwo5d1ZNw6LvjhQytRQ/yv8zTRTxqETWdURWwoY1SomFsNYok18
x24nI9fEeaGNK4nY2i8LYQ9l6RplTUVSBw8IauUX0nCr0qSXsqNIswLM/1jdtBxJF+HlyNJZ
byVoE8NWflaoh8eteL3rQnO1B7fSqOTFofXuRjE7wm4cAqgvvj8aQWx1sVsyClEZYt0x4S7G
b4UQHC0XY9qsKJs1LZ</vt:lpwstr>
  </property>
  <property fmtid="{D5CDD505-2E9C-101B-9397-08002B2CF9AE}" pid="7" name="_2015_ms_pID_7253431">
    <vt:lpwstr>NSttY6T0ymEc1qlCw6vCqn/axoa1QqEPNqmmtdcvccdUT/G4JuZI4C
RPlix8oH7DBA0rMFEMLz+MrMOohuq9BXuyQaBj1wk9YL0lGbTk0Oux5xJubZQtMxYzmMIuwa
DMo7WWrOOX3KdB5YiUV2hHFpaEz5jaYYyGELl6thmh/V0db560hiLVm6Bio0inzfGnr6gT46
bJFo71T9GTLsqtnX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1618190583</vt:lpwstr>
  </property>
</Properties>
</file>