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C4946" w14:textId="009FFA4C" w:rsidR="00F11661" w:rsidRDefault="002D196E">
      <w:pPr>
        <w:pStyle w:val="ab"/>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7D1353">
        <w:rPr>
          <w:rFonts w:cs="Arial"/>
          <w:sz w:val="22"/>
          <w:szCs w:val="28"/>
        </w:rPr>
        <w:t>2182</w:t>
      </w:r>
      <w:bookmarkStart w:id="0" w:name="_GoBack"/>
      <w:bookmarkEnd w:id="0"/>
    </w:p>
    <w:p w14:paraId="3C33E0D7" w14:textId="77777777" w:rsidR="00F11661" w:rsidRDefault="002D196E">
      <w:pPr>
        <w:pStyle w:val="ab"/>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5417B8A4"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1" w:name="_Hlk506457506"/>
      <w:bookmarkStart w:id="2" w:name="_Hlk42070541"/>
      <w:r>
        <w:rPr>
          <w:rFonts w:ascii="Arial" w:hAnsi="Arial" w:cs="Arial"/>
          <w:sz w:val="22"/>
          <w:szCs w:val="22"/>
        </w:rPr>
        <w:t xml:space="preserve">Reply LS on </w:t>
      </w:r>
      <w:bookmarkEnd w:id="1"/>
      <w:bookmarkEnd w:id="2"/>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3" w:name="OLE_LINK57"/>
      <w:bookmarkStart w:id="4"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5" w:name="OLE_LINK60"/>
      <w:bookmarkStart w:id="6" w:name="OLE_LINK61"/>
      <w:bookmarkStart w:id="7" w:name="OLE_LINK59"/>
      <w:bookmarkEnd w:id="3"/>
      <w:bookmarkEnd w:id="4"/>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SimSun" w:hAnsi="Arial" w:cs="Arial" w:hint="eastAsia"/>
          <w:bCs/>
          <w:sz w:val="22"/>
          <w:szCs w:val="22"/>
          <w:lang w:val="en-US" w:eastAsia="zh-CN"/>
        </w:rPr>
        <w:t>7</w:t>
      </w:r>
    </w:p>
    <w:bookmarkEnd w:id="5"/>
    <w:bookmarkEnd w:id="6"/>
    <w:bookmarkEnd w:id="7"/>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37357073"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Pr="006B17E5">
        <w:rPr>
          <w:rFonts w:ascii="Arial" w:hAnsi="Arial" w:cs="Arial"/>
          <w:bCs/>
          <w:sz w:val="22"/>
          <w:szCs w:val="22"/>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8" w:name="OLE_LINK45"/>
      <w:bookmarkStart w:id="9"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8"/>
    <w:bookmarkEnd w:id="9"/>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맑은 고딕"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af0"/>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맑은 고딕" w:hAnsi="Arial" w:cs="Arial"/>
          <w:lang w:val="pt-BR"/>
        </w:rPr>
      </w:pPr>
      <w:r>
        <w:rPr>
          <w:rFonts w:ascii="Arial" w:hAnsi="Arial" w:cs="Arial"/>
          <w:b/>
          <w:sz w:val="22"/>
          <w:szCs w:val="22"/>
        </w:rPr>
        <w:t>Attachments:</w:t>
      </w:r>
      <w:r>
        <w:rPr>
          <w:rFonts w:ascii="Arial" w:hAnsi="Arial" w:cs="Arial"/>
          <w:bCs/>
          <w:sz w:val="22"/>
          <w:szCs w:val="22"/>
        </w:rPr>
        <w:tab/>
      </w:r>
      <w:bookmarkStart w:id="10" w:name="_Hlk42070638"/>
    </w:p>
    <w:bookmarkEnd w:id="10"/>
    <w:p w14:paraId="663080D0" w14:textId="77777777" w:rsidR="00F11661" w:rsidRDefault="002D196E">
      <w:pPr>
        <w:pStyle w:val="1"/>
      </w:pPr>
      <w:r>
        <w:t>1</w:t>
      </w:r>
      <w:r>
        <w:tab/>
        <w:t>Overall description</w:t>
      </w:r>
    </w:p>
    <w:p w14:paraId="6DCA8A1F" w14:textId="0EE8B006" w:rsidR="00F11661" w:rsidRDefault="002D196E">
      <w:pPr>
        <w:spacing w:after="0"/>
        <w:rPr>
          <w:rFonts w:ascii="Arial" w:eastAsia="Yu Mincho" w:hAnsi="Arial" w:cs="Arial"/>
          <w:bCs/>
          <w:iCs/>
          <w:lang w:val="en-US" w:eastAsia="ja-JP"/>
        </w:rPr>
      </w:pPr>
      <w:bookmarkStart w:id="11" w:name="_Hlk7620913"/>
      <w:r w:rsidRPr="00C3426B">
        <w:rPr>
          <w:rFonts w:ascii="Arial" w:eastAsia="Yu Mincho" w:hAnsi="Arial" w:cs="Arial"/>
          <w:bCs/>
          <w:iCs/>
          <w:sz w:val="21"/>
          <w:szCs w:val="22"/>
          <w:lang w:val="en-US" w:eastAsia="ja-JP"/>
        </w:rPr>
        <w:t xml:space="preserve">RAN2 thanks </w:t>
      </w:r>
      <w:r w:rsidR="0077553A">
        <w:rPr>
          <w:rFonts w:ascii="Arial" w:eastAsia="Yu Mincho" w:hAnsi="Arial" w:cs="Arial"/>
          <w:bCs/>
          <w:iCs/>
          <w:sz w:val="21"/>
          <w:szCs w:val="22"/>
          <w:lang w:val="en-US" w:eastAsia="ja-JP"/>
        </w:rPr>
        <w:t>SA2</w:t>
      </w:r>
      <w:commentRangeStart w:id="12"/>
      <w:commentRangeEnd w:id="12"/>
      <w:r w:rsidRPr="00C3426B">
        <w:rPr>
          <w:rFonts w:ascii="Arial" w:eastAsia="Yu Mincho" w:hAnsi="Arial" w:cs="Arial"/>
          <w:bCs/>
          <w:iCs/>
          <w:sz w:val="21"/>
          <w:szCs w:val="22"/>
          <w:lang w:val="en-US" w:eastAsia="ja-JP"/>
        </w:rPr>
        <w:t xml:space="preserve">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af4"/>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af4"/>
        <w:spacing w:after="120"/>
        <w:ind w:left="0"/>
        <w:rPr>
          <w:rFonts w:ascii="Arial" w:hAnsi="Arial" w:cs="Arial"/>
          <w:bCs/>
        </w:rPr>
      </w:pPr>
    </w:p>
    <w:p w14:paraId="6349E0AB" w14:textId="77777777" w:rsidR="00F11661" w:rsidRDefault="002D196E">
      <w:pPr>
        <w:pStyle w:val="af4"/>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af4"/>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af4"/>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af4"/>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af4"/>
        <w:spacing w:after="120"/>
        <w:ind w:leftChars="142" w:left="426" w:hangingChars="71" w:hanging="142"/>
        <w:rPr>
          <w:rFonts w:ascii="Arial" w:hAnsi="Arial" w:cs="Arial"/>
          <w:bCs/>
        </w:rPr>
      </w:pPr>
    </w:p>
    <w:p w14:paraId="357C9445" w14:textId="77777777" w:rsidR="00F11661" w:rsidRDefault="002D196E">
      <w:pPr>
        <w:pStyle w:val="af4"/>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22E9B08C" w:rsidR="00413D7D" w:rsidRDefault="002D196E">
      <w:pPr>
        <w:pStyle w:val="af4"/>
        <w:spacing w:after="120"/>
        <w:ind w:left="0"/>
        <w:rPr>
          <w:rFonts w:ascii="Arial" w:hAnsi="Arial" w:cs="Arial"/>
          <w:bCs/>
        </w:rPr>
      </w:pPr>
      <w:r>
        <w:rPr>
          <w:rFonts w:ascii="Arial" w:hAnsi="Arial" w:cs="Arial"/>
          <w:b/>
          <w:bCs/>
        </w:rPr>
        <w:t>A1)</w:t>
      </w:r>
      <w:r>
        <w:rPr>
          <w:rFonts w:ascii="Arial" w:hAnsi="Arial" w:cs="Arial"/>
          <w:bCs/>
        </w:rPr>
        <w:t xml:space="preserve"> </w:t>
      </w:r>
      <w:r w:rsidR="00914A34">
        <w:rPr>
          <w:rFonts w:ascii="Arial" w:eastAsiaTheme="minorEastAsia" w:hAnsi="Arial" w:cs="Arial" w:hint="eastAsia"/>
          <w:bCs/>
          <w:lang w:eastAsia="zh-CN"/>
        </w:rPr>
        <w:t xml:space="preserve">The PC5 DRX parameters </w:t>
      </w:r>
      <w:r w:rsidR="0099041D">
        <w:rPr>
          <w:rFonts w:ascii="Arial" w:eastAsiaTheme="minorEastAsia" w:hAnsi="Arial" w:cs="Arial" w:hint="eastAsia"/>
          <w:bCs/>
          <w:lang w:eastAsia="zh-CN"/>
        </w:rPr>
        <w:t>can</w:t>
      </w:r>
      <w:r w:rsidR="00914A34">
        <w:rPr>
          <w:rFonts w:ascii="Arial" w:eastAsiaTheme="minorEastAsia" w:hAnsi="Arial" w:cs="Arial" w:hint="eastAsia"/>
          <w:bCs/>
          <w:lang w:eastAsia="zh-CN"/>
        </w:rPr>
        <w:t xml:space="preserve"> be determined by AS layer</w:t>
      </w:r>
      <w:r w:rsidR="00C7056B">
        <w:rPr>
          <w:rFonts w:ascii="Arial" w:eastAsiaTheme="minorEastAsia" w:hAnsi="Arial" w:cs="Arial"/>
          <w:bCs/>
          <w:lang w:eastAsia="zh-CN"/>
        </w:rPr>
        <w:t xml:space="preserve"> </w:t>
      </w:r>
      <w:r w:rsidR="00413D7D" w:rsidRPr="00413D7D">
        <w:rPr>
          <w:rFonts w:ascii="Arial" w:hAnsi="Arial" w:cs="Arial"/>
          <w:bCs/>
        </w:rPr>
        <w:t>and no additional input from V2X layer other than the currently available QoS is needed.</w:t>
      </w:r>
    </w:p>
    <w:p w14:paraId="08685E53" w14:textId="77777777" w:rsidR="00142940" w:rsidRDefault="00142940">
      <w:pPr>
        <w:pStyle w:val="af4"/>
        <w:spacing w:after="120"/>
        <w:ind w:left="0"/>
        <w:rPr>
          <w:rFonts w:ascii="Arial" w:hAnsi="Arial" w:cs="Arial"/>
          <w:b/>
          <w:bCs/>
        </w:rPr>
      </w:pPr>
    </w:p>
    <w:p w14:paraId="4FF29ABF" w14:textId="77777777" w:rsidR="00F11661" w:rsidRDefault="002D196E">
      <w:pPr>
        <w:pStyle w:val="af4"/>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4ED014F2" w:rsidR="001D3B26" w:rsidRPr="007F5730" w:rsidRDefault="002D196E" w:rsidP="007F5730">
      <w:pPr>
        <w:pStyle w:val="af4"/>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r w:rsidR="00FE6A9D">
        <w:rPr>
          <w:rFonts w:ascii="Arial" w:eastAsiaTheme="minorEastAsia" w:hAnsi="Arial" w:cs="Arial" w:hint="eastAsia"/>
          <w:bCs/>
          <w:lang w:eastAsia="zh-CN"/>
        </w:rPr>
        <w:t xml:space="preserve">configuration </w:t>
      </w:r>
      <w:r w:rsidR="007F5730" w:rsidRPr="007F5730">
        <w:rPr>
          <w:rFonts w:ascii="Arial" w:hAnsi="Arial" w:cs="Arial"/>
          <w:bCs/>
        </w:rPr>
        <w:t xml:space="preserve">may be negotiated between the UEs in AS layer. AS layer can provide </w:t>
      </w:r>
      <w:r w:rsidR="001D3B26" w:rsidRPr="007F5730">
        <w:rPr>
          <w:rFonts w:ascii="Arial" w:hAnsi="Arial" w:cs="Arial"/>
          <w:bCs/>
        </w:rPr>
        <w:t xml:space="preserve">the PC5 DRX related information to the V2X layer, and RAN2 is working on the detailed </w:t>
      </w:r>
      <w:r w:rsidR="0038650C">
        <w:rPr>
          <w:rFonts w:ascii="Arial" w:hAnsi="Arial" w:cs="Arial"/>
          <w:bCs/>
        </w:rPr>
        <w:t xml:space="preserve">PC5 </w:t>
      </w:r>
      <w:r w:rsidR="001D3B26" w:rsidRPr="007F5730">
        <w:rPr>
          <w:rFonts w:ascii="Arial" w:hAnsi="Arial" w:cs="Arial"/>
          <w:bCs/>
        </w:rPr>
        <w:t>DRX parameter</w:t>
      </w:r>
      <w:r w:rsidR="00994A7D">
        <w:rPr>
          <w:rFonts w:ascii="Arial" w:hAnsi="Arial" w:cs="Arial"/>
          <w:bCs/>
        </w:rPr>
        <w:t>s</w:t>
      </w:r>
      <w:r w:rsidR="001D3B26" w:rsidRPr="007F5730">
        <w:rPr>
          <w:rFonts w:ascii="Arial" w:hAnsi="Arial" w:cs="Arial"/>
          <w:bCs/>
        </w:rPr>
        <w:t xml:space="preserve"> that </w:t>
      </w:r>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r w:rsidR="001D3B26" w:rsidRPr="007F5730">
        <w:rPr>
          <w:rFonts w:ascii="Arial" w:hAnsi="Arial" w:cs="Arial"/>
          <w:bCs/>
        </w:rPr>
        <w:t xml:space="preserve">to </w:t>
      </w:r>
      <w:r w:rsidR="0038650C">
        <w:rPr>
          <w:rFonts w:ascii="Arial" w:hAnsi="Arial" w:cs="Arial"/>
          <w:bCs/>
        </w:rPr>
        <w:t>NR SL communications</w:t>
      </w:r>
      <w:r w:rsidR="001D3B26" w:rsidRPr="007F5730">
        <w:rPr>
          <w:rFonts w:ascii="Arial" w:hAnsi="Arial" w:cs="Arial"/>
          <w:bCs/>
        </w:rPr>
        <w:t xml:space="preserve">. RAN2 would keep SA2 </w:t>
      </w:r>
      <w:r w:rsidR="003454DD">
        <w:rPr>
          <w:rFonts w:ascii="Arial" w:hAnsi="Arial" w:cs="Arial"/>
          <w:bCs/>
        </w:rPr>
        <w:t>to be informed</w:t>
      </w:r>
      <w:r w:rsidR="003454DD" w:rsidRPr="007F5730">
        <w:rPr>
          <w:rFonts w:ascii="Arial" w:hAnsi="Arial" w:cs="Arial"/>
          <w:bCs/>
        </w:rPr>
        <w:t xml:space="preserve"> </w:t>
      </w:r>
      <w:r w:rsidR="003454DD">
        <w:rPr>
          <w:rFonts w:ascii="Arial" w:hAnsi="Arial" w:cs="Arial"/>
          <w:bCs/>
        </w:rPr>
        <w:t>of</w:t>
      </w:r>
      <w:r w:rsidR="003454DD" w:rsidRPr="007F5730">
        <w:rPr>
          <w:rFonts w:ascii="Arial" w:hAnsi="Arial" w:cs="Arial"/>
          <w:bCs/>
        </w:rPr>
        <w:t xml:space="preserve"> </w:t>
      </w:r>
      <w:r w:rsidR="001D3B26" w:rsidRPr="007F5730">
        <w:rPr>
          <w:rFonts w:ascii="Arial" w:hAnsi="Arial" w:cs="Arial"/>
          <w:bCs/>
        </w:rPr>
        <w:t>the RAN2 progress.</w:t>
      </w:r>
    </w:p>
    <w:p w14:paraId="1C97D8E4" w14:textId="77777777" w:rsidR="00142940" w:rsidRPr="001D3B26" w:rsidRDefault="00142940">
      <w:pPr>
        <w:pStyle w:val="af4"/>
        <w:spacing w:after="120"/>
        <w:ind w:left="0"/>
        <w:rPr>
          <w:rFonts w:ascii="Arial" w:hAnsi="Arial" w:cs="Arial"/>
          <w:bCs/>
        </w:rPr>
      </w:pPr>
    </w:p>
    <w:p w14:paraId="6BCD1943" w14:textId="77777777" w:rsidR="00F11661" w:rsidRDefault="002D196E">
      <w:pPr>
        <w:pStyle w:val="af4"/>
        <w:spacing w:after="120"/>
        <w:ind w:left="0"/>
        <w:rPr>
          <w:rFonts w:ascii="Arial" w:hAnsi="Arial" w:cs="Arial"/>
          <w:b/>
          <w:bCs/>
        </w:rPr>
      </w:pPr>
      <w:r>
        <w:rPr>
          <w:rFonts w:ascii="Arial" w:hAnsi="Arial" w:cs="Arial"/>
          <w:b/>
          <w:bCs/>
        </w:rPr>
        <w:t xml:space="preserve">Q3) </w:t>
      </w:r>
      <w:r>
        <w:rPr>
          <w:rFonts w:ascii="Arial" w:hAnsi="Arial" w:cs="Arial"/>
          <w:bCs/>
        </w:rPr>
        <w:t>Once the AS layer determines the PC5 DRX parameters, whether sharing the PC5 DRX related information amongst UEs in the vicinity in V2X layer, is beneficial or feasible for broadcast and groupcast?</w:t>
      </w:r>
    </w:p>
    <w:p w14:paraId="41F308B7" w14:textId="3521FBE1" w:rsidR="0040778E" w:rsidRDefault="002D196E">
      <w:pPr>
        <w:pStyle w:val="af4"/>
        <w:spacing w:after="120"/>
        <w:ind w:left="0"/>
        <w:rPr>
          <w:rFonts w:ascii="Arial" w:hAnsi="Arial" w:cs="Arial"/>
          <w:bCs/>
        </w:rPr>
      </w:pPr>
      <w:r>
        <w:rPr>
          <w:rFonts w:ascii="Arial" w:hAnsi="Arial" w:cs="Arial"/>
          <w:b/>
          <w:bCs/>
        </w:rPr>
        <w:lastRenderedPageBreak/>
        <w:t>A3)</w:t>
      </w:r>
      <w:r>
        <w:rPr>
          <w:rFonts w:ascii="Arial" w:hAnsi="Arial" w:cs="Arial"/>
          <w:bCs/>
        </w:rPr>
        <w:t xml:space="preserve"> </w:t>
      </w:r>
      <w:r w:rsidR="0040778E">
        <w:rPr>
          <w:rFonts w:ascii="Arial" w:eastAsia="맑은 고딕" w:hAnsi="Arial" w:cs="Arial" w:hint="eastAsia"/>
        </w:rPr>
        <w:t xml:space="preserve">RAN2 does not </w:t>
      </w:r>
      <w:r w:rsidR="00F01F2F">
        <w:rPr>
          <w:rFonts w:ascii="Arial" w:eastAsia="맑은 고딕" w:hAnsi="Arial" w:cs="Arial"/>
        </w:rPr>
        <w:t>expect</w:t>
      </w:r>
      <w:r w:rsidR="00F01F2F">
        <w:rPr>
          <w:rFonts w:ascii="Arial" w:eastAsia="맑은 고딕" w:hAnsi="Arial" w:cs="Arial" w:hint="eastAsia"/>
        </w:rPr>
        <w:t xml:space="preserve"> </w:t>
      </w:r>
      <w:r w:rsidR="0040778E">
        <w:rPr>
          <w:rFonts w:ascii="Arial" w:eastAsia="맑은 고딕" w:hAnsi="Arial" w:cs="Arial" w:hint="eastAsia"/>
        </w:rPr>
        <w:t xml:space="preserve">benefits of </w:t>
      </w:r>
      <w:r w:rsidR="0040778E">
        <w:rPr>
          <w:rFonts w:ascii="Arial" w:hAnsi="Arial" w:cs="Arial"/>
          <w:bCs/>
        </w:rPr>
        <w:t>sharing the PC5 DRX related information amongst UEs in the vicinity for SL groupcast/broadcast</w:t>
      </w:r>
      <w:r w:rsidR="00524D7F">
        <w:rPr>
          <w:rFonts w:ascii="Arial" w:hAnsi="Arial" w:cs="Arial"/>
          <w:bCs/>
        </w:rPr>
        <w:t xml:space="preserve"> in V2X layer</w:t>
      </w:r>
      <w:r w:rsidR="0040778E">
        <w:rPr>
          <w:rFonts w:ascii="Arial" w:hAnsi="Arial" w:cs="Arial"/>
          <w:bCs/>
        </w:rPr>
        <w:t>.</w:t>
      </w:r>
    </w:p>
    <w:p w14:paraId="6C1EF6BD" w14:textId="77777777" w:rsidR="00413D7D" w:rsidRPr="00801499" w:rsidRDefault="00413D7D">
      <w:pPr>
        <w:pStyle w:val="af4"/>
        <w:spacing w:after="120"/>
        <w:ind w:left="0"/>
        <w:rPr>
          <w:rFonts w:ascii="Arial" w:eastAsia="맑은 고딕" w:hAnsi="Arial" w:cs="Arial"/>
        </w:rPr>
      </w:pPr>
    </w:p>
    <w:p w14:paraId="10D3B35A" w14:textId="459D72DE" w:rsidR="00F11661" w:rsidRDefault="002D196E">
      <w:pPr>
        <w:pStyle w:val="af4"/>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4B23B9B7" w14:textId="5F11EDB6" w:rsidR="004428C5" w:rsidRPr="007F5730" w:rsidRDefault="002D196E" w:rsidP="004428C5">
      <w:pPr>
        <w:pStyle w:val="af4"/>
        <w:spacing w:after="120"/>
        <w:ind w:left="0"/>
        <w:rPr>
          <w:rFonts w:ascii="Arial" w:hAnsi="Arial" w:cs="Arial"/>
          <w:bCs/>
        </w:rPr>
      </w:pPr>
      <w:r w:rsidRPr="00413D7D">
        <w:rPr>
          <w:rFonts w:ascii="Arial" w:eastAsia="맑은 고딕" w:hAnsi="Arial" w:cs="Arial"/>
          <w:b/>
        </w:rPr>
        <w:t xml:space="preserve">A4) </w:t>
      </w:r>
      <w:r w:rsidR="00413D7D" w:rsidRPr="00413D7D">
        <w:rPr>
          <w:rFonts w:ascii="Arial" w:eastAsia="맑은 고딕" w:hAnsi="Arial" w:cs="Arial"/>
        </w:rPr>
        <w:t>RAN2 is working on this aspect following the WID bullet of “Specify mechanism aiming to align sidelink DRX wake-up time with Uu DRX wake-up time in an in-coverage UE”</w:t>
      </w:r>
      <w:r w:rsidR="00994A7D">
        <w:rPr>
          <w:rFonts w:ascii="Arial" w:eastAsia="맑은 고딕" w:hAnsi="Arial" w:cs="Arial"/>
        </w:rPr>
        <w:t xml:space="preserve">. </w:t>
      </w:r>
      <w:r w:rsidR="004428C5">
        <w:rPr>
          <w:rFonts w:ascii="Arial" w:hAnsi="Arial" w:cs="Arial"/>
          <w:bCs/>
        </w:rPr>
        <w:t xml:space="preserve">RAN2 would keep SA2 </w:t>
      </w:r>
      <w:r w:rsidR="003454DD">
        <w:rPr>
          <w:rFonts w:ascii="Arial" w:hAnsi="Arial" w:cs="Arial"/>
          <w:bCs/>
        </w:rPr>
        <w:t xml:space="preserve">to be informed of </w:t>
      </w:r>
      <w:r w:rsidR="004428C5" w:rsidRPr="007F5730">
        <w:rPr>
          <w:rFonts w:ascii="Arial" w:hAnsi="Arial" w:cs="Arial"/>
          <w:bCs/>
        </w:rPr>
        <w:t>the RAN2 progress.</w:t>
      </w:r>
    </w:p>
    <w:p w14:paraId="2ED360D2" w14:textId="52D88929" w:rsidR="00142940" w:rsidRPr="00413D7D" w:rsidRDefault="00142940" w:rsidP="00413D7D">
      <w:pPr>
        <w:pStyle w:val="af4"/>
        <w:spacing w:after="120"/>
        <w:ind w:left="0"/>
        <w:rPr>
          <w:rFonts w:ascii="Arial" w:eastAsia="맑은 고딕" w:hAnsi="Arial" w:cs="Arial"/>
        </w:rPr>
      </w:pPr>
    </w:p>
    <w:bookmarkEnd w:id="11"/>
    <w:p w14:paraId="70009FB6" w14:textId="77777777" w:rsidR="00F11661" w:rsidRDefault="002D196E">
      <w:pPr>
        <w:pStyle w:val="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5812D0E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B090" w16cex:dateUtc="2021-01-30T00:04:00Z"/>
  <w16cex:commentExtensible w16cex:durableId="23BEB03F" w16cex:dateUtc="2021-01-30T00:03:00Z"/>
  <w16cex:commentExtensible w16cex:durableId="23C2808C" w16cex:dateUtc="2021-02-01T12:28:00Z"/>
  <w16cex:commentExtensible w16cex:durableId="23C2819C" w16cex:dateUtc="2021-02-01T12:33:00Z"/>
  <w16cex:commentExtensible w16cex:durableId="23C2656B" w16cex:dateUtc="2021-02-0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E5C1C" w16cid:durableId="23BE52A7"/>
  <w16cid:commentId w16cid:paraId="0AF20AAE" w16cid:durableId="23BEB090"/>
  <w16cid:commentId w16cid:paraId="102CCC2C" w16cid:durableId="23C27D03"/>
  <w16cid:commentId w16cid:paraId="12F3959A" w16cid:durableId="23C27D04"/>
  <w16cid:commentId w16cid:paraId="71E12EE3" w16cid:durableId="23C27D05"/>
  <w16cid:commentId w16cid:paraId="3FABE541" w16cid:durableId="23C27D06"/>
  <w16cid:commentId w16cid:paraId="66649E08" w16cid:durableId="23BEB03F"/>
  <w16cid:commentId w16cid:paraId="459164EE" w16cid:durableId="23C2808C"/>
  <w16cid:commentId w16cid:paraId="2DF99F06" w16cid:durableId="23C2819C"/>
  <w16cid:commentId w16cid:paraId="213CFDFE" w16cid:durableId="23C265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30454" w14:textId="77777777" w:rsidR="00BA1E2A" w:rsidRDefault="00BA1E2A" w:rsidP="00535422">
      <w:pPr>
        <w:spacing w:after="0"/>
      </w:pPr>
      <w:r>
        <w:separator/>
      </w:r>
    </w:p>
  </w:endnote>
  <w:endnote w:type="continuationSeparator" w:id="0">
    <w:p w14:paraId="287648EC" w14:textId="77777777" w:rsidR="00BA1E2A" w:rsidRDefault="00BA1E2A"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EA285" w14:textId="77777777" w:rsidR="00BA1E2A" w:rsidRDefault="00BA1E2A" w:rsidP="00535422">
      <w:pPr>
        <w:spacing w:after="0"/>
      </w:pPr>
      <w:r>
        <w:separator/>
      </w:r>
    </w:p>
  </w:footnote>
  <w:footnote w:type="continuationSeparator" w:id="0">
    <w:p w14:paraId="56DF0693" w14:textId="77777777" w:rsidR="00BA1E2A" w:rsidRDefault="00BA1E2A" w:rsidP="005354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4B53"/>
    <w:rsid w:val="00006392"/>
    <w:rsid w:val="00006E77"/>
    <w:rsid w:val="00016CA7"/>
    <w:rsid w:val="00017F23"/>
    <w:rsid w:val="00022406"/>
    <w:rsid w:val="00023798"/>
    <w:rsid w:val="00023F25"/>
    <w:rsid w:val="00026787"/>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A20A5"/>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0C20"/>
    <w:rsid w:val="001971E4"/>
    <w:rsid w:val="001979CA"/>
    <w:rsid w:val="001A17F2"/>
    <w:rsid w:val="001A365E"/>
    <w:rsid w:val="001A60BB"/>
    <w:rsid w:val="001B7912"/>
    <w:rsid w:val="001C250E"/>
    <w:rsid w:val="001C34E1"/>
    <w:rsid w:val="001D0F27"/>
    <w:rsid w:val="001D240A"/>
    <w:rsid w:val="001D3B26"/>
    <w:rsid w:val="001D609A"/>
    <w:rsid w:val="001E72D4"/>
    <w:rsid w:val="001F34D0"/>
    <w:rsid w:val="001F5D1F"/>
    <w:rsid w:val="002056B5"/>
    <w:rsid w:val="00206808"/>
    <w:rsid w:val="00207F41"/>
    <w:rsid w:val="00212B02"/>
    <w:rsid w:val="00214AC4"/>
    <w:rsid w:val="00214E87"/>
    <w:rsid w:val="0021500E"/>
    <w:rsid w:val="00215561"/>
    <w:rsid w:val="00223915"/>
    <w:rsid w:val="00232A16"/>
    <w:rsid w:val="00236894"/>
    <w:rsid w:val="00237290"/>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E74B4"/>
    <w:rsid w:val="002F1940"/>
    <w:rsid w:val="002F4F88"/>
    <w:rsid w:val="002F5DDC"/>
    <w:rsid w:val="003011BD"/>
    <w:rsid w:val="003149AE"/>
    <w:rsid w:val="00320FE1"/>
    <w:rsid w:val="00326F00"/>
    <w:rsid w:val="00342958"/>
    <w:rsid w:val="00344CD0"/>
    <w:rsid w:val="003454DD"/>
    <w:rsid w:val="00345E45"/>
    <w:rsid w:val="003468D1"/>
    <w:rsid w:val="00346F33"/>
    <w:rsid w:val="0034706A"/>
    <w:rsid w:val="00350728"/>
    <w:rsid w:val="00351376"/>
    <w:rsid w:val="003516BA"/>
    <w:rsid w:val="00352282"/>
    <w:rsid w:val="00352BD9"/>
    <w:rsid w:val="0035474F"/>
    <w:rsid w:val="003556A0"/>
    <w:rsid w:val="003566AE"/>
    <w:rsid w:val="00363A94"/>
    <w:rsid w:val="003644B3"/>
    <w:rsid w:val="00365245"/>
    <w:rsid w:val="0037267B"/>
    <w:rsid w:val="003746A7"/>
    <w:rsid w:val="00383545"/>
    <w:rsid w:val="003853C1"/>
    <w:rsid w:val="0038650C"/>
    <w:rsid w:val="00386984"/>
    <w:rsid w:val="00390F76"/>
    <w:rsid w:val="003915C3"/>
    <w:rsid w:val="00391D0F"/>
    <w:rsid w:val="00393AF6"/>
    <w:rsid w:val="00395C5D"/>
    <w:rsid w:val="003A25B6"/>
    <w:rsid w:val="003A265A"/>
    <w:rsid w:val="003B0748"/>
    <w:rsid w:val="003B51A8"/>
    <w:rsid w:val="003C25E0"/>
    <w:rsid w:val="003D47D1"/>
    <w:rsid w:val="003D760F"/>
    <w:rsid w:val="003E358B"/>
    <w:rsid w:val="003E3C7B"/>
    <w:rsid w:val="003E507D"/>
    <w:rsid w:val="003E68DC"/>
    <w:rsid w:val="003E6FC9"/>
    <w:rsid w:val="003F07C0"/>
    <w:rsid w:val="003F2A46"/>
    <w:rsid w:val="003F3A13"/>
    <w:rsid w:val="0040778E"/>
    <w:rsid w:val="00407B4C"/>
    <w:rsid w:val="00407EC4"/>
    <w:rsid w:val="00413D7D"/>
    <w:rsid w:val="00413E06"/>
    <w:rsid w:val="0041549E"/>
    <w:rsid w:val="00416502"/>
    <w:rsid w:val="00420650"/>
    <w:rsid w:val="004215A0"/>
    <w:rsid w:val="004241F2"/>
    <w:rsid w:val="004249D7"/>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A5E8D"/>
    <w:rsid w:val="004B2FDC"/>
    <w:rsid w:val="004B5966"/>
    <w:rsid w:val="004B70CD"/>
    <w:rsid w:val="004C3307"/>
    <w:rsid w:val="004D11B8"/>
    <w:rsid w:val="004D74EF"/>
    <w:rsid w:val="004E0D7A"/>
    <w:rsid w:val="004E1F72"/>
    <w:rsid w:val="004E3939"/>
    <w:rsid w:val="004E6C9C"/>
    <w:rsid w:val="004F1395"/>
    <w:rsid w:val="00501F05"/>
    <w:rsid w:val="0050319F"/>
    <w:rsid w:val="00504E89"/>
    <w:rsid w:val="0050557B"/>
    <w:rsid w:val="00506C98"/>
    <w:rsid w:val="00507EBA"/>
    <w:rsid w:val="00514D12"/>
    <w:rsid w:val="00517504"/>
    <w:rsid w:val="00521188"/>
    <w:rsid w:val="00524D7F"/>
    <w:rsid w:val="00525031"/>
    <w:rsid w:val="00531FDE"/>
    <w:rsid w:val="00534B9F"/>
    <w:rsid w:val="00535422"/>
    <w:rsid w:val="00535AC8"/>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17E5"/>
    <w:rsid w:val="006B562A"/>
    <w:rsid w:val="006B5B74"/>
    <w:rsid w:val="006C2E11"/>
    <w:rsid w:val="006E3EC2"/>
    <w:rsid w:val="006E692F"/>
    <w:rsid w:val="006F24A2"/>
    <w:rsid w:val="006F3107"/>
    <w:rsid w:val="00700BEC"/>
    <w:rsid w:val="00705886"/>
    <w:rsid w:val="0070716A"/>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7553A"/>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1353"/>
    <w:rsid w:val="007D28C2"/>
    <w:rsid w:val="007D4849"/>
    <w:rsid w:val="007D6CCA"/>
    <w:rsid w:val="007E47B6"/>
    <w:rsid w:val="007E5F5E"/>
    <w:rsid w:val="007F4F92"/>
    <w:rsid w:val="007F5730"/>
    <w:rsid w:val="007F5CD4"/>
    <w:rsid w:val="0080014F"/>
    <w:rsid w:val="00801499"/>
    <w:rsid w:val="008016DA"/>
    <w:rsid w:val="0080779C"/>
    <w:rsid w:val="0081117C"/>
    <w:rsid w:val="0083154D"/>
    <w:rsid w:val="0083337E"/>
    <w:rsid w:val="00836AC9"/>
    <w:rsid w:val="008373AA"/>
    <w:rsid w:val="00851F36"/>
    <w:rsid w:val="00860046"/>
    <w:rsid w:val="0086126A"/>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C7E25"/>
    <w:rsid w:val="008D0485"/>
    <w:rsid w:val="008D772F"/>
    <w:rsid w:val="008E384F"/>
    <w:rsid w:val="008F35D0"/>
    <w:rsid w:val="008F6315"/>
    <w:rsid w:val="009016FE"/>
    <w:rsid w:val="00903587"/>
    <w:rsid w:val="00903FC5"/>
    <w:rsid w:val="00904BE5"/>
    <w:rsid w:val="00910ED3"/>
    <w:rsid w:val="009134AC"/>
    <w:rsid w:val="009149AE"/>
    <w:rsid w:val="00914A34"/>
    <w:rsid w:val="00923A31"/>
    <w:rsid w:val="0092575D"/>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85B3B"/>
    <w:rsid w:val="00A86319"/>
    <w:rsid w:val="00A92389"/>
    <w:rsid w:val="00A9415A"/>
    <w:rsid w:val="00A974CB"/>
    <w:rsid w:val="00A97CDC"/>
    <w:rsid w:val="00AA37D4"/>
    <w:rsid w:val="00AA3F6B"/>
    <w:rsid w:val="00AA4F9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C08"/>
    <w:rsid w:val="00B71E71"/>
    <w:rsid w:val="00B72B81"/>
    <w:rsid w:val="00B73F3B"/>
    <w:rsid w:val="00B75FA9"/>
    <w:rsid w:val="00B8102A"/>
    <w:rsid w:val="00B84A10"/>
    <w:rsid w:val="00B911E8"/>
    <w:rsid w:val="00B97703"/>
    <w:rsid w:val="00BA1E2A"/>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19E5"/>
    <w:rsid w:val="00C64BEA"/>
    <w:rsid w:val="00C665BD"/>
    <w:rsid w:val="00C7056B"/>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2907"/>
    <w:rsid w:val="00CB4090"/>
    <w:rsid w:val="00CC0DBD"/>
    <w:rsid w:val="00CC1EB3"/>
    <w:rsid w:val="00CC1F09"/>
    <w:rsid w:val="00CC2F12"/>
    <w:rsid w:val="00CC76CA"/>
    <w:rsid w:val="00CD3D72"/>
    <w:rsid w:val="00D023DA"/>
    <w:rsid w:val="00D036B3"/>
    <w:rsid w:val="00D06FEC"/>
    <w:rsid w:val="00D07515"/>
    <w:rsid w:val="00D15A6D"/>
    <w:rsid w:val="00D24970"/>
    <w:rsid w:val="00D279A6"/>
    <w:rsid w:val="00D37249"/>
    <w:rsid w:val="00D44D15"/>
    <w:rsid w:val="00D4608D"/>
    <w:rsid w:val="00D5316D"/>
    <w:rsid w:val="00D53893"/>
    <w:rsid w:val="00D53C41"/>
    <w:rsid w:val="00D6141B"/>
    <w:rsid w:val="00D65E7B"/>
    <w:rsid w:val="00D67673"/>
    <w:rsid w:val="00D71CD6"/>
    <w:rsid w:val="00D7338D"/>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24C8"/>
    <w:rsid w:val="00E23AA6"/>
    <w:rsid w:val="00E26A89"/>
    <w:rsid w:val="00E26CF0"/>
    <w:rsid w:val="00E35351"/>
    <w:rsid w:val="00E43684"/>
    <w:rsid w:val="00E45444"/>
    <w:rsid w:val="00E454C0"/>
    <w:rsid w:val="00E4609C"/>
    <w:rsid w:val="00E51165"/>
    <w:rsid w:val="00E55E5A"/>
    <w:rsid w:val="00E56039"/>
    <w:rsid w:val="00E637F3"/>
    <w:rsid w:val="00E70734"/>
    <w:rsid w:val="00E72AC5"/>
    <w:rsid w:val="00E95453"/>
    <w:rsid w:val="00E96BEE"/>
    <w:rsid w:val="00EB5721"/>
    <w:rsid w:val="00EC057B"/>
    <w:rsid w:val="00ED00DD"/>
    <w:rsid w:val="00ED0A33"/>
    <w:rsid w:val="00ED0B37"/>
    <w:rsid w:val="00EE22DF"/>
    <w:rsid w:val="00EF288A"/>
    <w:rsid w:val="00EF3539"/>
    <w:rsid w:val="00F01F2F"/>
    <w:rsid w:val="00F03251"/>
    <w:rsid w:val="00F04DA4"/>
    <w:rsid w:val="00F0573D"/>
    <w:rsid w:val="00F06161"/>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A361A"/>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SimSun"/>
      <w:kern w:val="2"/>
      <w:sz w:val="21"/>
      <w:szCs w:val="24"/>
      <w:lang w:val="en-US" w:eastAsia="zh-CN"/>
    </w:rPr>
  </w:style>
  <w:style w:type="paragraph" w:styleId="a7">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link w:val="Char0"/>
    <w:uiPriority w:val="99"/>
    <w:semiHidden/>
    <w:unhideWhenUsed/>
    <w:rPr>
      <w:rFonts w:ascii="Tahoma" w:hAnsi="Tahoma"/>
      <w:sz w:val="16"/>
      <w:szCs w:val="16"/>
      <w:lang w:eastAsia="zh-CN"/>
    </w:rPr>
  </w:style>
  <w:style w:type="paragraph" w:styleId="aa">
    <w:name w:val="footer"/>
    <w:basedOn w:val="ab"/>
    <w:semiHidden/>
    <w:pPr>
      <w:jc w:val="center"/>
    </w:pPr>
    <w:rPr>
      <w:i/>
    </w:rPr>
  </w:style>
  <w:style w:type="paragraph" w:styleId="ab">
    <w:name w:val="header"/>
    <w:link w:val="Char1"/>
    <w:pPr>
      <w:widowControl w:val="0"/>
      <w:overflowPunct w:val="0"/>
      <w:autoSpaceDE w:val="0"/>
      <w:autoSpaceDN w:val="0"/>
      <w:adjustRightInd w:val="0"/>
      <w:textAlignment w:val="baseline"/>
    </w:pPr>
    <w:rPr>
      <w:rFonts w:ascii="Arial" w:hAnsi="Arial"/>
      <w:b/>
      <w:sz w:val="18"/>
      <w:lang w:eastAsia="en-US"/>
    </w:rPr>
  </w:style>
  <w:style w:type="paragraph" w:styleId="ac">
    <w:name w:val="footnote text"/>
    <w:basedOn w:val="a"/>
    <w:link w:val="Char2"/>
    <w:semiHidden/>
    <w:pPr>
      <w:keepLines/>
      <w:spacing w:after="0"/>
      <w:ind w:left="454" w:hanging="454"/>
    </w:pPr>
    <w:rPr>
      <w:sz w:val="16"/>
      <w:lang w:eastAsia="zh-CN"/>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ad">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e">
    <w:name w:val="annotation subject"/>
    <w:basedOn w:val="a7"/>
    <w:next w:val="a7"/>
    <w:link w:val="Char3"/>
    <w:uiPriority w:val="99"/>
    <w:semiHidden/>
    <w:unhideWhenUsed/>
    <w:qFormat/>
    <w:pPr>
      <w:tabs>
        <w:tab w:val="clear" w:pos="1418"/>
        <w:tab w:val="clear" w:pos="4678"/>
        <w:tab w:val="clear" w:pos="5954"/>
        <w:tab w:val="clear" w:pos="7088"/>
      </w:tabs>
      <w:spacing w:after="180"/>
      <w:jc w:val="left"/>
    </w:pPr>
    <w:rPr>
      <w:b/>
      <w:bCs/>
    </w:r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3">
    <w:name w:val="??"/>
    <w:pPr>
      <w:widowControl w:val="0"/>
    </w:pPr>
    <w:rPr>
      <w:lang w:eastAsia="en-US"/>
    </w:rPr>
  </w:style>
  <w:style w:type="paragraph" w:customStyle="1" w:styleId="25">
    <w:name w:val="??? 2"/>
    <w:basedOn w:val="af3"/>
    <w:next w:val="af3"/>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0">
    <w:name w:val="풍선 도움말 텍스트 Char"/>
    <w:link w:val="a9"/>
    <w:uiPriority w:val="99"/>
    <w:semiHidden/>
    <w:rPr>
      <w:rFonts w:ascii="Tahoma" w:hAnsi="Tahoma" w:cs="Tahoma"/>
      <w:sz w:val="16"/>
      <w:szCs w:val="16"/>
      <w:lang w:val="en-GB"/>
    </w:rPr>
  </w:style>
  <w:style w:type="character" w:customStyle="1" w:styleId="Char1">
    <w:name w:val="머리글 Char"/>
    <w:link w:val="ab"/>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Char2">
    <w:name w:val="각주 텍스트 Char"/>
    <w:link w:val="ac"/>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메모 텍스트 Char"/>
    <w:link w:val="a7"/>
    <w:semiHidden/>
    <w:qFormat/>
    <w:rPr>
      <w:rFonts w:ascii="Arial" w:hAnsi="Arial"/>
      <w:lang w:val="en-GB" w:eastAsia="ko-KR"/>
    </w:rPr>
  </w:style>
  <w:style w:type="character" w:customStyle="1" w:styleId="Char3">
    <w:name w:val="메모 주제 Char"/>
    <w:link w:val="ae"/>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목록 단락 Char"/>
    <w:link w:val="af4"/>
    <w:uiPriority w:val="34"/>
    <w:qFormat/>
    <w:locked/>
    <w:rPr>
      <w:lang w:eastAsia="ko-KR"/>
    </w:rPr>
  </w:style>
  <w:style w:type="paragraph" w:styleId="af5">
    <w:name w:val="Revision"/>
    <w:hidden/>
    <w:uiPriority w:val="99"/>
    <w:semiHidden/>
    <w:rsid w:val="00190C20"/>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3.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B38D6F-810A-46B5-BD4F-923FB9B9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445</Words>
  <Characters>2539</Characters>
  <Application>Microsoft Office Word</Application>
  <DocSecurity>0</DocSecurity>
  <Lines>21</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LG: Giwon Park</cp:lastModifiedBy>
  <cp:revision>2</cp:revision>
  <cp:lastPrinted>2002-04-23T07:10:00Z</cp:lastPrinted>
  <dcterms:created xsi:type="dcterms:W3CDTF">2021-02-02T11:07:00Z</dcterms:created>
  <dcterms:modified xsi:type="dcterms:W3CDTF">2021-02-02T11:07:00Z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y fmtid="{D5CDD505-2E9C-101B-9397-08002B2CF9AE}" pid="5" name="CWM247bcd1acbee4ce8a8f512d9282aad79">
    <vt:lpwstr>CWM2llO9AgUjKPmjkWaGkcZHopuivxwHxx6KMOBvAmGOqPZLTc/pCHMOV673BS+HTGYreMwNGzgOLYNLbsJtG4GcA==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1612232246</vt:lpwstr>
  </property>
</Properties>
</file>