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:rsidR="001E41F3" w:rsidRDefault="001E41F3">
      <w:pPr>
        <w:rPr>
          <w:noProof/>
          <w:lang w:eastAsia="ko-KR"/>
        </w:rPr>
      </w:pPr>
    </w:p>
    <w:p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宋体" w:hint="eastAsia"/>
          <w:b/>
          <w:noProof/>
          <w:lang w:eastAsia="zh-CN"/>
        </w:rPr>
        <w:t>6.15</w:t>
      </w:r>
    </w:p>
    <w:p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:rsidR="00F64218" w:rsidRDefault="00F64218" w:rsidP="00F64218">
      <w:pPr>
        <w:pStyle w:val="EmailDiscussion"/>
      </w:pPr>
      <w:r>
        <w:t>[AT111-e][036][NR-R4] CSIRS L3 and RF FR1 (CATT)</w:t>
      </w:r>
    </w:p>
    <w:p w:rsidR="00F64218" w:rsidRDefault="00F64218" w:rsidP="00F64218">
      <w:pPr>
        <w:pStyle w:val="EmailDiscussion2"/>
      </w:pPr>
      <w:r>
        <w:tab/>
        <w:t>Scope: Treat R2-2007001, R2-2007002, R2-2007065</w:t>
      </w:r>
    </w:p>
    <w:p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:rsidR="001B273C" w:rsidRPr="00621DC0" w:rsidRDefault="001B273C" w:rsidP="00A5303D">
      <w:pPr>
        <w:rPr>
          <w:rFonts w:eastAsia="宋体"/>
          <w:lang w:eastAsia="zh-CN"/>
        </w:rPr>
      </w:pPr>
    </w:p>
    <w:p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F959F2" w:rsidRPr="00F959F2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R2-2007001‎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:rsidR="00E22E25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R2-2007002‎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>Table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:rsidTr="004D5DAA">
        <w:tc>
          <w:tcPr>
            <w:tcW w:w="1129" w:type="dxa"/>
          </w:tcPr>
          <w:p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:rsidTr="004D5DAA">
        <w:tc>
          <w:tcPr>
            <w:tcW w:w="1129" w:type="dxa"/>
          </w:tcPr>
          <w:p w:rsidR="00C7217E" w:rsidRDefault="00171B97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:rsidR="00C7217E" w:rsidRPr="00171B97" w:rsidRDefault="00171B97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gree</w:t>
            </w:r>
          </w:p>
        </w:tc>
        <w:tc>
          <w:tcPr>
            <w:tcW w:w="6515" w:type="dxa"/>
          </w:tcPr>
          <w:p w:rsidR="00C7217E" w:rsidRPr="00171B97" w:rsidRDefault="00171B97" w:rsidP="004D5DA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support the CRs.</w:t>
            </w: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:rsidR="001A5AEF" w:rsidRDefault="001A5AEF" w:rsidP="00C7217E">
      <w:pPr>
        <w:jc w:val="center"/>
        <w:rPr>
          <w:lang w:eastAsia="ko-KR"/>
        </w:rPr>
      </w:pPr>
    </w:p>
    <w:p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621DC0" w:rsidRPr="00621DC0" w:rsidRDefault="00621DC0" w:rsidP="001A5AEF">
      <w:pPr>
        <w:rPr>
          <w:rFonts w:eastAsia="宋体"/>
          <w:lang w:eastAsia="zh-CN"/>
        </w:rPr>
      </w:pPr>
    </w:p>
    <w:p w:rsidR="001A5AEF" w:rsidRPr="009851C6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9851C6">
        <w:t>NR CA additional spectrum emission requirements</w:t>
      </w:r>
    </w:p>
    <w:p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C057B5" w:rsidRDefault="009851C6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9851C6">
        <w:rPr>
          <w:rFonts w:ascii="Arial" w:eastAsia="宋体" w:hAnsi="Arial"/>
          <w:noProof/>
          <w:szCs w:val="24"/>
          <w:lang w:eastAsia="zh-CN"/>
        </w:rPr>
        <w:t>R2-2007065‎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CR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B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NR_RF_FR1-Core</w:t>
      </w:r>
    </w:p>
    <w:p w:rsidR="00C057B5" w:rsidRDefault="00C057B5" w:rsidP="001A5AE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734C4C" w:rsidTr="004D5DAA">
        <w:tc>
          <w:tcPr>
            <w:tcW w:w="1129" w:type="dxa"/>
          </w:tcPr>
          <w:p w:rsidR="00734C4C" w:rsidRPr="00227B28" w:rsidRDefault="00734C4C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A84F00" w:rsidRDefault="00A84F00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:rsidTr="004D5DAA">
        <w:tc>
          <w:tcPr>
            <w:tcW w:w="1129" w:type="dxa"/>
          </w:tcPr>
          <w:p w:rsidR="00734C4C" w:rsidRDefault="007D509A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A237BE" w:rsidRDefault="007D509A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rFonts w:eastAsia="宋体"/>
                <w:lang w:eastAsia="zh-CN"/>
              </w:rPr>
              <w:t xml:space="preserve">Generally we agree the intention of introducing </w:t>
            </w:r>
            <w:r w:rsidRPr="007D509A">
              <w:rPr>
                <w:rFonts w:eastAsia="宋体"/>
                <w:lang w:eastAsia="zh-CN"/>
              </w:rPr>
              <w:t xml:space="preserve">limitation </w:t>
            </w:r>
            <w:r>
              <w:rPr>
                <w:szCs w:val="22"/>
                <w:lang w:eastAsia="sv-SE"/>
              </w:rPr>
              <w:t xml:space="preserve">for CA case. However, in LTE, there is a separate IE </w:t>
            </w:r>
            <w:proofErr w:type="spellStart"/>
            <w:r w:rsidRPr="007D509A">
              <w:rPr>
                <w:i/>
                <w:szCs w:val="22"/>
                <w:lang w:eastAsia="sv-SE"/>
              </w:rPr>
              <w:t>additionalSpectrumEmissionSCell</w:t>
            </w:r>
            <w:proofErr w:type="spellEnd"/>
            <w:r>
              <w:rPr>
                <w:szCs w:val="22"/>
                <w:lang w:eastAsia="sv-SE"/>
              </w:rPr>
              <w:t xml:space="preserve">, </w:t>
            </w:r>
            <w:r w:rsidR="00A237BE">
              <w:rPr>
                <w:szCs w:val="22"/>
                <w:lang w:eastAsia="sv-SE"/>
              </w:rPr>
              <w:t xml:space="preserve">we are not sure </w:t>
            </w:r>
            <w:r w:rsidR="00A408A0">
              <w:rPr>
                <w:szCs w:val="22"/>
                <w:lang w:eastAsia="sv-SE"/>
              </w:rPr>
              <w:t xml:space="preserve">if </w:t>
            </w:r>
            <w:r w:rsidR="00A237BE">
              <w:rPr>
                <w:szCs w:val="22"/>
                <w:lang w:eastAsia="sv-SE"/>
              </w:rPr>
              <w:t xml:space="preserve">we need to do the same in NR or </w:t>
            </w:r>
            <w:r w:rsidR="00A408A0">
              <w:rPr>
                <w:szCs w:val="22"/>
                <w:lang w:eastAsia="sv-SE"/>
              </w:rPr>
              <w:t>can use</w:t>
            </w:r>
            <w:r w:rsidR="00A237BE">
              <w:rPr>
                <w:szCs w:val="22"/>
                <w:lang w:eastAsia="sv-SE"/>
              </w:rPr>
              <w:t xml:space="preserve"> legacy field </w:t>
            </w:r>
            <w:r w:rsidR="00A408A0">
              <w:rPr>
                <w:szCs w:val="22"/>
                <w:lang w:eastAsia="sv-SE"/>
              </w:rPr>
              <w:t>to cover non-CA and CA case</w:t>
            </w:r>
            <w:r w:rsidR="00A237BE">
              <w:rPr>
                <w:szCs w:val="22"/>
                <w:lang w:eastAsia="sv-SE"/>
              </w:rPr>
              <w:t>. Also the description is not fully the same as it in LTE. In LTE it is “</w:t>
            </w:r>
            <w:r w:rsidR="00A237BE" w:rsidRPr="008A2006">
              <w:rPr>
                <w:lang w:eastAsia="en-GB"/>
              </w:rPr>
              <w:t xml:space="preserve">applicable for all serving cells (including </w:t>
            </w:r>
            <w:proofErr w:type="spellStart"/>
            <w:r w:rsidR="00A237BE" w:rsidRPr="008A2006">
              <w:rPr>
                <w:lang w:eastAsia="en-GB"/>
              </w:rPr>
              <w:t>PCell</w:t>
            </w:r>
            <w:proofErr w:type="spellEnd"/>
            <w:r w:rsidR="00A237BE" w:rsidRPr="008A2006">
              <w:rPr>
                <w:lang w:eastAsia="en-GB"/>
              </w:rPr>
              <w:t>)</w:t>
            </w:r>
            <w:r w:rsidR="00A237BE">
              <w:rPr>
                <w:szCs w:val="22"/>
                <w:lang w:eastAsia="sv-SE"/>
              </w:rPr>
              <w:t>”, in this CR “</w:t>
            </w:r>
            <w:r w:rsidR="00A237BE" w:rsidRPr="00A237BE">
              <w:rPr>
                <w:szCs w:val="22"/>
                <w:lang w:eastAsia="sv-SE"/>
              </w:rPr>
              <w:t xml:space="preserve">applicable for all serving cells (including </w:t>
            </w:r>
            <w:proofErr w:type="spellStart"/>
            <w:r w:rsidR="00A237BE" w:rsidRPr="00A237BE">
              <w:rPr>
                <w:szCs w:val="22"/>
                <w:lang w:eastAsia="sv-SE"/>
              </w:rPr>
              <w:t>PSCell</w:t>
            </w:r>
            <w:proofErr w:type="spellEnd"/>
            <w:r w:rsidR="00A237BE" w:rsidRPr="00A237BE">
              <w:rPr>
                <w:szCs w:val="22"/>
                <w:lang w:eastAsia="sv-SE"/>
              </w:rPr>
              <w:t>)</w:t>
            </w:r>
            <w:r w:rsidR="00A237BE">
              <w:rPr>
                <w:szCs w:val="22"/>
                <w:lang w:eastAsia="sv-SE"/>
              </w:rPr>
              <w:t xml:space="preserve">”, is the intention to also cover the DC case? </w:t>
            </w:r>
          </w:p>
          <w:p w:rsidR="00734C4C" w:rsidRDefault="00A237BE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Besides, a wording change is suggested to </w:t>
            </w:r>
            <w:r w:rsidR="00893F0A">
              <w:rPr>
                <w:szCs w:val="22"/>
                <w:lang w:eastAsia="sv-SE"/>
              </w:rPr>
              <w:t xml:space="preserve">be more </w:t>
            </w:r>
            <w:r w:rsidR="00A408A0">
              <w:rPr>
                <w:szCs w:val="22"/>
                <w:lang w:eastAsia="sv-SE"/>
              </w:rPr>
              <w:t>precise in NR</w:t>
            </w:r>
            <w:r w:rsidR="00893F0A">
              <w:rPr>
                <w:szCs w:val="22"/>
                <w:lang w:eastAsia="sv-SE"/>
              </w:rPr>
              <w:t>:</w:t>
            </w:r>
          </w:p>
          <w:p w:rsidR="00A237BE" w:rsidRPr="007D509A" w:rsidRDefault="00A237BE" w:rsidP="007D509A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szCs w:val="18"/>
              </w:rPr>
              <w:t>Network</w:t>
            </w:r>
            <w:r w:rsidRPr="00286E24">
              <w:rPr>
                <w:szCs w:val="18"/>
              </w:rPr>
              <w:t xml:space="preserve"> configures the same value in </w:t>
            </w:r>
            <w:proofErr w:type="spellStart"/>
            <w:r w:rsidRPr="00286E24">
              <w:rPr>
                <w:i/>
                <w:iCs/>
                <w:szCs w:val="18"/>
              </w:rPr>
              <w:t>additionalSpectrumEmission</w:t>
            </w:r>
            <w:proofErr w:type="spellEnd"/>
            <w:r w:rsidRPr="00286E24">
              <w:rPr>
                <w:i/>
                <w:iCs/>
                <w:szCs w:val="18"/>
              </w:rPr>
              <w:t xml:space="preserve"> </w:t>
            </w:r>
            <w:r w:rsidRPr="00286E24">
              <w:rPr>
                <w:szCs w:val="18"/>
              </w:rPr>
              <w:t xml:space="preserve">for all </w:t>
            </w:r>
            <w:r w:rsidR="00893F0A" w:rsidRPr="00893F0A">
              <w:rPr>
                <w:color w:val="FF0000"/>
                <w:szCs w:val="18"/>
              </w:rPr>
              <w:t>uplink carrier(s</w:t>
            </w:r>
            <w:proofErr w:type="gramStart"/>
            <w:r w:rsidR="00893F0A" w:rsidRPr="00893F0A">
              <w:rPr>
                <w:color w:val="FF0000"/>
                <w:szCs w:val="18"/>
              </w:rPr>
              <w:t>)</w:t>
            </w:r>
            <w:proofErr w:type="spellStart"/>
            <w:r w:rsidRPr="00893F0A">
              <w:rPr>
                <w:strike/>
                <w:color w:val="FF0000"/>
                <w:szCs w:val="18"/>
              </w:rPr>
              <w:t>SCell</w:t>
            </w:r>
            <w:proofErr w:type="spellEnd"/>
            <w:proofErr w:type="gramEnd"/>
            <w:r w:rsidRPr="00893F0A">
              <w:rPr>
                <w:strike/>
                <w:color w:val="FF0000"/>
                <w:szCs w:val="18"/>
              </w:rPr>
              <w:t>(s)</w:t>
            </w:r>
            <w:r w:rsidRPr="00286E24">
              <w:rPr>
                <w:szCs w:val="18"/>
              </w:rPr>
              <w:t xml:space="preserve"> of the same band with UL configured.</w:t>
            </w:r>
          </w:p>
        </w:tc>
        <w:bookmarkStart w:id="2" w:name="_GoBack"/>
        <w:bookmarkEnd w:id="2"/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</w:tbl>
    <w:p w:rsidR="00734C4C" w:rsidRDefault="00734C4C" w:rsidP="00734C4C">
      <w:pPr>
        <w:rPr>
          <w:lang w:eastAsia="ko-KR"/>
        </w:rPr>
      </w:pPr>
    </w:p>
    <w:p w:rsidR="00734C4C" w:rsidRPr="00296022" w:rsidRDefault="00734C4C" w:rsidP="00734C4C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734C4C" w:rsidRPr="00296022" w:rsidRDefault="00734C4C" w:rsidP="00734C4C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C10C62" w:rsidRPr="00C10C62" w:rsidRDefault="00C10C62" w:rsidP="00C10C62">
      <w:pPr>
        <w:rPr>
          <w:rFonts w:eastAsia="宋体"/>
          <w:lang w:eastAsia="zh-CN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:rsidR="00502E6E" w:rsidRPr="005C406E" w:rsidRDefault="00502E6E" w:rsidP="009B5BBC">
      <w:pPr>
        <w:rPr>
          <w:lang w:eastAsia="ko-KR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22" w:rsidRDefault="00090C22">
      <w:r>
        <w:separator/>
      </w:r>
    </w:p>
  </w:endnote>
  <w:endnote w:type="continuationSeparator" w:id="0">
    <w:p w:rsidR="00090C22" w:rsidRDefault="0009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22" w:rsidRDefault="00090C22">
      <w:r>
        <w:separator/>
      </w:r>
    </w:p>
  </w:footnote>
  <w:footnote w:type="continuationSeparator" w:id="0">
    <w:p w:rsidR="00090C22" w:rsidRDefault="00090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0C22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1B97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09A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F0A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37BE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08A0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98D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AF5527-FEC7-4BD7-8699-041540A6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70D0A-E592-49A9-B736-57949F39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</cp:lastModifiedBy>
  <cp:revision>37</cp:revision>
  <cp:lastPrinted>1900-12-31T16:00:00Z</cp:lastPrinted>
  <dcterms:created xsi:type="dcterms:W3CDTF">2020-08-17T12:02:00Z</dcterms:created>
  <dcterms:modified xsi:type="dcterms:W3CDTF">2020-08-18T14:03:00Z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(2)aoaK+hblSjwVoUbML1/0SElHNKx2anc6tfMTTLl7abOGWC4DKGU6OUzlaCblXIzrB8EIEQh5
dMo4fPUhd5RxRb6faPnhrx4HPY/FB0c+keVImm64JzBDmU6JrZUhs2OABgsjfDVegiVv6KN6
b3LlyR5jEDc+2FIyKxYtZhULnyXL6CN1pATEbtLIFRmCx9k5jPDXlwo+lgaZ1HLsu2yZdCja
OJy5QncCzIFGR8z0Gb</vt:lpwstr>
  </property>
  <property fmtid="{D5CDD505-2E9C-101B-9397-08002B2CF9AE}" pid="5" name="_2015_ms_pID_7253431">
    <vt:lpwstr>DHV3TovrXEWME14waD5g0LUfJ+/zvkqdD6O/ERwnBQBMnxx+heikBO
F4Cq0ojGiJ0HtDbOFzVZ/gSDzRLlCitKfeSbVJSxLHmYxzpmKsC7QWozhdSflztaXRTodAyM
Ela27P4f8xs6EqLguezYIAzPCtrBdfOCM6EaoO6+RbatI5o5VTGcMh45qvLcSKgmz2osCeEW
IhHQ9TysrK8UTIk+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1597658255</vt:lpwstr>
  </property>
</Properties>
</file>