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F83FFA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F83FFA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F83FFA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F83FFA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F83FFA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(mkitazoe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iru Kuang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r>
              <w:t>Futurewei</w:t>
            </w:r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r>
              <w:t>Hao Bi (hao.bi@futuewei.com)</w:t>
            </w: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F83FFA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F83FFA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F83FFA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intraBandFreqSeparationDL.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clarification  is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intraBandFreqSeparationDL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Futurewei</w:t>
            </w:r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Would like to have some clarification to understand the sentence “</w:t>
            </w:r>
            <w:r w:rsidRPr="001D0444">
              <w:rPr>
                <w:rFonts w:eastAsia="Times New Roman"/>
              </w:rPr>
              <w:t>The UE sets the same value in the FeatureSetDownlink of each band entry within a band</w:t>
            </w:r>
            <w:r w:rsidRPr="001D0444">
              <w:rPr>
                <w:rFonts w:eastAsia="Times New Roman"/>
              </w:rPr>
              <w:t>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The UE sets the same value in the FeatureSetDownlink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F83FFA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F83FFA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等线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Futurewei</w:t>
            </w:r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Share the same view that we can wait for RAN4 conclusion.</w:t>
            </w:r>
            <w:bookmarkStart w:id="1" w:name="_GoBack"/>
            <w:bookmarkEnd w:id="1"/>
          </w:p>
        </w:tc>
      </w:tr>
      <w:bookmarkEnd w:id="0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2" w:name="_In-sequence_SDU_delivery"/>
      <w:bookmarkEnd w:id="2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lastRenderedPageBreak/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F83FFA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F83FFA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F83FFA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F83FFA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F83FFA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F83FFA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E98D" w14:textId="77777777" w:rsidR="00F83FFA" w:rsidRDefault="00F83FFA">
      <w:r>
        <w:separator/>
      </w:r>
    </w:p>
  </w:endnote>
  <w:endnote w:type="continuationSeparator" w:id="0">
    <w:p w14:paraId="180B916D" w14:textId="77777777" w:rsidR="00F83FFA" w:rsidRDefault="00F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F6986" w14:textId="77777777" w:rsidR="00F83FFA" w:rsidRDefault="00F83FFA">
      <w:r>
        <w:separator/>
      </w:r>
    </w:p>
  </w:footnote>
  <w:footnote w:type="continuationSeparator" w:id="0">
    <w:p w14:paraId="65566171" w14:textId="77777777" w:rsidR="00F83FFA" w:rsidRDefault="00F8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等线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等线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A7610-B086-41CB-881F-1988A649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10314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Hao Bi</cp:lastModifiedBy>
  <cp:revision>3</cp:revision>
  <cp:lastPrinted>1900-12-31T16:00:00Z</cp:lastPrinted>
  <dcterms:created xsi:type="dcterms:W3CDTF">2020-08-18T23:36:00Z</dcterms:created>
  <dcterms:modified xsi:type="dcterms:W3CDTF">2020-08-18T23:51:00Z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