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1310829E" w14:textId="77777777" w:rsidR="009B50AB" w:rsidRDefault="00691F1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1262A78E" wp14:editId="6DC2A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CustomData="http://www.wps.cn/officeDocument/2013/wpsCustomData">
            <w:pict>
              <v:shape id="Auto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8240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bs3&#10;Zs8AAAD/AAAADwAAAAAAAAABACAAAAAiAAAAZHJzL2Rvd25yZXYueG1sUEsBAhQAFAAAAAgAh07i&#10;QEHldNuCBQAARRYAAA4AAAAAAAAAAQAgAAAAHgEAAGRycy9lMm9Eb2MueG1sUEsFBgAAAAAGAAYA&#10;WQEAABI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#111-e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7B6F9314" w14:textId="77777777" w:rsidR="009B50AB" w:rsidRDefault="00691F1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>, 17th – 28th August 2020</w:t>
      </w:r>
    </w:p>
    <w:p w14:paraId="026A6280" w14:textId="77777777" w:rsidR="009B50AB" w:rsidRDefault="009B50AB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46518245" w14:textId="77777777" w:rsidR="009B50AB" w:rsidRDefault="00691F10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6.1.2</w:t>
      </w:r>
    </w:p>
    <w:p w14:paraId="3FFF6CA2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4F74BFB" w14:textId="77777777" w:rsidR="009B50AB" w:rsidRDefault="00691F10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018 UE cap MR-DC Power Class</w:t>
      </w:r>
    </w:p>
    <w:p w14:paraId="5E2AC0D0" w14:textId="77777777" w:rsidR="009B50AB" w:rsidRDefault="00691F1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933C33B" w14:textId="77777777" w:rsidR="009B50AB" w:rsidRDefault="00691F10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1D575D7" w14:textId="77777777" w:rsidR="009B50AB" w:rsidRDefault="00691F10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MR-DC Power Class.</w:t>
      </w:r>
    </w:p>
    <w:p w14:paraId="351696EB" w14:textId="77777777" w:rsidR="009B50AB" w:rsidRDefault="00691F10">
      <w:pPr>
        <w:pStyle w:val="EmailDiscussion"/>
        <w:tabs>
          <w:tab w:val="clear" w:pos="1710"/>
          <w:tab w:val="left" w:pos="1619"/>
        </w:tabs>
        <w:ind w:left="1619"/>
      </w:pPr>
      <w:r>
        <w:t>[AT111-e][018][NR16] UE cap MR-DC Power Class (Huawei)</w:t>
      </w:r>
    </w:p>
    <w:p w14:paraId="3EA878BB" w14:textId="77777777" w:rsidR="009B50AB" w:rsidRDefault="00691F10">
      <w:pPr>
        <w:pStyle w:val="EmailDiscussion2"/>
      </w:pPr>
      <w:r>
        <w:tab/>
        <w:t>Scope: Treat R2-2007112, R2-2007113, R2-2007114, R2-2008077, R2-2008078 (proponents to drive),</w:t>
      </w:r>
    </w:p>
    <w:p w14:paraId="602C8316" w14:textId="77777777" w:rsidR="009B50AB" w:rsidRDefault="00691F10">
      <w:pPr>
        <w:pStyle w:val="EmailDiscussion2"/>
      </w:pPr>
      <w:r>
        <w:tab/>
        <w:t xml:space="preserve">Deadlines: </w:t>
      </w:r>
    </w:p>
    <w:p w14:paraId="26ADC513" w14:textId="77777777" w:rsidR="009B50AB" w:rsidRDefault="00691F10">
      <w:pPr>
        <w:pStyle w:val="EmailDiscussion2"/>
        <w:ind w:leftChars="1055" w:left="2110"/>
      </w:pPr>
      <w:r>
        <w:t xml:space="preserve">Phase I: solution selection, Wednesday </w:t>
      </w:r>
      <w:r>
        <w:rPr>
          <w:color w:val="000000" w:themeColor="text1"/>
        </w:rPr>
        <w:t>2020-08-19 07:00 UTC</w:t>
      </w:r>
      <w:r>
        <w:t xml:space="preserve"> </w:t>
      </w:r>
    </w:p>
    <w:p w14:paraId="736E3AD2" w14:textId="77777777" w:rsidR="009B50AB" w:rsidRDefault="00691F10">
      <w:pPr>
        <w:pStyle w:val="EmailDiscussion2"/>
        <w:ind w:leftChars="1055" w:left="2110"/>
        <w:rPr>
          <w:u w:val="single"/>
        </w:rPr>
      </w:pPr>
      <w:r>
        <w:t xml:space="preserve">Phase II: CR </w:t>
      </w:r>
      <w:proofErr w:type="spellStart"/>
      <w:r>
        <w:t>details</w:t>
      </w:r>
      <w:proofErr w:type="gramStart"/>
      <w:r>
        <w:t>,Friday</w:t>
      </w:r>
      <w:proofErr w:type="spellEnd"/>
      <w:proofErr w:type="gramEnd"/>
      <w:r>
        <w:t xml:space="preserve"> 2020-08-21 07:00 UTC</w:t>
      </w:r>
    </w:p>
    <w:p w14:paraId="66D39115" w14:textId="77777777" w:rsidR="009B50AB" w:rsidRDefault="009B50AB">
      <w:pPr>
        <w:pStyle w:val="Doc-text2"/>
        <w:ind w:left="0" w:firstLine="0"/>
        <w:rPr>
          <w:lang w:val="en-US"/>
        </w:rPr>
      </w:pPr>
    </w:p>
    <w:p w14:paraId="5D71CA23" w14:textId="77777777" w:rsidR="009B50AB" w:rsidRDefault="00691F10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7164960D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</w:p>
    <w:p w14:paraId="3ADD5BCC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sz w:val="22"/>
          <w:szCs w:val="22"/>
          <w:lang w:eastAsia="ja-JP"/>
        </w:rPr>
        <w:t>In RP-201392 it is requested RAN2 to introduce new capability signalling for the below case:</w:t>
      </w:r>
    </w:p>
    <w:p w14:paraId="59176A5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72566AA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RAN4 has discussed an ambiguity that may arise in regard to the output power available on individual carriers when the UE is configured with an MR-DC configuration. Depending on UE implementation, in some circumstances a UE reporting PC2 for an NR band and PC2 for the MR-DC band combination may provide PC2 in NR part (</w:t>
      </w:r>
      <w:r>
        <w:rPr>
          <w:rFonts w:ascii="Times New Roman" w:eastAsiaTheme="minorEastAsia" w:hAnsi="Times New Roman"/>
          <w:i/>
          <w:sz w:val="22"/>
          <w:szCs w:val="22"/>
          <w:highlight w:val="yellow"/>
          <w:lang w:eastAsia="ja-JP"/>
        </w:rPr>
        <w:t>single NR band or intra-band NR CA</w:t>
      </w: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) of the MR-DC combination, whereas in other cases the UE would provide PC3 in the NR part of the MR-DC combination. </w:t>
      </w:r>
      <w:bookmarkStart w:id="1" w:name="_Hlk4467396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It is ambiguous to the network whether PC2 or PC3 is applicable in the NR part of the MR-DC band combination.</w:t>
      </w:r>
      <w:bookmarkEnd w:id="1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To resolve this, RAN#88e agreed that a new power class capability signalling for Rel-16 should be introduced in addition to the existing MR-DC power class.</w:t>
      </w:r>
    </w:p>
    <w:p w14:paraId="7846A8F0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</w:p>
    <w:p w14:paraId="49CBED68" w14:textId="77777777" w:rsidR="009B50AB" w:rsidRDefault="00691F10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 respectfully requests RAN2 to develop new power class UE capability signalling applicable for the NR part of the MR-DC band combination. </w:t>
      </w:r>
      <w:bookmarkStart w:id="2" w:name="_Hlk44674284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This is in addition to the MR-DC power class, i.e. indicates that UE supports the newly indicated power class for the NR part of the MR-DC band combination also in addition the indicated power class for the MR-DC band combination.</w:t>
      </w:r>
      <w:bookmarkEnd w:id="2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 The value range for the signalled power class values is </w:t>
      </w:r>
      <w:proofErr w:type="gramStart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{ pc1</w:t>
      </w:r>
      <w:proofErr w:type="gramEnd"/>
      <w:r>
        <w:rPr>
          <w:rFonts w:ascii="Times New Roman" w:eastAsiaTheme="minorEastAsia" w:hAnsi="Times New Roman"/>
          <w:i/>
          <w:sz w:val="22"/>
          <w:szCs w:val="22"/>
          <w:lang w:eastAsia="ja-JP"/>
        </w:rPr>
        <w:t>, pc2, pc3, pc5 }.</w:t>
      </w:r>
    </w:p>
    <w:p w14:paraId="2F5F901D" w14:textId="77777777" w:rsidR="009B50AB" w:rsidRDefault="009B50AB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00288081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hase I discussion: Option selection</w:t>
      </w:r>
    </w:p>
    <w:p w14:paraId="2CD691C8" w14:textId="77777777" w:rsidR="009B50AB" w:rsidRDefault="00691F1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There are two options to capture the signalling based on contributions:</w:t>
      </w:r>
    </w:p>
    <w:p w14:paraId="3EA372FC" w14:textId="77777777" w:rsidR="009B50AB" w:rsidRDefault="00691F1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1: per BC reporting [1][2]</w:t>
      </w:r>
    </w:p>
    <w:p w14:paraId="1F7F00CB" w14:textId="77777777" w:rsidR="009B50AB" w:rsidRDefault="00691F1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2: per band per BC reporting [1][2][3]</w:t>
      </w:r>
    </w:p>
    <w:p w14:paraId="664E3E04" w14:textId="77777777" w:rsidR="009B50AB" w:rsidRDefault="00691F10">
      <w:pPr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lastRenderedPageBreak/>
        <w:t xml:space="preserve">It would be good to try to have a consensus to adopt one option, and discuss details. </w:t>
      </w:r>
    </w:p>
    <w:p w14:paraId="62AE0A39" w14:textId="77777777" w:rsidR="009B50AB" w:rsidRDefault="00691F10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Q1. Which option is preferred?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B50AB" w14:paraId="60882352" w14:textId="77777777">
        <w:tc>
          <w:tcPr>
            <w:tcW w:w="1838" w:type="dxa"/>
          </w:tcPr>
          <w:p w14:paraId="49CB26B1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198230E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1/Option 2</w:t>
            </w:r>
          </w:p>
        </w:tc>
        <w:tc>
          <w:tcPr>
            <w:tcW w:w="5808" w:type="dxa"/>
          </w:tcPr>
          <w:p w14:paraId="14857FE5" w14:textId="77777777" w:rsidR="009B50AB" w:rsidRDefault="00691F1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B50AB" w14:paraId="09E1B2E8" w14:textId="77777777">
        <w:trPr>
          <w:trHeight w:val="408"/>
        </w:trPr>
        <w:tc>
          <w:tcPr>
            <w:tcW w:w="1838" w:type="dxa"/>
          </w:tcPr>
          <w:p w14:paraId="61BFE44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19A5F37B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Option 2</w:t>
            </w:r>
          </w:p>
        </w:tc>
        <w:tc>
          <w:tcPr>
            <w:tcW w:w="5808" w:type="dxa"/>
          </w:tcPr>
          <w:p w14:paraId="0E7A6E2F" w14:textId="77777777" w:rsidR="009B50AB" w:rsidRDefault="00691F10">
            <w:pPr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Our understanding is that for the BC that supports PC2, currently there is only one NR band, thus both options can work , but we think the option 2 is more consistent with RAN4</w:t>
            </w:r>
            <w:r>
              <w:rPr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s understanding. </w:t>
            </w:r>
          </w:p>
        </w:tc>
      </w:tr>
      <w:tr w:rsidR="002075B6" w14:paraId="7F8AEEB1" w14:textId="77777777">
        <w:tc>
          <w:tcPr>
            <w:tcW w:w="1838" w:type="dxa"/>
          </w:tcPr>
          <w:p w14:paraId="329919BE" w14:textId="5750E2B6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985" w:type="dxa"/>
          </w:tcPr>
          <w:p w14:paraId="367D4EFD" w14:textId="55165634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Option 3</w:t>
            </w:r>
          </w:p>
        </w:tc>
        <w:tc>
          <w:tcPr>
            <w:tcW w:w="5808" w:type="dxa"/>
          </w:tcPr>
          <w:p w14:paraId="54F5ECEB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We see some drawbacks with both Option 1 and Option 2.</w:t>
            </w:r>
          </w:p>
          <w:p w14:paraId="798EE004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Option 1: Solves only the case of one NR UL carrier, and only for the MR-DC case. This is fully aligned with what is requested in the LS. But RAN2 should expect to soon extend this to more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that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one NR UL band</w:t>
            </w:r>
          </w:p>
          <w:p w14:paraId="7934E1D3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>Option 2 seems to not have this limitation, but risks to lead to increased number of BCs advertised by UE (for UE to express multiple PA configurations).</w:t>
            </w:r>
          </w:p>
          <w:p w14:paraId="7CC85CE6" w14:textId="77777777" w:rsidR="002075B6" w:rsidRPr="00C450D1" w:rsidRDefault="002075B6" w:rsidP="002075B6">
            <w:pPr>
              <w:rPr>
                <w:sz w:val="22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We see benefits in the more generic approach proposed in option 2. However, the power class should instead be introduced in the </w:t>
            </w:r>
            <w:proofErr w:type="spellStart"/>
            <w:r w:rsidRPr="00C450D1">
              <w:rPr>
                <w:sz w:val="22"/>
              </w:rPr>
              <w:t>FeatureSetUplink</w:t>
            </w:r>
            <w:proofErr w:type="spellEnd"/>
            <w:r w:rsidRPr="00C450D1">
              <w:rPr>
                <w:sz w:val="22"/>
              </w:rPr>
              <w:t>. It would give the same flexibility as Option 2 but avoids signalling additional BCs. We name this Option 3 and show the corresponding ASN.1 and field descriptions below. Since UEs may indicate their power limits on several levels (per-BC, per-Band, per-FSU) an accurate field description is as important as the signalling itself.</w:t>
            </w:r>
          </w:p>
          <w:p w14:paraId="2DA0F07F" w14:textId="77777777" w:rsidR="002075B6" w:rsidRPr="00C450D1" w:rsidRDefault="002075B6" w:rsidP="002075B6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Then RAN2 can discuss whether the same field should also be added to 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FeatureSetUplinkEUTRA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so that the UE could also indicate a power limit for a set of contiguous LTE UL serving cells. </w:t>
            </w:r>
          </w:p>
          <w:p w14:paraId="004C05E6" w14:textId="1237053E" w:rsidR="002075B6" w:rsidRDefault="002075B6" w:rsidP="002075B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It should however be noted that t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here is already a power class in the CA-</w:t>
            </w:r>
            <w:proofErr w:type="spellStart"/>
            <w:r w:rsidRPr="00C450D1">
              <w:rPr>
                <w:rFonts w:eastAsia="Malgun Gothic"/>
                <w:sz w:val="22"/>
                <w:szCs w:val="22"/>
                <w:lang w:eastAsia="ko-KR"/>
              </w:rPr>
              <w:t>ParametersEUTRA</w:t>
            </w:r>
            <w:proofErr w:type="spellEnd"/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 which is apparently meant to restrict the power that the UE could use across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 xml:space="preserve">all 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 xml:space="preserve">the ETURA UL cells in a BC. However, there is no proper field description but just a pointer to the 36.306 spec. And the Field Description therein does not make any sense in the context of EN-DC. Either we clarify existing field description (which might be sufficient for EN-DC with just one LTE UL carrier) 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o</w:t>
            </w:r>
            <w:r w:rsidRPr="00C450D1">
              <w:rPr>
                <w:rFonts w:eastAsia="Malgun Gothic"/>
                <w:sz w:val="22"/>
                <w:szCs w:val="22"/>
                <w:lang w:eastAsia="ko-KR"/>
              </w:rPr>
              <w:t>r we also signal a value in the FSU-EUTRA.</w:t>
            </w:r>
          </w:p>
        </w:tc>
      </w:tr>
      <w:tr w:rsidR="009B50AB" w14:paraId="0A2CF48F" w14:textId="77777777">
        <w:tc>
          <w:tcPr>
            <w:tcW w:w="1838" w:type="dxa"/>
          </w:tcPr>
          <w:p w14:paraId="0FF3E79A" w14:textId="2F126864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1985" w:type="dxa"/>
          </w:tcPr>
          <w:p w14:paraId="1B08C501" w14:textId="451EACD2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Option 2</w:t>
            </w:r>
          </w:p>
        </w:tc>
        <w:tc>
          <w:tcPr>
            <w:tcW w:w="5808" w:type="dxa"/>
          </w:tcPr>
          <w:p w14:paraId="367F3EE6" w14:textId="60C88FB8" w:rsidR="009B50AB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sympathise with the concerns from Ericsson. However, the UE Tx configuration does not change or rather the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Ue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does not many options when using the available front-end architectures (PA etc) and so we do not see the situation where the UE reports multiple BCs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 xml:space="preserve">just to provide variants of PC support (and rather the UE provides the maximum power class it can support for each of the bands in the BC). </w:t>
            </w:r>
          </w:p>
          <w:p w14:paraId="5E3069C4" w14:textId="77777777" w:rsidR="00DB02C3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This is more of the current front-end capability in terms of power-class for a particular BC.</w:t>
            </w:r>
          </w:p>
          <w:p w14:paraId="3A7A8AD6" w14:textId="530BAC4D" w:rsidR="00DB02C3" w:rsidRDefault="00DB02C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Also, as mentioned by Ericsson, the other power-class parameters are reported in BC (even for EN-DC) and so moving to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featureSetUplink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might not be a better approach.</w:t>
            </w:r>
          </w:p>
        </w:tc>
      </w:tr>
      <w:tr w:rsidR="009B50AB" w14:paraId="5EDD3AF8" w14:textId="77777777">
        <w:tc>
          <w:tcPr>
            <w:tcW w:w="1838" w:type="dxa"/>
          </w:tcPr>
          <w:p w14:paraId="79AEC9FE" w14:textId="7FE4EF48" w:rsidR="009B50AB" w:rsidRPr="00FD6449" w:rsidRDefault="00FD6449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="DengXi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41881061" w14:textId="3000BBE9" w:rsidR="009B50AB" w:rsidRPr="00FD6449" w:rsidRDefault="00FD6449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ption 1</w:t>
            </w:r>
          </w:p>
        </w:tc>
        <w:tc>
          <w:tcPr>
            <w:tcW w:w="5808" w:type="dxa"/>
          </w:tcPr>
          <w:p w14:paraId="1BE943DD" w14:textId="443482B2" w:rsidR="009B50AB" w:rsidRPr="00FD6449" w:rsidRDefault="00FD6449">
            <w:pPr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We understand Option 2 and Option 3 could probably be more future proof, however we are also a bit worried that such addition might cause interoperability issue if UEs started to report different power classes for different bands. So far we only </w:t>
            </w:r>
            <w:bookmarkStart w:id="3" w:name="_GoBack"/>
            <w:bookmarkEnd w:id="3"/>
            <w:r>
              <w:rPr>
                <w:rFonts w:eastAsia="DengXian"/>
                <w:sz w:val="22"/>
                <w:szCs w:val="22"/>
                <w:lang w:eastAsia="zh-CN"/>
              </w:rPr>
              <w:t>see need to address what has described from the RAN plenary LS.</w:t>
            </w:r>
          </w:p>
        </w:tc>
      </w:tr>
      <w:tr w:rsidR="009B50AB" w14:paraId="1AD579A4" w14:textId="77777777">
        <w:tc>
          <w:tcPr>
            <w:tcW w:w="1838" w:type="dxa"/>
          </w:tcPr>
          <w:p w14:paraId="682C1315" w14:textId="6D8F6814" w:rsidR="009B50AB" w:rsidRDefault="00F42B0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MediaTek</w:t>
            </w:r>
          </w:p>
        </w:tc>
        <w:tc>
          <w:tcPr>
            <w:tcW w:w="1985" w:type="dxa"/>
          </w:tcPr>
          <w:p w14:paraId="7DE50868" w14:textId="3198C96B" w:rsidR="009B50AB" w:rsidRDefault="00F42B0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Option 1</w:t>
            </w:r>
          </w:p>
        </w:tc>
        <w:tc>
          <w:tcPr>
            <w:tcW w:w="5808" w:type="dxa"/>
          </w:tcPr>
          <w:p w14:paraId="568080AE" w14:textId="4198D9E7" w:rsidR="009B50AB" w:rsidRDefault="00F42B09" w:rsidP="009E7A9B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understand that option 1 is based on guideline from plenary LS and could solve </w:t>
            </w:r>
            <w:r w:rsidR="009E7A9B">
              <w:rPr>
                <w:rFonts w:eastAsiaTheme="minorEastAsia"/>
                <w:sz w:val="22"/>
                <w:szCs w:val="22"/>
                <w:lang w:eastAsia="ja-JP"/>
              </w:rPr>
              <w:t xml:space="preserve">the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current issue.</w:t>
            </w:r>
            <w:r w:rsidR="009E7A9B">
              <w:rPr>
                <w:rFonts w:eastAsiaTheme="minorEastAsia"/>
                <w:sz w:val="22"/>
                <w:szCs w:val="22"/>
                <w:lang w:eastAsia="ja-JP"/>
              </w:rPr>
              <w:t xml:space="preserve"> Although option 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="009E7A9B">
              <w:rPr>
                <w:rFonts w:eastAsiaTheme="minorEastAsia"/>
                <w:sz w:val="22"/>
                <w:szCs w:val="22"/>
                <w:lang w:eastAsia="ja-JP"/>
              </w:rPr>
              <w:t xml:space="preserve">and 3 seems provide more flexibility, we prefer that R4 could identify the need first. </w:t>
            </w:r>
          </w:p>
        </w:tc>
      </w:tr>
    </w:tbl>
    <w:p w14:paraId="0AA847AC" w14:textId="75A0DD54" w:rsidR="009B50AB" w:rsidRDefault="009B50AB">
      <w:pPr>
        <w:rPr>
          <w:rFonts w:eastAsiaTheme="minorEastAsia"/>
          <w:sz w:val="28"/>
          <w:szCs w:val="22"/>
          <w:lang w:eastAsia="ja-JP"/>
        </w:rPr>
      </w:pPr>
    </w:p>
    <w:p w14:paraId="40681097" w14:textId="77777777" w:rsidR="002075B6" w:rsidRDefault="002075B6" w:rsidP="002075B6">
      <w:pPr>
        <w:rPr>
          <w:rFonts w:eastAsiaTheme="minorHAnsi"/>
        </w:rPr>
      </w:pPr>
      <w:r>
        <w:t xml:space="preserve">Option 3: Add power class field to </w:t>
      </w:r>
      <w:proofErr w:type="spellStart"/>
      <w:r>
        <w:t>FeatureSetUplink</w:t>
      </w:r>
      <w:proofErr w:type="spellEnd"/>
      <w:r>
        <w:t>:</w:t>
      </w:r>
    </w:p>
    <w:p w14:paraId="735141A0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>    -- Indicates the TX power that the UE supports on the set of contiguous</w:t>
      </w:r>
    </w:p>
    <w:p w14:paraId="0F4F8FFD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uplink serving cell(s) in the associated band of the band combination. </w:t>
      </w:r>
    </w:p>
    <w:p w14:paraId="7A538FEF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>The total available power is additionally limited by the power class</w:t>
      </w:r>
    </w:p>
    <w:p w14:paraId="72C5B869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 indicated per BC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BandCombination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powerClass-v1530, or is default) </w:t>
      </w:r>
    </w:p>
    <w:p w14:paraId="26408643" w14:textId="77777777" w:rsidR="002075B6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    -- and by the power class indicated per Band (e.g.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BandNR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-&gt; </w:t>
      </w:r>
      <w:proofErr w:type="spellStart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ue-PowerClass</w:t>
      </w:r>
      <w:proofErr w:type="spellEnd"/>
      <w:r w:rsidRPr="00D918ED">
        <w:rPr>
          <w:rFonts w:ascii="Courier New" w:eastAsia="MS Mincho" w:hAnsi="Courier New" w:cs="Courier New"/>
          <w:color w:val="808080"/>
          <w:lang w:val="en-US" w:eastAsia="ja-JP"/>
        </w:rPr>
        <w:t>,</w:t>
      </w:r>
    </w:p>
    <w:p w14:paraId="146B8465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color w:val="808080"/>
          <w:lang w:val="en-US" w:eastAsia="ja-JP"/>
        </w:rPr>
      </w:pPr>
      <w:r>
        <w:rPr>
          <w:rFonts w:ascii="Courier New" w:eastAsia="MS Mincho" w:hAnsi="Courier New" w:cs="Courier New"/>
          <w:color w:val="808080"/>
          <w:lang w:val="en-US" w:eastAsia="ja-JP"/>
        </w:rPr>
        <w:t xml:space="preserve">    -- </w:t>
      </w:r>
      <w:r w:rsidRPr="00D918ED">
        <w:rPr>
          <w:rFonts w:ascii="Courier New" w:eastAsia="MS Mincho" w:hAnsi="Courier New" w:cs="Courier New"/>
          <w:color w:val="808080"/>
          <w:lang w:val="en-US" w:eastAsia="ja-JP"/>
        </w:rPr>
        <w:t xml:space="preserve">or its default). If this field is absent, only those other limits apply. </w:t>
      </w:r>
    </w:p>
    <w:p w14:paraId="7BC2D82D" w14:textId="77777777" w:rsidR="002075B6" w:rsidRPr="00D918ED" w:rsidRDefault="002075B6" w:rsidP="002075B6">
      <w:pPr>
        <w:shd w:val="clear" w:color="auto" w:fill="E6E6E6"/>
        <w:overflowPunct w:val="0"/>
        <w:autoSpaceDE w:val="0"/>
        <w:autoSpaceDN w:val="0"/>
        <w:spacing w:after="0"/>
        <w:rPr>
          <w:rFonts w:ascii="Courier New" w:eastAsia="MS Mincho" w:hAnsi="Courier New" w:cs="Courier New"/>
          <w:lang w:val="en-US" w:eastAsia="ja-JP"/>
        </w:rPr>
      </w:pPr>
      <w:r w:rsidRPr="00D918ED">
        <w:rPr>
          <w:rFonts w:ascii="Courier New" w:eastAsia="MS Mincho" w:hAnsi="Courier New" w:cs="Courier New"/>
          <w:color w:val="000000"/>
          <w:lang w:val="en-US" w:eastAsia="ja-JP"/>
        </w:rPr>
        <w:t>    powerClassFSU-v16xy       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ENUMERATED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 {pc1, pc2, pc3</w:t>
      </w:r>
      <w:r>
        <w:rPr>
          <w:rFonts w:ascii="Courier New" w:eastAsia="MS Mincho" w:hAnsi="Courier New" w:cs="Courier New"/>
          <w:color w:val="000000"/>
          <w:lang w:val="en-US" w:eastAsia="ja-JP"/>
        </w:rPr>
        <w:t>, p</w:t>
      </w:r>
      <w:r w:rsidRPr="00D918ED">
        <w:rPr>
          <w:rFonts w:ascii="Courier New" w:eastAsia="MS Mincho" w:hAnsi="Courier New" w:cs="Courier New"/>
          <w:color w:val="000000"/>
          <w:lang w:val="en-US" w:eastAsia="ja-JP"/>
        </w:rPr>
        <w:t xml:space="preserve">c5}       </w:t>
      </w:r>
      <w:r w:rsidRPr="00D918ED">
        <w:rPr>
          <w:rFonts w:ascii="Courier New" w:eastAsia="MS Mincho" w:hAnsi="Courier New" w:cs="Courier New"/>
          <w:color w:val="993366"/>
          <w:lang w:val="en-US" w:eastAsia="ja-JP"/>
        </w:rPr>
        <w:t>OPTIONAL</w:t>
      </w:r>
    </w:p>
    <w:p w14:paraId="7CEC2D1B" w14:textId="77777777" w:rsidR="002075B6" w:rsidRPr="00D918ED" w:rsidRDefault="002075B6" w:rsidP="002075B6">
      <w:pPr>
        <w:spacing w:after="0"/>
        <w:rPr>
          <w:rFonts w:ascii="Calibri" w:eastAsia="Calibri" w:hAnsi="Calibri"/>
          <w:sz w:val="22"/>
          <w:szCs w:val="22"/>
        </w:rPr>
      </w:pPr>
    </w:p>
    <w:p w14:paraId="3757DA8C" w14:textId="77777777" w:rsidR="002075B6" w:rsidRDefault="002075B6">
      <w:pPr>
        <w:rPr>
          <w:rFonts w:eastAsiaTheme="minorEastAsia"/>
          <w:sz w:val="28"/>
          <w:szCs w:val="22"/>
          <w:lang w:eastAsia="ja-JP"/>
        </w:rPr>
      </w:pPr>
    </w:p>
    <w:p w14:paraId="74D242B6" w14:textId="77777777" w:rsidR="009B50AB" w:rsidRDefault="00691F10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Phase II discussion: CR details </w:t>
      </w:r>
    </w:p>
    <w:p w14:paraId="415626EB" w14:textId="77777777" w:rsidR="009B50AB" w:rsidRDefault="00691F10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211FE74E" w14:textId="77777777" w:rsidR="009B50AB" w:rsidRDefault="00691F10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5FF95E52" w14:textId="77777777" w:rsidR="009B50AB" w:rsidRDefault="00691F10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7CA45876" w14:textId="77777777" w:rsidR="009B50AB" w:rsidRDefault="00691F10">
      <w:pPr>
        <w:pStyle w:val="Reference"/>
        <w:rPr>
          <w:rStyle w:val="Hyperlink"/>
          <w:color w:val="auto"/>
          <w:u w:val="none"/>
          <w:lang w:val="en-GB"/>
        </w:rPr>
      </w:pPr>
      <w:r>
        <w:rPr>
          <w:rStyle w:val="Hyperlink"/>
        </w:rPr>
        <w:t>R2-2008077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>Huawei, HiSilicon, CMCC</w:t>
      </w:r>
      <w:r>
        <w:tab/>
      </w:r>
    </w:p>
    <w:p w14:paraId="47E29D8E" w14:textId="77777777" w:rsidR="009B50AB" w:rsidRDefault="00691F10">
      <w:pPr>
        <w:pStyle w:val="Reference"/>
      </w:pPr>
      <w:r>
        <w:rPr>
          <w:rStyle w:val="Hyperlink"/>
        </w:rPr>
        <w:t>R2-2008078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>Huawei, HiSilicon, CMCC</w:t>
      </w:r>
      <w:r>
        <w:tab/>
      </w:r>
    </w:p>
    <w:p w14:paraId="5BC31FA2" w14:textId="77777777" w:rsidR="009B50AB" w:rsidRDefault="00582D4D">
      <w:pPr>
        <w:pStyle w:val="Reference"/>
      </w:pPr>
      <w:hyperlink r:id="rId9" w:tooltip="D:Documents3GPPtsg_ranWG2TSGR2_111-eDocsR2-2007112.zip" w:history="1">
        <w:r w:rsidR="00691F10">
          <w:rPr>
            <w:rStyle w:val="Hyperlink"/>
          </w:rPr>
          <w:t>R2-2007112</w:t>
        </w:r>
      </w:hyperlink>
      <w:r w:rsidR="00691F10">
        <w:tab/>
        <w:t>Discussion on UE capability for power class for NR band in MR-DC combination</w:t>
      </w:r>
      <w:r w:rsidR="00691F10">
        <w:tab/>
        <w:t>Apple</w:t>
      </w:r>
    </w:p>
    <w:p w14:paraId="67A17BE4" w14:textId="77777777" w:rsidR="009B50AB" w:rsidRDefault="00582D4D">
      <w:pPr>
        <w:pStyle w:val="Reference"/>
      </w:pPr>
      <w:hyperlink r:id="rId10" w:tooltip="D:Documents3GPPtsg_ranWG2TSGR2_111-eDocsR2-2007113.zip" w:history="1">
        <w:r w:rsidR="00691F10">
          <w:rPr>
            <w:rStyle w:val="Hyperlink"/>
          </w:rPr>
          <w:t>R2-2007113</w:t>
        </w:r>
      </w:hyperlink>
      <w:r w:rsidR="00691F10">
        <w:tab/>
        <w:t>UE capability for power class for NR band in MR-DC combination</w:t>
      </w:r>
      <w:r w:rsidR="00691F10">
        <w:tab/>
      </w:r>
      <w:r w:rsidR="00691F10">
        <w:tab/>
        <w:t>Apple</w:t>
      </w:r>
      <w:r w:rsidR="00691F10">
        <w:tab/>
      </w:r>
    </w:p>
    <w:p w14:paraId="391AC533" w14:textId="77777777" w:rsidR="009B50AB" w:rsidRDefault="00582D4D">
      <w:pPr>
        <w:pStyle w:val="Reference"/>
        <w:rPr>
          <w:rStyle w:val="Hyperlink"/>
          <w:color w:val="auto"/>
          <w:u w:val="none"/>
          <w:lang w:val="en-GB"/>
        </w:rPr>
      </w:pPr>
      <w:hyperlink r:id="rId11" w:tooltip="D:Documents3GPPtsg_ranWG2TSGR2_111-eDocsR2-2007114.zip" w:history="1">
        <w:r w:rsidR="00691F10">
          <w:rPr>
            <w:rStyle w:val="Hyperlink"/>
          </w:rPr>
          <w:t>R2-2007114</w:t>
        </w:r>
      </w:hyperlink>
      <w:r w:rsidR="00691F10">
        <w:tab/>
        <w:t>UE capability for power class for NR band in MR-DC combination</w:t>
      </w:r>
      <w:r w:rsidR="00691F10">
        <w:tab/>
      </w:r>
      <w:r w:rsidR="00691F10">
        <w:tab/>
        <w:t>Apple</w:t>
      </w:r>
      <w:r w:rsidR="00691F10">
        <w:tab/>
      </w:r>
    </w:p>
    <w:p w14:paraId="530C1A88" w14:textId="77777777" w:rsidR="009B50AB" w:rsidRDefault="009B50AB">
      <w:pPr>
        <w:pStyle w:val="Reference"/>
        <w:numPr>
          <w:ilvl w:val="0"/>
          <w:numId w:val="0"/>
        </w:numPr>
        <w:ind w:left="567" w:hanging="567"/>
      </w:pPr>
    </w:p>
    <w:sectPr w:rsidR="009B50AB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DD0EB" w14:textId="77777777" w:rsidR="00582D4D" w:rsidRDefault="00582D4D">
      <w:pPr>
        <w:spacing w:after="0" w:line="240" w:lineRule="auto"/>
      </w:pPr>
      <w:r>
        <w:separator/>
      </w:r>
    </w:p>
  </w:endnote>
  <w:endnote w:type="continuationSeparator" w:id="0">
    <w:p w14:paraId="0EC4440A" w14:textId="77777777" w:rsidR="00582D4D" w:rsidRDefault="0058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Dingbat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6723" w14:textId="77777777" w:rsidR="009B50AB" w:rsidRDefault="00691F1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6DA16" w14:textId="77777777" w:rsidR="00582D4D" w:rsidRDefault="00582D4D">
      <w:pPr>
        <w:spacing w:after="0" w:line="240" w:lineRule="auto"/>
      </w:pPr>
      <w:r>
        <w:separator/>
      </w:r>
    </w:p>
  </w:footnote>
  <w:footnote w:type="continuationSeparator" w:id="0">
    <w:p w14:paraId="109EDB90" w14:textId="77777777" w:rsidR="00582D4D" w:rsidRDefault="0058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3A618C"/>
    <w:multiLevelType w:val="multilevel"/>
    <w:tmpl w:val="163A618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5B6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D4D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1F10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508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0AB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E7A9B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02C3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09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D6449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  <w:rsid w:val="084E356B"/>
    <w:rsid w:val="596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999320"/>
  <w15:docId w15:val="{81398104-C72E-4FE0-8DE7-3CDCDD3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semiHidden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SimSu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 w:eastAsia="zh-CN"/>
    </w:rPr>
  </w:style>
  <w:style w:type="paragraph" w:customStyle="1" w:styleId="1">
    <w:name w:val="样式1"/>
    <w:basedOn w:val="Normal"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val="en-US"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Revision1">
    <w:name w:val="Revision1"/>
    <w:hidden/>
    <w:uiPriority w:val="99"/>
    <w:semiHidden/>
    <w:qFormat/>
    <w:rPr>
      <w:rFonts w:eastAsia="SimSun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rPr>
      <w:rFonts w:ascii="Arial" w:eastAsia="SimSun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114.zip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Documents\3GPP\tsg_ran\WG2\TSGR2_111-e\Docs\R2-2007113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11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DA22D5-C39F-4F15-B175-7C26A7F7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MediaTek (Felix)</cp:lastModifiedBy>
  <cp:revision>3</cp:revision>
  <cp:lastPrinted>2009-04-22T00:01:00Z</cp:lastPrinted>
  <dcterms:created xsi:type="dcterms:W3CDTF">2020-08-19T02:46:00Z</dcterms:created>
  <dcterms:modified xsi:type="dcterms:W3CDTF">2020-08-19T04:30:00Z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KSOProductBuildVer">
    <vt:lpwstr>2052-10.8.2.7027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1597721716</vt:lpwstr>
  </property>
</Properties>
</file>