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R Cover Page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3GPP TSG-RAN WG2 Meeting #1</w:t>
      </w:r>
      <w:r>
        <w:rPr>
          <w:b w:val="1"/>
          <w:bCs w:val="1"/>
          <w:sz w:val="24"/>
          <w:szCs w:val="24"/>
          <w:rtl w:val="0"/>
          <w:lang w:val="en-US"/>
        </w:rPr>
        <w:t>10</w:t>
      </w:r>
      <w:r>
        <w:rPr>
          <w:b w:val="1"/>
          <w:bCs w:val="1"/>
          <w:sz w:val="24"/>
          <w:szCs w:val="24"/>
          <w:rtl w:val="0"/>
          <w:lang w:val="en-US"/>
        </w:rPr>
        <w:t xml:space="preserve"> electronic</w:t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ab/>
        <w:tab/>
        <w:t xml:space="preserve">Draft </w:t>
      </w:r>
      <w:r>
        <w:rPr>
          <w:b w:val="1"/>
          <w:bCs w:val="1"/>
          <w:sz w:val="24"/>
          <w:szCs w:val="24"/>
          <w:rtl w:val="0"/>
          <w:lang w:val="en-US"/>
        </w:rPr>
        <w:t>R2-200</w:t>
      </w:r>
      <w:r>
        <w:rPr>
          <w:b w:val="1"/>
          <w:bCs w:val="1"/>
          <w:sz w:val="24"/>
          <w:szCs w:val="24"/>
          <w:rtl w:val="0"/>
          <w:lang w:val="en-US"/>
        </w:rPr>
        <w:t>5751</w:t>
      </w:r>
    </w:p>
    <w:p>
      <w:pPr>
        <w:pStyle w:val="CR Cover Page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Elbonia, </w:t>
      </w:r>
      <w:r>
        <w:rPr>
          <w:b w:val="1"/>
          <w:bCs w:val="1"/>
          <w:sz w:val="24"/>
          <w:szCs w:val="24"/>
          <w:rtl w:val="0"/>
          <w:lang w:val="en-US"/>
        </w:rPr>
        <w:t>June 1</w:t>
      </w:r>
      <w:r>
        <w:rPr>
          <w:b w:val="1"/>
          <w:bCs w:val="1"/>
          <w:sz w:val="24"/>
          <w:szCs w:val="24"/>
          <w:vertAlign w:val="superscript"/>
          <w:rtl w:val="0"/>
          <w:lang w:val="en-US"/>
        </w:rPr>
        <w:t>st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 xml:space="preserve"> – </w:t>
      </w:r>
      <w:r>
        <w:rPr>
          <w:b w:val="1"/>
          <w:bCs w:val="1"/>
          <w:sz w:val="24"/>
          <w:szCs w:val="24"/>
          <w:rtl w:val="0"/>
          <w:lang w:val="en-US"/>
        </w:rPr>
        <w:t>12</w:t>
      </w:r>
      <w:r>
        <w:rPr>
          <w:b w:val="1"/>
          <w:bCs w:val="1"/>
          <w:sz w:val="24"/>
          <w:szCs w:val="24"/>
          <w:vertAlign w:val="superscript"/>
          <w:rtl w:val="0"/>
          <w:lang w:val="en-US"/>
        </w:rPr>
        <w:t>th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 xml:space="preserve"> 2020</w:t>
      </w:r>
    </w:p>
    <w:p>
      <w:pPr>
        <w:pStyle w:val="CR Cover Page"/>
        <w:rPr>
          <w:b w:val="1"/>
          <w:bCs w:val="1"/>
          <w:sz w:val="24"/>
          <w:szCs w:val="24"/>
        </w:rPr>
      </w:pPr>
    </w:p>
    <w:p>
      <w:pPr>
        <w:pStyle w:val="CR Cover Page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Agenda item:</w:t>
        <w:tab/>
        <w:tab/>
      </w:r>
      <w:r>
        <w:rPr>
          <w:sz w:val="24"/>
          <w:szCs w:val="24"/>
          <w:rtl w:val="0"/>
          <w:lang w:val="en-US"/>
        </w:rPr>
        <w:t>6.9.4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Source:</w:t>
        <w:tab/>
        <w:tab/>
        <w:tab/>
      </w:r>
      <w:r>
        <w:rPr>
          <w:rFonts w:ascii="Arial" w:hAnsi="Arial"/>
          <w:sz w:val="24"/>
          <w:szCs w:val="24"/>
          <w:rtl w:val="0"/>
          <w:lang w:val="en-US"/>
        </w:rPr>
        <w:t>Intel Corporation</w:t>
      </w:r>
    </w:p>
    <w:p>
      <w:pPr>
        <w:pStyle w:val="Normal.0"/>
        <w:tabs>
          <w:tab w:val="left" w:pos="1985"/>
        </w:tabs>
        <w:ind w:left="2880" w:hanging="288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Title: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  <w:t>Summary of discussion][214][MOB] UE capability CRs for NR mobility (Intel)</w:t>
      </w:r>
    </w:p>
    <w:p>
      <w:pPr>
        <w:pStyle w:val="Normal.0"/>
        <w:tabs>
          <w:tab w:val="left" w:pos="1985"/>
        </w:tabs>
        <w:ind w:left="2880" w:hanging="288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Document for:</w:t>
        <w:tab/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  <w:tab/>
        <w:t>Discussion and decision</w:t>
      </w:r>
    </w:p>
    <w:p>
      <w:pPr>
        <w:pStyle w:val="Heading 1"/>
        <w:numPr>
          <w:ilvl w:val="0"/>
          <w:numId w:val="2"/>
        </w:numPr>
      </w:pPr>
      <w:r>
        <w:rPr>
          <w:rtl w:val="0"/>
          <w:lang w:val="en-US"/>
        </w:rPr>
        <w:t>Introduction</w:t>
      </w:r>
    </w:p>
    <w:p>
      <w:pPr>
        <w:pStyle w:val="Normal.0"/>
        <w:jc w:val="both"/>
      </w:pPr>
      <w:bookmarkStart w:name="Proposal_Pattern_Length" w:id="0"/>
      <w:r>
        <w:rPr>
          <w:rtl w:val="0"/>
          <w:lang w:val="en-US"/>
        </w:rPr>
        <w:t>This is the summary of below offline discussion:</w:t>
      </w:r>
    </w:p>
    <w:p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[AT110-e][214][MOB] UE capability CRs for NR mobility (Intel)</w:t>
      </w:r>
    </w:p>
    <w:p>
      <w:pPr>
        <w:pStyle w:val="EmailDiscussion2"/>
        <w:ind w:left="1619" w:firstLine="0"/>
        <w:rPr>
          <w:rStyle w:val="Enllaç"/>
        </w:rPr>
      </w:pPr>
      <w:r>
        <w:rPr>
          <w:u w:val="single"/>
          <w:rtl w:val="0"/>
          <w:lang w:val="en-US"/>
        </w:rPr>
        <w:t xml:space="preserve">Scope: </w:t>
      </w:r>
    </w:p>
    <w:p>
      <w:pPr>
        <w:pStyle w:val="EmailDiscussion2"/>
        <w:numPr>
          <w:ilvl w:val="2"/>
          <w:numId w:val="6"/>
        </w:numPr>
        <w:rPr>
          <w:lang w:val="en-US"/>
        </w:rPr>
      </w:pPr>
      <w:r>
        <w:rPr>
          <w:rtl w:val="0"/>
          <w:lang w:val="en-US"/>
        </w:rPr>
        <w:t xml:space="preserve">38.306 and 38.331 CRs for LTE capabilities based on agreements in this meeting </w:t>
      </w:r>
    </w:p>
    <w:p>
      <w:pPr>
        <w:pStyle w:val="EmailDiscussion2"/>
        <w:ind w:left="1619" w:firstLine="0"/>
        <w:rPr>
          <w:u w:val="single"/>
        </w:rPr>
      </w:pPr>
      <w:r>
        <w:rPr>
          <w:u w:val="single"/>
          <w:rtl w:val="0"/>
          <w:lang w:val="en-US"/>
        </w:rPr>
        <w:t xml:space="preserve">Intended outcome: </w:t>
      </w:r>
    </w:p>
    <w:p>
      <w:pPr>
        <w:pStyle w:val="EmailDiscussion2"/>
        <w:numPr>
          <w:ilvl w:val="2"/>
          <w:numId w:val="6"/>
        </w:numPr>
        <w:rPr>
          <w:lang w:val="en-US"/>
        </w:rPr>
      </w:pPr>
      <w:r>
        <w:rPr>
          <w:rtl w:val="0"/>
          <w:lang w:val="en-US"/>
        </w:rPr>
        <w:t xml:space="preserve">Agreed CR to 38.331 CR in </w:t>
      </w:r>
      <w:r>
        <w:rPr>
          <w:rStyle w:val="Enllaç"/>
          <w:rtl w:val="0"/>
          <w:lang w:val="en-US"/>
        </w:rPr>
        <w:t>R2-2005762</w:t>
      </w:r>
      <w:r>
        <w:rPr>
          <w:rtl w:val="0"/>
          <w:lang w:val="en-US"/>
        </w:rPr>
        <w:t xml:space="preserve"> for NR UE capability signalling</w:t>
      </w:r>
    </w:p>
    <w:p>
      <w:pPr>
        <w:pStyle w:val="EmailDiscussion2"/>
        <w:numPr>
          <w:ilvl w:val="2"/>
          <w:numId w:val="6"/>
        </w:numPr>
        <w:rPr>
          <w:lang w:val="en-US"/>
        </w:rPr>
      </w:pPr>
      <w:r>
        <w:rPr>
          <w:rtl w:val="0"/>
          <w:lang w:val="en-US"/>
        </w:rPr>
        <w:t xml:space="preserve">Agreed CR to 38.306 in </w:t>
      </w:r>
      <w:r>
        <w:rPr>
          <w:rStyle w:val="Enllaç"/>
          <w:rtl w:val="0"/>
          <w:lang w:val="en-US"/>
        </w:rPr>
        <w:t>R2-2005763</w:t>
      </w:r>
      <w:r>
        <w:rPr>
          <w:rtl w:val="0"/>
          <w:lang w:val="en-US"/>
        </w:rPr>
        <w:t xml:space="preserve"> for NR capability descriptions</w:t>
      </w:r>
    </w:p>
    <w:p>
      <w:pPr>
        <w:pStyle w:val="EmailDiscussion2"/>
        <w:rPr>
          <w:u w:val="single"/>
        </w:rPr>
      </w:pPr>
      <w:r>
        <w:tab/>
      </w:r>
      <w:r>
        <w:rPr>
          <w:u w:val="single"/>
          <w:rtl w:val="0"/>
          <w:lang w:val="en-US"/>
        </w:rPr>
        <w:t xml:space="preserve">Deadlines for providing comments and for rapporteur inputs:  </w:t>
      </w:r>
    </w:p>
    <w:p>
      <w:pPr>
        <w:pStyle w:val="EmailDiscussion2"/>
        <w:numPr>
          <w:ilvl w:val="2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shd w:val="clear" w:color="auto" w:fill="ffff00"/>
          <w:rtl w:val="0"/>
          <w:lang w:val="en-US"/>
        </w:rPr>
        <w:t>Deadline for companies' feedback:  Wednesday 2020-06-10 12:00 UTC</w:t>
      </w:r>
    </w:p>
    <w:p>
      <w:pPr>
        <w:pStyle w:val="EmailDiscussion2"/>
        <w:numPr>
          <w:ilvl w:val="2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shd w:val="clear" w:color="auto" w:fill="ffff00"/>
          <w:rtl w:val="0"/>
          <w:lang w:val="en-US"/>
        </w:rPr>
        <w:t xml:space="preserve">Deadline for rapporteur's version for agreement:  Thursday 2020-06-11 10:00 UTC 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Rapporteur would suggest to resolve open issues first and then check CRs, and therefore setup a early deadline for open issues:</w:t>
      </w:r>
    </w:p>
    <w:p>
      <w:pPr>
        <w:pStyle w:val="Normal.0"/>
      </w:pPr>
      <w:r>
        <w:rPr>
          <w:shd w:val="clear" w:color="auto" w:fill="ffff00"/>
          <w:rtl w:val="0"/>
          <w:lang w:val="en-US"/>
        </w:rPr>
        <w:t>Open issues deadline for companies' feedback:  Friday 2020-06-05 12:00 UTC</w:t>
      </w:r>
    </w:p>
    <w:p>
      <w:pPr>
        <w:pStyle w:val="Heading 1"/>
        <w:numPr>
          <w:ilvl w:val="0"/>
          <w:numId w:val="7"/>
        </w:numPr>
      </w:pPr>
      <w:r>
        <w:rPr>
          <w:rtl w:val="0"/>
          <w:lang w:val="en-US"/>
        </w:rPr>
        <w:t>Discussion</w:t>
      </w:r>
    </w:p>
    <w:p>
      <w:pPr>
        <w:pStyle w:val="Heading 2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RAN1/4 capabilities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RAN2 have agreed: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Agreements (NR)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12a introduce separate capabilities for intraFreq and interFreq as below: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Per Band/per BC (for intraFreq capabilities), I.e. put under BandParameters-v16xy: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intraFreqDiffSCS-DAPS-r16;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intraFreqAsyncDAPS-r16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intraFreqMultiUL-TransmissionDAPS-r16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Per BC (for interFreq capabilities), i.e. put under CA-ParametersNR-v16xy: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interFreqDiffSCS-DAPS-r16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interFreqAsyncDAPS-r16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 xml:space="preserve">interFreqMultiUL-TransmissionDAPS-r16. 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12b</w:t>
        <w:tab/>
        <w:t>All UEs supporting DAPS support these capabilities (can discuss signalling details and naming):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SyncDAPS-r16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SingleUL-TransmissionDAPS-r16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>intraFreqTwoTAGs-DAPS-r16  (with 2 TAGs)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</w:rPr>
        <w:tab/>
        <w:t xml:space="preserve">(for interFreq since RAN2 agreed to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 xml:space="preserve">Reuse CA capability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supportedNumberTAG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for DAPS handover.)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8a</w:t>
        <w:tab/>
        <w:t>Remove UplinkPowerSharingDAPS-HO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8b</w:t>
        <w:tab/>
        <w:t>Add separate capabilities for 21-2, 21-2a, 21-2b as semiStaticPowerSharingDAPS-Mode1, semiStaticPowerSharingDAPS-Mode2 and dynamicPowersharingDAPS.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8c</w:t>
        <w:tab/>
        <w:t>RAN2 thinks that these apply only for multiple UL supporting UEs,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10</w:t>
        <w:tab/>
        <w:t xml:space="preserve">Remove pdcch-BlindDetectionSource and pdcch-BlindDetectionTarget from RAN2 agreed capabilities. 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11</w:t>
        <w:tab/>
        <w:t xml:space="preserve">Add syncDAPS and simultaneous UL transmission based on RAN4 latest capability table. </w:t>
      </w: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</w:p>
    <w:p>
      <w:pPr>
        <w:pStyle w:val="Doc-text2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tl w:val="0"/>
          <w:lang w:val="en-US"/>
        </w:rPr>
        <w:t>13</w:t>
        <w:tab/>
        <w:t>Introduce separate capabilities for intraFreq and interFreq for power sharing capabilities.</w:t>
      </w:r>
    </w:p>
    <w:p>
      <w:pPr>
        <w:pStyle w:val="Doc-text2"/>
      </w:pPr>
    </w:p>
    <w:p>
      <w:pPr>
        <w:pStyle w:val="Doc-text2"/>
        <w:numPr>
          <w:ilvl w:val="0"/>
          <w:numId w:val="9"/>
        </w:numPr>
        <w:rPr>
          <w:lang w:val="en-US"/>
        </w:rPr>
      </w:pPr>
      <w:r>
        <w:rPr>
          <w:rtl w:val="0"/>
          <w:lang w:val="en-US"/>
        </w:rPr>
        <w:t>Wait for RAN1 conclusion on ul-TransCancellationDAPS.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The open issue is whether IOT bits are needed for below mandatory features under DAPS, and any comments on the fields name: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 xml:space="preserve"> </w:t>
        <w:tab/>
        <w:t>SyncDAPS-r16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ab/>
        <w:t>SingleUL-TransmissionDAPS-r16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ab/>
        <w:t>intraFreqTwoTAGs-DAPS-r16  (with 2 TAGs)</w:t>
      </w:r>
    </w:p>
    <w:p>
      <w:pPr>
        <w:pStyle w:val="Normal.0"/>
        <w:rPr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Question 1: Do companies see the need to have IOT bits for syncDAPS, singleUL-TransmissionDAPS and intraFreqTwoTAGs-DAPS? Any comments on the fields name?</w:t>
      </w:r>
    </w:p>
    <w:tbl>
      <w:tblPr>
        <w:tblW w:w="93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0"/>
        <w:gridCol w:w="1527"/>
        <w:gridCol w:w="6372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IOT bits or not?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Remark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  <w:b w:val="1"/>
          <w:bCs w:val="1"/>
        </w:rPr>
      </w:pPr>
    </w:p>
    <w:p>
      <w:pPr>
        <w:pStyle w:val="Normal.0"/>
      </w:pPr>
    </w:p>
    <w:p>
      <w:pPr>
        <w:pStyle w:val="Heading 2"/>
        <w:numPr>
          <w:ilvl w:val="1"/>
          <w:numId w:val="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RAN2 capabilities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handoverFDD-TDD, handoverFR1-FR2.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I assume P1/3/4 should be easily agreed.</w:t>
      </w:r>
    </w:p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6"/>
      </w:tblGrid>
      <w:tr>
        <w:tblPrEx>
          <w:shd w:val="clear" w:color="auto" w:fill="ced7e7"/>
        </w:tblPrEx>
        <w:trPr>
          <w:trHeight w:val="1422" w:hRule="atLeast"/>
        </w:trPr>
        <w:tc>
          <w:tcPr>
            <w:tcW w:type="dxa" w:w="9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1: the CHO capable UE must support maximum 8 candidate cells;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3: Introduce cpc-r16 to indicate the support of CPC;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4: the CPC capable UE must support maximum 8 candidate cells;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lang w:val="en-US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Question 2: Do companies agree the P1/3/4 as above in the email discussion 930?</w:t>
      </w:r>
    </w:p>
    <w:tbl>
      <w:tblPr>
        <w:tblW w:w="93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0"/>
        <w:gridCol w:w="1527"/>
        <w:gridCol w:w="637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Yes/No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Remark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BT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Yes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lang w:val="en-US"/>
        </w:rPr>
      </w:pPr>
    </w:p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6"/>
      </w:tblGrid>
      <w:tr>
        <w:tblPrEx>
          <w:shd w:val="clear" w:color="auto" w:fill="ced7e7"/>
        </w:tblPrEx>
        <w:trPr>
          <w:trHeight w:val="1462" w:hRule="atLeast"/>
        </w:trPr>
        <w:tc>
          <w:tcPr>
            <w:tcW w:type="dxa" w:w="9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2: For CHO, introduce additional capability on the support of 2 trigger events for same execution condition;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5: For CPC, introduce additional capability on the support of 2 trigger events for same execution condition;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lang w:val="en-US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Question 3: Do companies agree the P2/5 as above in the email discussion 930 on the support of 2 trigger events for the same execution condition?</w:t>
      </w:r>
    </w:p>
    <w:tbl>
      <w:tblPr>
        <w:tblW w:w="93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0"/>
        <w:gridCol w:w="1527"/>
        <w:gridCol w:w="637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Yes/No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Remark 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BT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 consider two trigger events as part of CHO and not an optimization. We consider CHO and CPC should follow the same approach CPC.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  <w:rPr>
          <w:b w:val="1"/>
          <w:bCs w:val="1"/>
        </w:rPr>
      </w:pPr>
    </w:p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6"/>
      </w:tblGrid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9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Proposal 6: For CHO, introduce separate capabilities cho-FDD-TDD-r16 and cho-FR1-FR2-r16;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jc w:val="both"/>
        <w:rPr>
          <w:b w:val="1"/>
          <w:bCs w:val="1"/>
        </w:rPr>
      </w:pPr>
    </w:p>
    <w:p>
      <w:pPr>
        <w:pStyle w:val="Normal.0"/>
        <w:rPr>
          <w:b w:val="1"/>
          <w:bCs w:val="1"/>
          <w:i w:val="1"/>
          <w:i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Question 4: Do companies agree the P6 as above in the email discussion 930 on the support of FDD/TDD HO and FR1/FR2 HO?</w:t>
      </w:r>
    </w:p>
    <w:tbl>
      <w:tblPr>
        <w:tblW w:w="93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0"/>
        <w:gridCol w:w="1527"/>
        <w:gridCol w:w="637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Company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Yes/No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Remark </w:t>
            </w:r>
          </w:p>
        </w:tc>
      </w:tr>
      <w:tr>
        <w:tblPrEx>
          <w:shd w:val="clear" w:color="auto" w:fill="ced7e7"/>
        </w:tblPrEx>
        <w:trPr>
          <w:trHeight w:val="94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BT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 - cho-FDD-TDD-r16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Yes - cho-FR1-FR2-r16</w:t>
            </w:r>
          </w:p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 for cho-FDD-TDD-r16. We consider handovers a basic feature so for FR1, CHO between FDD and TDD should be mandatory supported if UEs support CHO.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60" w:after="6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Yes for cho-FR1-FR2-r16. For IOT tests.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Heading 1"/>
        <w:numPr>
          <w:ilvl w:val="0"/>
          <w:numId w:val="11"/>
        </w:numPr>
      </w:pPr>
      <w:r>
        <w:rPr>
          <w:rtl w:val="0"/>
          <w:lang w:val="en-US"/>
        </w:rPr>
        <w:t>Summary</w:t>
      </w:r>
    </w:p>
    <w:p>
      <w:pPr>
        <w:pStyle w:val="Normal.0"/>
        <w:jc w:val="both"/>
      </w:pPr>
      <w:r>
        <w:rPr>
          <w:rtl w:val="0"/>
          <w:lang w:val="en-US"/>
        </w:rPr>
        <w:t>To be added:</w:t>
      </w:r>
    </w:p>
    <w:p>
      <w:pPr>
        <w:pStyle w:val="Normal.0"/>
        <w:jc w:val="both"/>
        <w:rPr>
          <w:lang w:val="en-US"/>
        </w:rPr>
      </w:pPr>
      <w:bookmarkEnd w:id="0"/>
    </w:p>
    <w:p>
      <w:pPr>
        <w:pStyle w:val="Normal.0"/>
        <w:rPr>
          <w:lang w:val="en-US"/>
        </w:rPr>
      </w:pPr>
    </w:p>
    <w:p>
      <w:pPr>
        <w:pStyle w:val="Heading 1"/>
        <w:numPr>
          <w:ilvl w:val="0"/>
          <w:numId w:val="2"/>
        </w:numPr>
      </w:pPr>
      <w:r>
        <w:rPr>
          <w:rtl w:val="0"/>
          <w:lang w:val="en-US"/>
        </w:rPr>
        <w:t>Reference</w:t>
      </w:r>
    </w:p>
    <w:p>
      <w:pPr>
        <w:pStyle w:val="Normal.0"/>
        <w:jc w:val="both"/>
      </w:pPr>
      <w:r>
        <w:rPr>
          <w:rtl w:val="0"/>
          <w:lang w:val="en-US"/>
        </w:rPr>
        <w:t>[1] R2-2004663</w:t>
        <w:tab/>
        <w:t>[109b#930] UE capabilities for NR mobility</w:t>
        <w:tab/>
        <w:t>Intel Corporation</w:t>
      </w:r>
    </w:p>
    <w:p>
      <w:pPr>
        <w:pStyle w:val="Normal.0"/>
        <w:jc w:val="both"/>
      </w:pPr>
      <w:r>
        <w:rPr>
          <w:rtl w:val="0"/>
          <w:lang w:val="en-US"/>
        </w:rPr>
        <w:t>[2] R2-2005311</w:t>
        <w:tab/>
        <w:t>Report of email discussion [Post109bis-e][963][NR16] UE capabilities</w:t>
        <w:tab/>
        <w:t>Intel Corporation, NTT DoCoMo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游明朝体 デミボールド">
    <w:charset w:val="00"/>
    <w:family w:val="roman"/>
    <w:pitch w:val="default"/>
  </w:font>
  <w:font w:name="游明朝体 ミディアム">
    <w:charset w:val="00"/>
    <w:family w:val="roman"/>
    <w:pitch w:val="default"/>
  </w:font>
  <w:font w:name="Wingding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pçalera i peu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1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000000"/>
                              <w:sz w:val="14"/>
                              <w:szCs w:val="14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.0pt;margin-top:755.5pt;width:584.8pt;height: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C2 General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ació de l’estil 1"/>
  </w:abstractNum>
  <w:abstractNum w:abstractNumId="1">
    <w:multiLevelType w:val="hybridMultilevel"/>
    <w:styleLink w:val="Importació de l’estil 1"/>
    <w:lvl w:ilvl="0">
      <w:start w:val="1"/>
      <w:numFmt w:val="decimal"/>
      <w:suff w:val="tab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ació de l’estil 2"/>
  </w:abstractNum>
  <w:abstractNum w:abstractNumId="3">
    <w:multiLevelType w:val="hybridMultilevel"/>
    <w:styleLink w:val="Importació de l’estil 2"/>
    <w:lvl w:ilvl="0">
      <w:start w:val="1"/>
      <w:numFmt w:val="bullet"/>
      <w:suff w:val="tab"/>
      <w:lvlText w:val="✉"/>
      <w:lvlJc w:val="left"/>
      <w:pPr>
        <w:tabs>
          <w:tab w:val="clear" w:pos="1619"/>
        </w:tabs>
        <w:ind w:left="161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ació de l’estil 3"/>
  </w:abstractNum>
  <w:abstractNum w:abstractNumId="5">
    <w:multiLevelType w:val="hybridMultilevel"/>
    <w:styleLink w:val="Importació de l’estil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ació de l’estil 4"/>
  </w:abstractNum>
  <w:abstractNum w:abstractNumId="7">
    <w:multiLevelType w:val="hybridMultilevel"/>
    <w:styleLink w:val="Importació de l’estil 4"/>
    <w:lvl w:ilvl="0">
      <w:start w:val="1"/>
      <w:numFmt w:val="bullet"/>
      <w:suff w:val="tab"/>
      <w:lvlText w:val="⇨"/>
      <w:lvlJc w:val="left"/>
      <w:pPr>
        <w:tabs>
          <w:tab w:val="clear" w:pos="1622"/>
        </w:tabs>
        <w:ind w:left="161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17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0" w:hanging="17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17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60" w:hanging="17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17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0"/>
    <w:lvlOverride w:ilvl="1">
      <w:startOverride w:val="2"/>
    </w:lvlOverride>
  </w:num>
  <w:num w:numId="1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pçalera i peu">
    <w:name w:val="Capçalera i peu"/>
    <w:next w:val="Capçalera i peu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R Cover Page">
    <w:name w:val="CR Cover Page"/>
    <w:next w:val="CR Cover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0"/>
      <w:pBdr>
        <w:top w:val="single" w:color="000000" w:sz="12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240" w:after="18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ació de l’estil 1">
    <w:name w:val="Importació de l’estil 1"/>
    <w:pPr>
      <w:numPr>
        <w:numId w:val="1"/>
      </w:numPr>
    </w:pPr>
  </w:style>
  <w:style w:type="paragraph" w:styleId="EmailDiscussion">
    <w:name w:val="EmailDiscussion"/>
    <w:next w:val="EmailDiscussion2"/>
    <w:pPr>
      <w:keepNext w:val="0"/>
      <w:keepLines w:val="0"/>
      <w:pageBreakBefore w:val="0"/>
      <w:widowControl w:val="1"/>
      <w:shd w:val="clear" w:color="auto" w:fill="auto"/>
      <w:tabs>
        <w:tab w:val="left" w:pos="1619"/>
      </w:tabs>
      <w:suppressAutoHyphens w:val="0"/>
      <w:bidi w:val="0"/>
      <w:spacing w:before="40" w:after="0" w:line="240" w:lineRule="auto"/>
      <w:ind w:left="1619" w:right="0" w:hanging="360"/>
      <w:jc w:val="left"/>
      <w:outlineLvl w:val="9"/>
    </w:pPr>
    <w:rPr>
      <w:rFonts w:ascii="游明朝体 デミボールド" w:cs="Arial Unicode MS" w:hAnsi="游明朝体 デミボールド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EmailDiscussion2">
    <w:name w:val="EmailDiscussion2"/>
    <w:next w:val="EmailDiscussion2"/>
    <w:pPr>
      <w:keepNext w:val="0"/>
      <w:keepLines w:val="0"/>
      <w:pageBreakBefore w:val="0"/>
      <w:widowControl w:val="1"/>
      <w:shd w:val="clear" w:color="auto" w:fill="auto"/>
      <w:tabs>
        <w:tab w:val="left" w:pos="1622"/>
      </w:tabs>
      <w:suppressAutoHyphens w:val="0"/>
      <w:bidi w:val="0"/>
      <w:spacing w:before="0" w:after="0" w:line="240" w:lineRule="auto"/>
      <w:ind w:left="1622" w:right="0" w:hanging="363"/>
      <w:jc w:val="left"/>
      <w:outlineLvl w:val="9"/>
    </w:pPr>
    <w:rPr>
      <w:rFonts w:ascii="游明朝体 ミディアム" w:cs="Arial Unicode MS" w:hAnsi="游明朝体 ミディアム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ació de l’estil 2">
    <w:name w:val="Importació de l’estil 2"/>
    <w:pPr>
      <w:numPr>
        <w:numId w:val="3"/>
      </w:numPr>
    </w:pPr>
  </w:style>
  <w:style w:type="character" w:styleId="Enllaç">
    <w:name w:val="Enllaç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ació de l’estil 3">
    <w:name w:val="Importació de l’estil 3"/>
    <w:pPr>
      <w:numPr>
        <w:numId w:val="5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oc-text2">
    <w:name w:val="Doc-text2"/>
    <w:next w:val="Doc-text2"/>
    <w:pPr>
      <w:keepNext w:val="0"/>
      <w:keepLines w:val="0"/>
      <w:pageBreakBefore w:val="0"/>
      <w:widowControl w:val="1"/>
      <w:shd w:val="clear" w:color="auto" w:fill="auto"/>
      <w:tabs>
        <w:tab w:val="left" w:pos="1622"/>
      </w:tabs>
      <w:suppressAutoHyphens w:val="0"/>
      <w:bidi w:val="0"/>
      <w:spacing w:before="0" w:after="0" w:line="240" w:lineRule="auto"/>
      <w:ind w:left="1622" w:right="0" w:hanging="363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ació de l’estil 4">
    <w:name w:val="Importació de l’estil 4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