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proofErr w:type="spellStart"/>
      <w:r w:rsidRPr="004B3B67">
        <w:rPr>
          <w:rFonts w:ascii="Times New Roman" w:eastAsia="SimSun" w:hAnsi="Times New Roman" w:cs="Times New Roman"/>
          <w:b/>
          <w:sz w:val="20"/>
          <w:szCs w:val="20"/>
          <w:highlight w:val="lightGray"/>
          <w:lang w:val="en-GB" w:eastAsia="ko-KR"/>
        </w:rPr>
        <w:t>Gray</w:t>
      </w:r>
      <w:proofErr w:type="spellEnd"/>
      <w:r w:rsidRPr="004B3B67">
        <w:rPr>
          <w:rFonts w:ascii="Times New Roman" w:eastAsia="SimSun" w:hAnsi="Times New Roman" w:cs="Times New Roman"/>
          <w:b/>
          <w:sz w:val="20"/>
          <w:szCs w:val="20"/>
          <w:highlight w:val="lightGray"/>
          <w:lang w:val="en-GB" w:eastAsia="ko-KR"/>
        </w:rPr>
        <w:t>:</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xml:space="preserve">: Not clear if RRC impact, will re-visit in the next </w:t>
      </w:r>
      <w:proofErr w:type="spellStart"/>
      <w:r w:rsidRPr="004B3B67">
        <w:rPr>
          <w:rFonts w:ascii="Times New Roman" w:eastAsia="SimSun" w:hAnsi="Times New Roman" w:cs="Times New Roman"/>
          <w:b/>
          <w:sz w:val="20"/>
          <w:szCs w:val="20"/>
          <w:lang w:val="en-GB" w:eastAsia="ko-KR"/>
        </w:rPr>
        <w:t>ruuning</w:t>
      </w:r>
      <w:proofErr w:type="spellEnd"/>
      <w:r w:rsidRPr="004B3B67">
        <w:rPr>
          <w:rFonts w:ascii="Times New Roman" w:eastAsia="SimSun" w:hAnsi="Times New Roman" w:cs="Times New Roman"/>
          <w:b/>
          <w:sz w:val="20"/>
          <w:szCs w:val="20"/>
          <w:lang w:val="en-GB" w:eastAsia="ko-KR"/>
        </w:rPr>
        <w:t xml:space="preserve">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 xml:space="preserve">The request of the reference time information is sent via the </w:t>
      </w:r>
      <w:proofErr w:type="spellStart"/>
      <w:r w:rsidRPr="00DE04D3">
        <w:rPr>
          <w:highlight w:val="green"/>
        </w:rPr>
        <w:t>UEAssistanceInformation</w:t>
      </w:r>
      <w:proofErr w:type="spellEnd"/>
      <w:r w:rsidRPr="00DE04D3">
        <w:rPr>
          <w:highlight w:val="green"/>
        </w:rPr>
        <w:t xml:space="preserve">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w:t>
      </w:r>
      <w:proofErr w:type="spellStart"/>
      <w:r w:rsidRPr="00556057">
        <w:rPr>
          <w:highlight w:val="green"/>
        </w:rPr>
        <w:t>ConfigList</w:t>
      </w:r>
      <w:proofErr w:type="spellEnd"/>
      <w:r w:rsidRPr="00556057">
        <w:rPr>
          <w:highlight w:val="green"/>
        </w:rPr>
        <w:t xml:space="preserve"> in BWP-</w:t>
      </w:r>
      <w:proofErr w:type="spellStart"/>
      <w:r w:rsidRPr="00556057">
        <w:rPr>
          <w:highlight w:val="green"/>
        </w:rPr>
        <w:t>DownlinkDedicated</w:t>
      </w:r>
      <w:proofErr w:type="spellEnd"/>
      <w:r w:rsidRPr="00556057">
        <w:rPr>
          <w:highlight w:val="green"/>
        </w:rPr>
        <w:t xml:space="preserve"> cannot be configured simultaneously at a given time.</w:t>
      </w:r>
    </w:p>
    <w:p w14:paraId="2FF38423" w14:textId="0AD9C10F" w:rsidR="00E63BA2" w:rsidRPr="00556057" w:rsidRDefault="00E63BA2" w:rsidP="00E63BA2">
      <w:pPr>
        <w:pStyle w:val="Agreement"/>
        <w:ind w:left="924" w:hanging="357"/>
        <w:rPr>
          <w:highlight w:val="green"/>
        </w:rPr>
      </w:pPr>
      <w:proofErr w:type="spellStart"/>
      <w:r w:rsidRPr="00556057">
        <w:rPr>
          <w:highlight w:val="green"/>
        </w:rPr>
        <w:t>ConfiguredGrantConfig</w:t>
      </w:r>
      <w:proofErr w:type="spellEnd"/>
      <w:r w:rsidRPr="00556057">
        <w:rPr>
          <w:highlight w:val="green"/>
        </w:rPr>
        <w:t xml:space="preserve"> and </w:t>
      </w:r>
      <w:proofErr w:type="spellStart"/>
      <w:r w:rsidRPr="00556057">
        <w:rPr>
          <w:highlight w:val="green"/>
        </w:rPr>
        <w:t>ConfiguredGrantConfigList</w:t>
      </w:r>
      <w:proofErr w:type="spellEnd"/>
      <w:r w:rsidRPr="00556057">
        <w:rPr>
          <w:highlight w:val="green"/>
        </w:rPr>
        <w:t xml:space="preserve"> in BWP-</w:t>
      </w:r>
      <w:proofErr w:type="spellStart"/>
      <w:r w:rsidRPr="00556057">
        <w:rPr>
          <w:highlight w:val="green"/>
        </w:rPr>
        <w:t>UplinkDedicated</w:t>
      </w:r>
      <w:proofErr w:type="spellEnd"/>
      <w:r w:rsidRPr="00556057">
        <w:rPr>
          <w:highlight w:val="green"/>
        </w:rPr>
        <w:t xml:space="preserve">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sufficient support to clarify closest N, at least the way that was proposed here, can discuss more. </w:t>
      </w:r>
    </w:p>
    <w:p w14:paraId="7FB24BD5" w14:textId="01C5440B" w:rsidR="005D02C0" w:rsidRPr="005D02C0" w:rsidRDefault="006C4D40"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[Post109e#50][IIOT]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an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 xml:space="preserve">NOTE5 in MAC specification will be updated: “NOTE 5: If </w:t>
      </w:r>
      <w:proofErr w:type="spellStart"/>
      <w:r w:rsidRPr="002E3679">
        <w:rPr>
          <w:highlight w:val="lightGray"/>
        </w:rPr>
        <w:t>cg_RetransmissionTimer</w:t>
      </w:r>
      <w:proofErr w:type="spellEnd"/>
      <w:r w:rsidRPr="002E3679">
        <w:rPr>
          <w:highlight w:val="lightGray"/>
        </w:rPr>
        <w:t xml:space="preserve">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 xml:space="preserve">Use </w:t>
      </w:r>
      <w:proofErr w:type="spellStart"/>
      <w:r w:rsidRPr="003E3CB9">
        <w:rPr>
          <w:highlight w:val="green"/>
        </w:rPr>
        <w:t>AutonomousTx</w:t>
      </w:r>
      <w:proofErr w:type="spellEnd"/>
      <w:r w:rsidRPr="003E3CB9">
        <w:rPr>
          <w:highlight w:val="green"/>
        </w:rPr>
        <w:t>.</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77777777" w:rsidR="004D048C" w:rsidRPr="004D048C" w:rsidRDefault="004D048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 xml:space="preserve">Network reconfigures </w:t>
      </w:r>
      <w:proofErr w:type="spellStart"/>
      <w:r w:rsidRPr="00912F11">
        <w:rPr>
          <w:highlight w:val="green"/>
        </w:rPr>
        <w:t>ethernetHeaderCompression</w:t>
      </w:r>
      <w:proofErr w:type="spellEnd"/>
      <w:r w:rsidRPr="00912F11">
        <w:rPr>
          <w:highlight w:val="green"/>
        </w:rPr>
        <w:t xml:space="preserve">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 xml:space="preserve">In RRC specifications, replace parameter </w:t>
      </w:r>
      <w:proofErr w:type="spellStart"/>
      <w:r w:rsidRPr="00912F11">
        <w:rPr>
          <w:highlight w:val="green"/>
        </w:rPr>
        <w:t>ehc-HeaderSize</w:t>
      </w:r>
      <w:proofErr w:type="spellEnd"/>
      <w:r w:rsidRPr="00912F11">
        <w:rPr>
          <w:highlight w:val="green"/>
        </w:rPr>
        <w:t xml:space="preserve"> with </w:t>
      </w:r>
      <w:proofErr w:type="spellStart"/>
      <w:r w:rsidRPr="00912F11">
        <w:rPr>
          <w:highlight w:val="green"/>
        </w:rPr>
        <w:t>ehc</w:t>
      </w:r>
      <w:proofErr w:type="spellEnd"/>
      <w:r w:rsidRPr="00912F11">
        <w:rPr>
          <w:highlight w:val="green"/>
        </w:rPr>
        <w:t>-CID-Length.</w:t>
      </w:r>
    </w:p>
    <w:p w14:paraId="5D56356C" w14:textId="77777777" w:rsidR="00470BE7" w:rsidRPr="00F11FA7" w:rsidRDefault="00470BE7" w:rsidP="00470BE7">
      <w:pPr>
        <w:pStyle w:val="Agreement"/>
        <w:ind w:left="924" w:hanging="357"/>
        <w:rPr>
          <w:highlight w:val="lightGray"/>
        </w:rPr>
      </w:pPr>
      <w:r w:rsidRPr="00F11FA7">
        <w:rPr>
          <w:highlight w:val="lightGray"/>
        </w:rPr>
        <w:t xml:space="preserve">The clause “5.12.3 Protocol parameters” in TS 38.323 and clause “5.14.3 Protocol parameters” in TS 36.323 are </w:t>
      </w:r>
      <w:proofErr w:type="spellStart"/>
      <w:r w:rsidRPr="00F11FA7">
        <w:rPr>
          <w:highlight w:val="lightGray"/>
        </w:rPr>
        <w:t>VOID’ed</w:t>
      </w:r>
      <w:proofErr w:type="spellEnd"/>
      <w:r w:rsidRPr="00F11FA7">
        <w:rPr>
          <w:highlight w:val="lightGray"/>
        </w:rPr>
        <w:t>.</w:t>
      </w:r>
    </w:p>
    <w:p w14:paraId="4F4C4760" w14:textId="77777777" w:rsidR="00470BE7" w:rsidRPr="00F11FA7" w:rsidRDefault="00470BE7" w:rsidP="00470BE7">
      <w:pPr>
        <w:pStyle w:val="Agreement"/>
        <w:ind w:left="924" w:hanging="357"/>
        <w:rPr>
          <w:highlight w:val="lightGray"/>
        </w:rPr>
      </w:pPr>
      <w:r w:rsidRPr="00F11FA7">
        <w:rPr>
          <w:highlight w:val="lightGray"/>
        </w:rPr>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CID length is 7 or 15 bits, for 1 byte and 2 byte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lastRenderedPageBreak/>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duplicationState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Add the text in the duplicationState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 xml:space="preserve">Confirm that index I for </w:t>
      </w:r>
      <w:proofErr w:type="spellStart"/>
      <w:r w:rsidRPr="00EA30BA">
        <w:rPr>
          <w:highlight w:val="lightGray"/>
        </w:rPr>
        <w:t>RLCi</w:t>
      </w:r>
      <w:proofErr w:type="spellEnd"/>
      <w:r w:rsidRPr="00EA30BA">
        <w:rPr>
          <w:highlight w:val="lightGray"/>
        </w:rPr>
        <w:t xml:space="preserve"> field of Rel-16 MAC CE is determined by ascending order of logical channel ID of secondary RLC entities in MCG and SCG, and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duplicationState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r>
        <w:rPr>
          <w:lang w:val="en-US"/>
        </w:rPr>
        <w:t>Capabilities</w:t>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51F72CEB" w14:textId="77777777" w:rsidR="001D52BE" w:rsidRPr="007F20D9" w:rsidRDefault="001D52BE" w:rsidP="005B2108">
      <w:pPr>
        <w:pStyle w:val="Agreement"/>
        <w:ind w:left="924" w:hanging="357"/>
        <w:rPr>
          <w:highlight w:val="green"/>
        </w:rPr>
      </w:pPr>
      <w:commentRangeStart w:id="9"/>
      <w:r w:rsidRPr="007F20D9">
        <w:rPr>
          <w:highlight w:val="green"/>
        </w:rPr>
        <w:t xml:space="preserve">Introduce an indication parameter, e.g. </w:t>
      </w:r>
      <w:proofErr w:type="spellStart"/>
      <w:r w:rsidRPr="007F20D9">
        <w:rPr>
          <w:highlight w:val="green"/>
        </w:rPr>
        <w:t>maxNumberEHC-ContextsSN</w:t>
      </w:r>
      <w:proofErr w:type="spellEnd"/>
      <w:r w:rsidRPr="007F20D9">
        <w:rPr>
          <w:highlight w:val="green"/>
        </w:rPr>
        <w:t xml:space="preserve">, in </w:t>
      </w:r>
      <w:proofErr w:type="spellStart"/>
      <w:r w:rsidRPr="007F20D9">
        <w:rPr>
          <w:highlight w:val="green"/>
        </w:rPr>
        <w:t>ConfigRestrictInfoSCG</w:t>
      </w:r>
      <w:proofErr w:type="spellEnd"/>
      <w:r w:rsidRPr="007F20D9">
        <w:rPr>
          <w:highlight w:val="green"/>
        </w:rPr>
        <w:t xml:space="preserve"> IE of CG-</w:t>
      </w:r>
      <w:proofErr w:type="spellStart"/>
      <w:r w:rsidRPr="007F20D9">
        <w:rPr>
          <w:highlight w:val="green"/>
        </w:rPr>
        <w:t>ConfigInfo</w:t>
      </w:r>
      <w:proofErr w:type="spellEnd"/>
      <w:r w:rsidRPr="007F20D9">
        <w:rPr>
          <w:highlight w:val="green"/>
        </w:rPr>
        <w:t xml:space="preserve"> Message, to indicate the maximum number of EHC contexts allowed to the SN terminated bearer.</w:t>
      </w:r>
      <w:commentRangeEnd w:id="9"/>
      <w:r w:rsidR="007F20D9">
        <w:rPr>
          <w:rStyle w:val="CommentReference"/>
          <w:rFonts w:ascii="Times New Roman" w:eastAsiaTheme="minorEastAsia" w:hAnsi="Times New Roman"/>
          <w:b w:val="0"/>
          <w:szCs w:val="20"/>
          <w:lang w:eastAsia="en-US"/>
        </w:rPr>
        <w:commentReference w:id="9"/>
      </w:r>
    </w:p>
    <w:p w14:paraId="6D75707E" w14:textId="4D6975F4" w:rsidR="00E870D0" w:rsidRDefault="00E870D0" w:rsidP="001D52BE">
      <w:pPr>
        <w:rPr>
          <w:lang w:val="en-US"/>
        </w:rPr>
      </w:pPr>
    </w:p>
    <w:p w14:paraId="41362CC1" w14:textId="754843E1" w:rsidR="00E47487" w:rsidRPr="008C3333" w:rsidRDefault="00E870D0" w:rsidP="008C3333">
      <w:pPr>
        <w:pStyle w:val="Heading1"/>
        <w:rPr>
          <w:lang w:val="en-US"/>
        </w:rPr>
      </w:pPr>
      <w:r>
        <w:rPr>
          <w:lang w:val="en-US"/>
        </w:rPr>
        <w:t>RAN2#1</w:t>
      </w:r>
      <w:r w:rsidR="00447611">
        <w:rPr>
          <w:lang w:val="en-US"/>
        </w:rPr>
        <w:t>10</w:t>
      </w:r>
      <w:r>
        <w:rPr>
          <w:lang w:val="en-US"/>
        </w:rPr>
        <w:t>-e</w:t>
      </w:r>
    </w:p>
    <w:p w14:paraId="3A5BEA44" w14:textId="171CA6C2" w:rsidR="00D14A1D" w:rsidRDefault="004D46EC" w:rsidP="00D14A1D">
      <w:pPr>
        <w:pStyle w:val="Heading2"/>
      </w:pPr>
      <w:r>
        <w:t>Class 3 RIL issues</w:t>
      </w:r>
    </w:p>
    <w:tbl>
      <w:tblPr>
        <w:tblW w:w="9140" w:type="dxa"/>
        <w:tblLayout w:type="fixed"/>
        <w:tblCellMar>
          <w:left w:w="0" w:type="dxa"/>
          <w:right w:w="0" w:type="dxa"/>
        </w:tblCellMar>
        <w:tblLook w:val="04A0" w:firstRow="1" w:lastRow="0" w:firstColumn="1" w:lastColumn="0" w:noHBand="0" w:noVBand="1"/>
      </w:tblPr>
      <w:tblGrid>
        <w:gridCol w:w="1520"/>
        <w:gridCol w:w="1560"/>
        <w:gridCol w:w="1900"/>
        <w:gridCol w:w="2080"/>
        <w:gridCol w:w="2080"/>
      </w:tblGrid>
      <w:tr w:rsidR="0095676E" w:rsidRPr="00E47487" w14:paraId="0D1FB8D5" w14:textId="3C7B95AD" w:rsidTr="0095676E">
        <w:trPr>
          <w:trHeight w:val="300"/>
        </w:trPr>
        <w:tc>
          <w:tcPr>
            <w:tcW w:w="1520" w:type="dxa"/>
            <w:shd w:val="clear" w:color="auto" w:fill="F2F2F2" w:themeFill="background1" w:themeFillShade="F2"/>
            <w:tcMar>
              <w:top w:w="0" w:type="dxa"/>
              <w:left w:w="108" w:type="dxa"/>
              <w:bottom w:w="0" w:type="dxa"/>
              <w:right w:w="108" w:type="dxa"/>
            </w:tcMar>
          </w:tcPr>
          <w:p w14:paraId="61F1E5CD" w14:textId="77777777" w:rsidR="0095676E" w:rsidRPr="00E47487" w:rsidRDefault="0095676E" w:rsidP="00E47487">
            <w:pPr>
              <w:spacing w:after="0" w:line="240" w:lineRule="auto"/>
              <w:rPr>
                <w:rFonts w:ascii="Arial" w:eastAsia="DengXian" w:hAnsi="Arial" w:cs="Arial"/>
                <w:b/>
                <w:bCs/>
                <w:color w:val="000000"/>
                <w:lang w:val="en-GB"/>
              </w:rPr>
            </w:pPr>
            <w:r w:rsidRPr="00E47487">
              <w:rPr>
                <w:rFonts w:ascii="Arial" w:eastAsia="DengXian" w:hAnsi="Arial" w:cs="Arial"/>
                <w:b/>
                <w:bCs/>
                <w:color w:val="000000"/>
                <w:lang w:val="en-GB"/>
              </w:rPr>
              <w:t>ID</w:t>
            </w:r>
          </w:p>
        </w:tc>
        <w:tc>
          <w:tcPr>
            <w:tcW w:w="1560" w:type="dxa"/>
            <w:shd w:val="clear" w:color="auto" w:fill="F2F2F2" w:themeFill="background1" w:themeFillShade="F2"/>
            <w:tcMar>
              <w:top w:w="0" w:type="dxa"/>
              <w:left w:w="108" w:type="dxa"/>
              <w:bottom w:w="0" w:type="dxa"/>
              <w:right w:w="108" w:type="dxa"/>
            </w:tcMar>
          </w:tcPr>
          <w:p w14:paraId="1809E58F"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Work Item</w:t>
            </w:r>
          </w:p>
        </w:tc>
        <w:tc>
          <w:tcPr>
            <w:tcW w:w="1900" w:type="dxa"/>
            <w:shd w:val="clear" w:color="auto" w:fill="F2F2F2" w:themeFill="background1" w:themeFillShade="F2"/>
            <w:tcMar>
              <w:top w:w="0" w:type="dxa"/>
              <w:left w:w="108" w:type="dxa"/>
              <w:bottom w:w="0" w:type="dxa"/>
              <w:right w:w="108" w:type="dxa"/>
            </w:tcMar>
          </w:tcPr>
          <w:p w14:paraId="4EB84AA2"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Class</w:t>
            </w:r>
          </w:p>
        </w:tc>
        <w:tc>
          <w:tcPr>
            <w:tcW w:w="2080" w:type="dxa"/>
            <w:shd w:val="clear" w:color="auto" w:fill="F2F2F2" w:themeFill="background1" w:themeFillShade="F2"/>
            <w:tcMar>
              <w:top w:w="0" w:type="dxa"/>
              <w:left w:w="108" w:type="dxa"/>
              <w:bottom w:w="0" w:type="dxa"/>
              <w:right w:w="108" w:type="dxa"/>
            </w:tcMar>
          </w:tcPr>
          <w:p w14:paraId="0F13FEB9" w14:textId="3C0B900B" w:rsidR="0095676E" w:rsidRPr="00E47487" w:rsidRDefault="0095676E" w:rsidP="00E47487">
            <w:pPr>
              <w:spacing w:after="0" w:line="240" w:lineRule="auto"/>
              <w:jc w:val="center"/>
              <w:rPr>
                <w:rFonts w:ascii="Arial" w:eastAsia="DengXian" w:hAnsi="Arial" w:cs="Arial"/>
                <w:b/>
                <w:bCs/>
                <w:color w:val="000000"/>
                <w:lang w:val="en-GB"/>
              </w:rPr>
            </w:pPr>
            <w:r>
              <w:rPr>
                <w:rFonts w:ascii="Arial" w:eastAsia="DengXian" w:hAnsi="Arial" w:cs="Arial"/>
                <w:b/>
                <w:bCs/>
                <w:color w:val="000000"/>
                <w:lang w:val="en-GB"/>
              </w:rPr>
              <w:t>Status</w:t>
            </w:r>
          </w:p>
        </w:tc>
        <w:tc>
          <w:tcPr>
            <w:tcW w:w="2080" w:type="dxa"/>
            <w:shd w:val="clear" w:color="auto" w:fill="F2F2F2" w:themeFill="background1" w:themeFillShade="F2"/>
          </w:tcPr>
          <w:p w14:paraId="6C29CF7C" w14:textId="3B714268" w:rsidR="0095676E" w:rsidRDefault="0095676E" w:rsidP="00E47487">
            <w:pPr>
              <w:spacing w:after="0" w:line="240" w:lineRule="auto"/>
              <w:jc w:val="center"/>
              <w:rPr>
                <w:rFonts w:ascii="Arial" w:eastAsia="DengXian" w:hAnsi="Arial" w:cs="Arial"/>
                <w:b/>
                <w:bCs/>
                <w:color w:val="000000"/>
                <w:lang w:val="en-GB"/>
              </w:rPr>
            </w:pPr>
            <w:commentRangeStart w:id="10"/>
            <w:r w:rsidRPr="00601A31">
              <w:rPr>
                <w:rFonts w:ascii="Arial" w:eastAsia="DengXian" w:hAnsi="Arial" w:cs="Arial"/>
                <w:b/>
                <w:bCs/>
                <w:color w:val="000000"/>
                <w:highlight w:val="yellow"/>
                <w:lang w:val="en-GB"/>
              </w:rPr>
              <w:t>After discussion</w:t>
            </w:r>
            <w:commentRangeEnd w:id="10"/>
            <w:r w:rsidR="00353B06">
              <w:rPr>
                <w:rStyle w:val="CommentReference"/>
                <w:rFonts w:ascii="Times New Roman" w:hAnsi="Times New Roman" w:cs="Times New Roman"/>
                <w:szCs w:val="20"/>
                <w:lang w:val="en-GB" w:eastAsia="en-US"/>
              </w:rPr>
              <w:commentReference w:id="10"/>
            </w:r>
          </w:p>
        </w:tc>
      </w:tr>
      <w:tr w:rsidR="0095676E" w:rsidRPr="00E47487" w14:paraId="5DA05358" w14:textId="1B09A662" w:rsidTr="0095676E">
        <w:trPr>
          <w:trHeight w:val="300"/>
        </w:trPr>
        <w:tc>
          <w:tcPr>
            <w:tcW w:w="1520" w:type="dxa"/>
            <w:shd w:val="clear" w:color="auto" w:fill="F2F2F2" w:themeFill="background1" w:themeFillShade="F2"/>
            <w:tcMar>
              <w:top w:w="0" w:type="dxa"/>
              <w:left w:w="108" w:type="dxa"/>
              <w:bottom w:w="0" w:type="dxa"/>
              <w:right w:w="108" w:type="dxa"/>
            </w:tcMar>
          </w:tcPr>
          <w:p w14:paraId="15026AA5"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H570</w:t>
            </w:r>
          </w:p>
        </w:tc>
        <w:tc>
          <w:tcPr>
            <w:tcW w:w="1560" w:type="dxa"/>
            <w:shd w:val="clear" w:color="auto" w:fill="F2F2F2" w:themeFill="background1" w:themeFillShade="F2"/>
            <w:tcMar>
              <w:top w:w="0" w:type="dxa"/>
              <w:left w:w="108" w:type="dxa"/>
              <w:bottom w:w="0" w:type="dxa"/>
              <w:right w:w="108" w:type="dxa"/>
            </w:tcMar>
          </w:tcPr>
          <w:p w14:paraId="18C1F650"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641321A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CFE94D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5C40CB73" w14:textId="4E76D82D"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49A341F" w14:textId="3CC9F06A" w:rsidTr="0095676E">
        <w:trPr>
          <w:trHeight w:val="300"/>
        </w:trPr>
        <w:tc>
          <w:tcPr>
            <w:tcW w:w="1520" w:type="dxa"/>
            <w:shd w:val="clear" w:color="auto" w:fill="F2F2F2" w:themeFill="background1" w:themeFillShade="F2"/>
            <w:tcMar>
              <w:top w:w="0" w:type="dxa"/>
              <w:left w:w="108" w:type="dxa"/>
              <w:bottom w:w="0" w:type="dxa"/>
              <w:right w:w="108" w:type="dxa"/>
            </w:tcMar>
          </w:tcPr>
          <w:p w14:paraId="6AAA38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N042</w:t>
            </w:r>
          </w:p>
        </w:tc>
        <w:tc>
          <w:tcPr>
            <w:tcW w:w="1560" w:type="dxa"/>
            <w:shd w:val="clear" w:color="auto" w:fill="F2F2F2" w:themeFill="background1" w:themeFillShade="F2"/>
            <w:tcMar>
              <w:top w:w="0" w:type="dxa"/>
              <w:left w:w="108" w:type="dxa"/>
              <w:bottom w:w="0" w:type="dxa"/>
              <w:right w:w="108" w:type="dxa"/>
            </w:tcMar>
          </w:tcPr>
          <w:p w14:paraId="1F333A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B5667E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0CDCFB1D"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A18F318" w14:textId="5F128BB5"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ConcReject</w:t>
            </w:r>
            <w:proofErr w:type="spellEnd"/>
          </w:p>
        </w:tc>
      </w:tr>
      <w:tr w:rsidR="0095676E" w:rsidRPr="00E47487" w14:paraId="7C0B2947" w14:textId="1A32985E" w:rsidTr="0095676E">
        <w:trPr>
          <w:trHeight w:val="300"/>
        </w:trPr>
        <w:tc>
          <w:tcPr>
            <w:tcW w:w="1520" w:type="dxa"/>
            <w:shd w:val="clear" w:color="auto" w:fill="F2F2F2" w:themeFill="background1" w:themeFillShade="F2"/>
            <w:tcMar>
              <w:top w:w="0" w:type="dxa"/>
              <w:left w:w="108" w:type="dxa"/>
              <w:bottom w:w="0" w:type="dxa"/>
              <w:right w:w="108" w:type="dxa"/>
            </w:tcMar>
          </w:tcPr>
          <w:p w14:paraId="7ACE3FA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O316</w:t>
            </w:r>
          </w:p>
        </w:tc>
        <w:tc>
          <w:tcPr>
            <w:tcW w:w="1560" w:type="dxa"/>
            <w:shd w:val="clear" w:color="auto" w:fill="F2F2F2" w:themeFill="background1" w:themeFillShade="F2"/>
            <w:tcMar>
              <w:top w:w="0" w:type="dxa"/>
              <w:left w:w="108" w:type="dxa"/>
              <w:bottom w:w="0" w:type="dxa"/>
              <w:right w:w="108" w:type="dxa"/>
            </w:tcMar>
          </w:tcPr>
          <w:p w14:paraId="556D0B4A"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356E814"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8122B1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20C0DEA" w14:textId="4EBA5E4E"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FE5A8E8" w14:textId="437E9396" w:rsidTr="0095676E">
        <w:trPr>
          <w:trHeight w:val="300"/>
        </w:trPr>
        <w:tc>
          <w:tcPr>
            <w:tcW w:w="1520" w:type="dxa"/>
            <w:shd w:val="clear" w:color="auto" w:fill="F2F2F2" w:themeFill="background1" w:themeFillShade="F2"/>
            <w:tcMar>
              <w:top w:w="0" w:type="dxa"/>
              <w:left w:w="108" w:type="dxa"/>
              <w:bottom w:w="0" w:type="dxa"/>
              <w:right w:w="108" w:type="dxa"/>
            </w:tcMar>
          </w:tcPr>
          <w:p w14:paraId="533B7D8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E223</w:t>
            </w:r>
          </w:p>
        </w:tc>
        <w:tc>
          <w:tcPr>
            <w:tcW w:w="1560" w:type="dxa"/>
            <w:shd w:val="clear" w:color="auto" w:fill="F2F2F2" w:themeFill="background1" w:themeFillShade="F2"/>
            <w:tcMar>
              <w:top w:w="0" w:type="dxa"/>
              <w:left w:w="108" w:type="dxa"/>
              <w:bottom w:w="0" w:type="dxa"/>
              <w:right w:w="108" w:type="dxa"/>
            </w:tcMar>
          </w:tcPr>
          <w:p w14:paraId="2C4BA43F"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6CE8D68E"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B7C055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69F0C991" w14:textId="34324622"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F853AB2" w14:textId="5571A4FA" w:rsidTr="0095676E">
        <w:trPr>
          <w:trHeight w:val="300"/>
        </w:trPr>
        <w:tc>
          <w:tcPr>
            <w:tcW w:w="1520" w:type="dxa"/>
            <w:shd w:val="clear" w:color="auto" w:fill="F2F2F2" w:themeFill="background1" w:themeFillShade="F2"/>
            <w:tcMar>
              <w:top w:w="0" w:type="dxa"/>
              <w:left w:w="108" w:type="dxa"/>
              <w:bottom w:w="0" w:type="dxa"/>
              <w:right w:w="108" w:type="dxa"/>
            </w:tcMar>
          </w:tcPr>
          <w:p w14:paraId="488D9F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N041</w:t>
            </w:r>
          </w:p>
        </w:tc>
        <w:tc>
          <w:tcPr>
            <w:tcW w:w="1560" w:type="dxa"/>
            <w:shd w:val="clear" w:color="auto" w:fill="F2F2F2" w:themeFill="background1" w:themeFillShade="F2"/>
            <w:tcMar>
              <w:top w:w="0" w:type="dxa"/>
              <w:left w:w="108" w:type="dxa"/>
              <w:bottom w:w="0" w:type="dxa"/>
              <w:right w:w="108" w:type="dxa"/>
            </w:tcMar>
          </w:tcPr>
          <w:p w14:paraId="7C19B13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0B0929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10F4EF1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03D2FAD8" w14:textId="7CE967CB"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ConcReject</w:t>
            </w:r>
            <w:proofErr w:type="spellEnd"/>
          </w:p>
        </w:tc>
      </w:tr>
      <w:tr w:rsidR="0095676E" w:rsidRPr="00E47487" w14:paraId="41666727" w14:textId="4FEDD2C9" w:rsidTr="0095676E">
        <w:trPr>
          <w:trHeight w:val="300"/>
        </w:trPr>
        <w:tc>
          <w:tcPr>
            <w:tcW w:w="1520" w:type="dxa"/>
            <w:shd w:val="clear" w:color="auto" w:fill="F2F2F2" w:themeFill="background1" w:themeFillShade="F2"/>
            <w:tcMar>
              <w:top w:w="0" w:type="dxa"/>
              <w:left w:w="108" w:type="dxa"/>
              <w:bottom w:w="0" w:type="dxa"/>
              <w:right w:w="108" w:type="dxa"/>
            </w:tcMar>
          </w:tcPr>
          <w:p w14:paraId="55298EE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E225</w:t>
            </w:r>
          </w:p>
        </w:tc>
        <w:tc>
          <w:tcPr>
            <w:tcW w:w="1560" w:type="dxa"/>
            <w:shd w:val="clear" w:color="auto" w:fill="F2F2F2" w:themeFill="background1" w:themeFillShade="F2"/>
            <w:tcMar>
              <w:top w:w="0" w:type="dxa"/>
              <w:left w:w="108" w:type="dxa"/>
              <w:bottom w:w="0" w:type="dxa"/>
              <w:right w:w="108" w:type="dxa"/>
            </w:tcMar>
          </w:tcPr>
          <w:p w14:paraId="365AFF28"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BFB602C"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5A54C2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w:t>
            </w:r>
            <w:proofErr w:type="spellStart"/>
            <w:r w:rsidRPr="00E47487">
              <w:rPr>
                <w:rFonts w:ascii="Arial" w:eastAsia="DengXian" w:hAnsi="Arial" w:cs="Arial"/>
                <w:color w:val="000000"/>
                <w:lang w:val="en-GB"/>
              </w:rPr>
              <w:t>tdoc</w:t>
            </w:r>
            <w:proofErr w:type="spellEnd"/>
            <w:r w:rsidRPr="00E47487">
              <w:rPr>
                <w:rFonts w:ascii="Arial" w:eastAsia="DengXian" w:hAnsi="Arial" w:cs="Arial"/>
                <w:color w:val="000000"/>
                <w:lang w:val="en-GB"/>
              </w:rPr>
              <w:t>)</w:t>
            </w:r>
          </w:p>
        </w:tc>
        <w:tc>
          <w:tcPr>
            <w:tcW w:w="2080" w:type="dxa"/>
            <w:shd w:val="clear" w:color="auto" w:fill="F2F2F2" w:themeFill="background1" w:themeFillShade="F2"/>
          </w:tcPr>
          <w:p w14:paraId="71BC4A33" w14:textId="5A6D02ED"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77E96A1C" w14:textId="5F7776EB" w:rsidTr="0095676E">
        <w:trPr>
          <w:trHeight w:val="300"/>
        </w:trPr>
        <w:tc>
          <w:tcPr>
            <w:tcW w:w="1520" w:type="dxa"/>
            <w:shd w:val="clear" w:color="auto" w:fill="F2F2F2" w:themeFill="background1" w:themeFillShade="F2"/>
            <w:tcMar>
              <w:top w:w="0" w:type="dxa"/>
              <w:left w:w="108" w:type="dxa"/>
              <w:bottom w:w="0" w:type="dxa"/>
              <w:right w:w="108" w:type="dxa"/>
            </w:tcMar>
          </w:tcPr>
          <w:p w14:paraId="109022DB"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C601</w:t>
            </w:r>
          </w:p>
        </w:tc>
        <w:tc>
          <w:tcPr>
            <w:tcW w:w="1560" w:type="dxa"/>
            <w:shd w:val="clear" w:color="auto" w:fill="F2F2F2" w:themeFill="background1" w:themeFillShade="F2"/>
            <w:tcMar>
              <w:top w:w="0" w:type="dxa"/>
              <w:left w:w="108" w:type="dxa"/>
              <w:bottom w:w="0" w:type="dxa"/>
              <w:right w:w="108" w:type="dxa"/>
            </w:tcMar>
          </w:tcPr>
          <w:p w14:paraId="0495DD5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45810E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18DCC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w:t>
            </w:r>
            <w:proofErr w:type="spellStart"/>
            <w:r w:rsidRPr="00E47487">
              <w:rPr>
                <w:rFonts w:ascii="Arial" w:eastAsia="DengXian" w:hAnsi="Arial" w:cs="Arial"/>
                <w:color w:val="000000"/>
                <w:lang w:val="en-GB"/>
              </w:rPr>
              <w:t>tdoc</w:t>
            </w:r>
            <w:proofErr w:type="spellEnd"/>
            <w:r w:rsidRPr="00E47487">
              <w:rPr>
                <w:rFonts w:ascii="Arial" w:eastAsia="DengXian" w:hAnsi="Arial" w:cs="Arial"/>
                <w:color w:val="000000"/>
                <w:lang w:val="en-GB"/>
              </w:rPr>
              <w:t>)</w:t>
            </w:r>
          </w:p>
        </w:tc>
        <w:tc>
          <w:tcPr>
            <w:tcW w:w="2080" w:type="dxa"/>
            <w:shd w:val="clear" w:color="auto" w:fill="F2F2F2" w:themeFill="background1" w:themeFillShade="F2"/>
          </w:tcPr>
          <w:p w14:paraId="051A00E6" w14:textId="47BA1420"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3543FBBC" w14:textId="51A11DC4" w:rsidTr="0095676E">
        <w:trPr>
          <w:trHeight w:val="300"/>
        </w:trPr>
        <w:tc>
          <w:tcPr>
            <w:tcW w:w="1520" w:type="dxa"/>
            <w:shd w:val="clear" w:color="auto" w:fill="F2F2F2" w:themeFill="background1" w:themeFillShade="F2"/>
            <w:tcMar>
              <w:top w:w="0" w:type="dxa"/>
              <w:left w:w="108" w:type="dxa"/>
              <w:bottom w:w="0" w:type="dxa"/>
              <w:right w:w="108" w:type="dxa"/>
            </w:tcMar>
          </w:tcPr>
          <w:p w14:paraId="5098AA8F"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E221</w:t>
            </w:r>
          </w:p>
        </w:tc>
        <w:tc>
          <w:tcPr>
            <w:tcW w:w="1560" w:type="dxa"/>
            <w:shd w:val="clear" w:color="auto" w:fill="F2F2F2" w:themeFill="background1" w:themeFillShade="F2"/>
            <w:tcMar>
              <w:top w:w="0" w:type="dxa"/>
              <w:left w:w="108" w:type="dxa"/>
              <w:bottom w:w="0" w:type="dxa"/>
              <w:right w:w="108" w:type="dxa"/>
            </w:tcMar>
          </w:tcPr>
          <w:p w14:paraId="0BD4097E"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607CDC9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126B6EA"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2CFFDA78" w14:textId="0F51A9BC" w:rsidR="0095676E" w:rsidRPr="00E47487" w:rsidRDefault="00281CCF"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426DC546" w14:textId="6E6D0781" w:rsidTr="0095676E">
        <w:trPr>
          <w:trHeight w:val="300"/>
        </w:trPr>
        <w:tc>
          <w:tcPr>
            <w:tcW w:w="1520" w:type="dxa"/>
            <w:shd w:val="clear" w:color="auto" w:fill="F2F2F2" w:themeFill="background1" w:themeFillShade="F2"/>
            <w:tcMar>
              <w:top w:w="0" w:type="dxa"/>
              <w:left w:w="108" w:type="dxa"/>
              <w:bottom w:w="0" w:type="dxa"/>
              <w:right w:w="108" w:type="dxa"/>
            </w:tcMar>
          </w:tcPr>
          <w:p w14:paraId="0C1D3524"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H578</w:t>
            </w:r>
          </w:p>
        </w:tc>
        <w:tc>
          <w:tcPr>
            <w:tcW w:w="1560" w:type="dxa"/>
            <w:shd w:val="clear" w:color="auto" w:fill="F2F2F2" w:themeFill="background1" w:themeFillShade="F2"/>
            <w:tcMar>
              <w:top w:w="0" w:type="dxa"/>
              <w:left w:w="108" w:type="dxa"/>
              <w:bottom w:w="0" w:type="dxa"/>
              <w:right w:w="108" w:type="dxa"/>
            </w:tcMar>
          </w:tcPr>
          <w:p w14:paraId="578C516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3D1B1C5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41B9D48"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67C5DEDD" w14:textId="43E13C10" w:rsidR="0095676E" w:rsidRPr="00B64924" w:rsidRDefault="00B64924" w:rsidP="00E47487">
            <w:pPr>
              <w:spacing w:after="0" w:line="240" w:lineRule="auto"/>
              <w:jc w:val="center"/>
              <w:rPr>
                <w:rFonts w:ascii="Arial" w:eastAsia="DengXian" w:hAnsi="Arial" w:cs="Arial"/>
                <w:color w:val="000000"/>
              </w:rPr>
            </w:pPr>
            <w:proofErr w:type="spellStart"/>
            <w:r>
              <w:rPr>
                <w:rFonts w:ascii="Arial" w:eastAsia="DengXian" w:hAnsi="Arial" w:cs="Arial" w:hint="eastAsia"/>
                <w:color w:val="000000"/>
                <w:lang w:val="en-GB"/>
              </w:rPr>
              <w:t>Conc</w:t>
            </w:r>
            <w:proofErr w:type="spellEnd"/>
            <w:r>
              <w:rPr>
                <w:rFonts w:ascii="Arial" w:eastAsia="DengXian" w:hAnsi="Arial" w:cs="Arial"/>
                <w:color w:val="000000"/>
              </w:rPr>
              <w:t>Reject</w:t>
            </w:r>
          </w:p>
        </w:tc>
      </w:tr>
      <w:tr w:rsidR="0095676E" w:rsidRPr="00E47487" w14:paraId="5DAF0EC4" w14:textId="2D03BFFE" w:rsidTr="0095676E">
        <w:trPr>
          <w:trHeight w:val="300"/>
        </w:trPr>
        <w:tc>
          <w:tcPr>
            <w:tcW w:w="1520" w:type="dxa"/>
            <w:shd w:val="clear" w:color="auto" w:fill="F2F2F2" w:themeFill="background1" w:themeFillShade="F2"/>
            <w:tcMar>
              <w:top w:w="0" w:type="dxa"/>
              <w:left w:w="108" w:type="dxa"/>
              <w:bottom w:w="0" w:type="dxa"/>
              <w:right w:w="108" w:type="dxa"/>
            </w:tcMar>
          </w:tcPr>
          <w:p w14:paraId="0835DA69" w14:textId="77777777" w:rsidR="0095676E" w:rsidRPr="00E47487" w:rsidRDefault="0095676E" w:rsidP="00E47487">
            <w:pPr>
              <w:spacing w:after="0" w:line="240" w:lineRule="auto"/>
              <w:rPr>
                <w:rFonts w:ascii="Arial" w:eastAsia="DengXian" w:hAnsi="Arial" w:cs="Arial"/>
                <w:lang w:val="en-GB"/>
              </w:rPr>
            </w:pPr>
            <w:r w:rsidRPr="00E47487">
              <w:rPr>
                <w:rFonts w:ascii="Arial" w:eastAsia="DengXian" w:hAnsi="Arial" w:cs="Arial"/>
                <w:lang w:val="en-GB"/>
              </w:rPr>
              <w:t>Z105</w:t>
            </w:r>
          </w:p>
        </w:tc>
        <w:tc>
          <w:tcPr>
            <w:tcW w:w="1560" w:type="dxa"/>
            <w:shd w:val="clear" w:color="auto" w:fill="F2F2F2" w:themeFill="background1" w:themeFillShade="F2"/>
            <w:tcMar>
              <w:top w:w="0" w:type="dxa"/>
              <w:left w:w="108" w:type="dxa"/>
              <w:bottom w:w="0" w:type="dxa"/>
              <w:right w:w="108" w:type="dxa"/>
            </w:tcMar>
          </w:tcPr>
          <w:p w14:paraId="1508A8AB"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83B5648"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769B76F"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3E948D8" w14:textId="710DD393" w:rsidR="0095676E" w:rsidRPr="00B03407" w:rsidRDefault="00B64924" w:rsidP="00E47487">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43CD249" w14:textId="279C4A95" w:rsidTr="0095676E">
        <w:trPr>
          <w:trHeight w:val="300"/>
        </w:trPr>
        <w:tc>
          <w:tcPr>
            <w:tcW w:w="1520" w:type="dxa"/>
            <w:shd w:val="clear" w:color="auto" w:fill="F2F2F2" w:themeFill="background1" w:themeFillShade="F2"/>
            <w:tcMar>
              <w:top w:w="0" w:type="dxa"/>
              <w:left w:w="108" w:type="dxa"/>
              <w:bottom w:w="0" w:type="dxa"/>
              <w:right w:w="108" w:type="dxa"/>
            </w:tcMar>
          </w:tcPr>
          <w:p w14:paraId="1FD64F3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H572</w:t>
            </w:r>
          </w:p>
        </w:tc>
        <w:tc>
          <w:tcPr>
            <w:tcW w:w="1560" w:type="dxa"/>
            <w:shd w:val="clear" w:color="auto" w:fill="F2F2F2" w:themeFill="background1" w:themeFillShade="F2"/>
            <w:tcMar>
              <w:top w:w="0" w:type="dxa"/>
              <w:left w:w="108" w:type="dxa"/>
              <w:bottom w:w="0" w:type="dxa"/>
              <w:right w:w="108" w:type="dxa"/>
            </w:tcMar>
          </w:tcPr>
          <w:p w14:paraId="7BA8EA6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A358F4B"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3C6FF4C"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1E5EDE0" w14:textId="76F39DA8"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C36CE4D" w14:textId="5CE3899B" w:rsidTr="0095676E">
        <w:trPr>
          <w:trHeight w:val="300"/>
        </w:trPr>
        <w:tc>
          <w:tcPr>
            <w:tcW w:w="1520" w:type="dxa"/>
            <w:shd w:val="clear" w:color="auto" w:fill="F2F2F2" w:themeFill="background1" w:themeFillShade="F2"/>
            <w:tcMar>
              <w:top w:w="0" w:type="dxa"/>
              <w:left w:w="108" w:type="dxa"/>
              <w:bottom w:w="0" w:type="dxa"/>
              <w:right w:w="108" w:type="dxa"/>
            </w:tcMar>
          </w:tcPr>
          <w:p w14:paraId="3C5C25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lastRenderedPageBreak/>
              <w:t>E222</w:t>
            </w:r>
          </w:p>
        </w:tc>
        <w:tc>
          <w:tcPr>
            <w:tcW w:w="1560" w:type="dxa"/>
            <w:shd w:val="clear" w:color="auto" w:fill="F2F2F2" w:themeFill="background1" w:themeFillShade="F2"/>
            <w:tcMar>
              <w:top w:w="0" w:type="dxa"/>
              <w:left w:w="108" w:type="dxa"/>
              <w:bottom w:w="0" w:type="dxa"/>
              <w:right w:w="108" w:type="dxa"/>
            </w:tcMar>
          </w:tcPr>
          <w:p w14:paraId="362680D5"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7E293F85"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F76D0D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022FA58" w14:textId="7AF43C9A"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4BD452A8" w14:textId="78EABF2F" w:rsidTr="0095676E">
        <w:trPr>
          <w:trHeight w:val="300"/>
        </w:trPr>
        <w:tc>
          <w:tcPr>
            <w:tcW w:w="1520" w:type="dxa"/>
            <w:shd w:val="clear" w:color="auto" w:fill="F2F2F2" w:themeFill="background1" w:themeFillShade="F2"/>
            <w:tcMar>
              <w:top w:w="0" w:type="dxa"/>
              <w:left w:w="108" w:type="dxa"/>
              <w:bottom w:w="0" w:type="dxa"/>
              <w:right w:w="108" w:type="dxa"/>
            </w:tcMar>
          </w:tcPr>
          <w:p w14:paraId="3D954607"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H577</w:t>
            </w:r>
          </w:p>
        </w:tc>
        <w:tc>
          <w:tcPr>
            <w:tcW w:w="1560" w:type="dxa"/>
            <w:shd w:val="clear" w:color="auto" w:fill="F2F2F2" w:themeFill="background1" w:themeFillShade="F2"/>
            <w:tcMar>
              <w:top w:w="0" w:type="dxa"/>
              <w:left w:w="108" w:type="dxa"/>
              <w:bottom w:w="0" w:type="dxa"/>
              <w:right w:w="108" w:type="dxa"/>
            </w:tcMar>
          </w:tcPr>
          <w:p w14:paraId="22AC3D2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44B2ED5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F48EDB7"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60B55746" w14:textId="06C5D98F"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73240E1" w14:textId="27E1F32B" w:rsidTr="0095676E">
        <w:trPr>
          <w:trHeight w:val="300"/>
        </w:trPr>
        <w:tc>
          <w:tcPr>
            <w:tcW w:w="1520" w:type="dxa"/>
            <w:shd w:val="clear" w:color="auto" w:fill="F2F2F2" w:themeFill="background1" w:themeFillShade="F2"/>
            <w:tcMar>
              <w:top w:w="0" w:type="dxa"/>
              <w:left w:w="108" w:type="dxa"/>
              <w:bottom w:w="0" w:type="dxa"/>
              <w:right w:w="108" w:type="dxa"/>
            </w:tcMar>
          </w:tcPr>
          <w:p w14:paraId="2B73D45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E226</w:t>
            </w:r>
          </w:p>
        </w:tc>
        <w:tc>
          <w:tcPr>
            <w:tcW w:w="1560" w:type="dxa"/>
            <w:shd w:val="clear" w:color="auto" w:fill="F2F2F2" w:themeFill="background1" w:themeFillShade="F2"/>
            <w:tcMar>
              <w:top w:w="0" w:type="dxa"/>
              <w:left w:w="108" w:type="dxa"/>
              <w:bottom w:w="0" w:type="dxa"/>
              <w:right w:w="108" w:type="dxa"/>
            </w:tcMar>
          </w:tcPr>
          <w:p w14:paraId="15A506BD"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770035E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E21F14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23A9130" w14:textId="6F37EEEE"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73CFFD3E" w14:textId="3BE0ACBD" w:rsidTr="0095676E">
        <w:trPr>
          <w:trHeight w:val="300"/>
        </w:trPr>
        <w:tc>
          <w:tcPr>
            <w:tcW w:w="1520" w:type="dxa"/>
            <w:shd w:val="clear" w:color="auto" w:fill="F2F2F2" w:themeFill="background1" w:themeFillShade="F2"/>
            <w:tcMar>
              <w:top w:w="0" w:type="dxa"/>
              <w:left w:w="108" w:type="dxa"/>
              <w:bottom w:w="0" w:type="dxa"/>
              <w:right w:w="108" w:type="dxa"/>
            </w:tcMar>
          </w:tcPr>
          <w:p w14:paraId="3DEFDC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H580</w:t>
            </w:r>
          </w:p>
        </w:tc>
        <w:tc>
          <w:tcPr>
            <w:tcW w:w="1560" w:type="dxa"/>
            <w:shd w:val="clear" w:color="auto" w:fill="F2F2F2" w:themeFill="background1" w:themeFillShade="F2"/>
            <w:tcMar>
              <w:top w:w="0" w:type="dxa"/>
              <w:left w:w="108" w:type="dxa"/>
              <w:bottom w:w="0" w:type="dxa"/>
              <w:right w:w="108" w:type="dxa"/>
            </w:tcMar>
          </w:tcPr>
          <w:p w14:paraId="35F9F8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51CED39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697421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4FA162" w14:textId="4FD61234"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1EF575EF" w14:textId="4AEEF475" w:rsidTr="0095676E">
        <w:trPr>
          <w:trHeight w:val="300"/>
        </w:trPr>
        <w:tc>
          <w:tcPr>
            <w:tcW w:w="1520" w:type="dxa"/>
            <w:shd w:val="clear" w:color="auto" w:fill="F2F2F2" w:themeFill="background1" w:themeFillShade="F2"/>
            <w:tcMar>
              <w:top w:w="0" w:type="dxa"/>
              <w:left w:w="108" w:type="dxa"/>
              <w:bottom w:w="0" w:type="dxa"/>
              <w:right w:w="108" w:type="dxa"/>
            </w:tcMar>
          </w:tcPr>
          <w:p w14:paraId="0D3321E5"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H575</w:t>
            </w:r>
          </w:p>
        </w:tc>
        <w:tc>
          <w:tcPr>
            <w:tcW w:w="1560" w:type="dxa"/>
            <w:shd w:val="clear" w:color="auto" w:fill="F2F2F2" w:themeFill="background1" w:themeFillShade="F2"/>
            <w:tcMar>
              <w:top w:w="0" w:type="dxa"/>
              <w:left w:w="108" w:type="dxa"/>
              <w:bottom w:w="0" w:type="dxa"/>
              <w:right w:w="108" w:type="dxa"/>
            </w:tcMar>
          </w:tcPr>
          <w:p w14:paraId="7DA8171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348AE9C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03867D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4C250DC3" w14:textId="6285248A"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3757EA26" w14:textId="448DC2D6" w:rsidTr="0095676E">
        <w:trPr>
          <w:trHeight w:val="300"/>
        </w:trPr>
        <w:tc>
          <w:tcPr>
            <w:tcW w:w="1520" w:type="dxa"/>
            <w:shd w:val="clear" w:color="auto" w:fill="F2F2F2" w:themeFill="background1" w:themeFillShade="F2"/>
            <w:tcMar>
              <w:top w:w="0" w:type="dxa"/>
              <w:left w:w="108" w:type="dxa"/>
              <w:bottom w:w="0" w:type="dxa"/>
              <w:right w:w="108" w:type="dxa"/>
            </w:tcMar>
          </w:tcPr>
          <w:p w14:paraId="49BA13D6"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E224</w:t>
            </w:r>
          </w:p>
        </w:tc>
        <w:tc>
          <w:tcPr>
            <w:tcW w:w="1560" w:type="dxa"/>
            <w:shd w:val="clear" w:color="auto" w:fill="F2F2F2" w:themeFill="background1" w:themeFillShade="F2"/>
            <w:tcMar>
              <w:top w:w="0" w:type="dxa"/>
              <w:left w:w="108" w:type="dxa"/>
              <w:bottom w:w="0" w:type="dxa"/>
              <w:right w:w="108" w:type="dxa"/>
            </w:tcMar>
          </w:tcPr>
          <w:p w14:paraId="0297D38F"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159BCE1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53F4572"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D787326" w14:textId="28D79F32"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795AD3C7" w14:textId="60E61F64" w:rsidTr="0095676E">
        <w:trPr>
          <w:trHeight w:val="300"/>
        </w:trPr>
        <w:tc>
          <w:tcPr>
            <w:tcW w:w="1520" w:type="dxa"/>
            <w:shd w:val="clear" w:color="auto" w:fill="F2F2F2" w:themeFill="background1" w:themeFillShade="F2"/>
            <w:tcMar>
              <w:top w:w="0" w:type="dxa"/>
              <w:left w:w="108" w:type="dxa"/>
              <w:bottom w:w="0" w:type="dxa"/>
              <w:right w:w="108" w:type="dxa"/>
            </w:tcMar>
          </w:tcPr>
          <w:p w14:paraId="42BE9570"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H576</w:t>
            </w:r>
          </w:p>
        </w:tc>
        <w:tc>
          <w:tcPr>
            <w:tcW w:w="1560" w:type="dxa"/>
            <w:shd w:val="clear" w:color="auto" w:fill="F2F2F2" w:themeFill="background1" w:themeFillShade="F2"/>
            <w:tcMar>
              <w:top w:w="0" w:type="dxa"/>
              <w:left w:w="108" w:type="dxa"/>
              <w:bottom w:w="0" w:type="dxa"/>
              <w:right w:w="108" w:type="dxa"/>
            </w:tcMar>
          </w:tcPr>
          <w:p w14:paraId="2477B72A"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FBA990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48E7C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774F2E12" w14:textId="73030B91"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0FFE2818" w14:textId="33A75436" w:rsidTr="0095676E">
        <w:trPr>
          <w:trHeight w:val="300"/>
        </w:trPr>
        <w:tc>
          <w:tcPr>
            <w:tcW w:w="1520" w:type="dxa"/>
            <w:shd w:val="clear" w:color="auto" w:fill="F2F2F2" w:themeFill="background1" w:themeFillShade="F2"/>
            <w:tcMar>
              <w:top w:w="0" w:type="dxa"/>
              <w:left w:w="108" w:type="dxa"/>
              <w:bottom w:w="0" w:type="dxa"/>
              <w:right w:w="108" w:type="dxa"/>
            </w:tcMar>
          </w:tcPr>
          <w:p w14:paraId="2C7B7108"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E227</w:t>
            </w:r>
          </w:p>
        </w:tc>
        <w:tc>
          <w:tcPr>
            <w:tcW w:w="1560" w:type="dxa"/>
            <w:shd w:val="clear" w:color="auto" w:fill="F2F2F2" w:themeFill="background1" w:themeFillShade="F2"/>
            <w:tcMar>
              <w:top w:w="0" w:type="dxa"/>
              <w:left w:w="108" w:type="dxa"/>
              <w:bottom w:w="0" w:type="dxa"/>
              <w:right w:w="108" w:type="dxa"/>
            </w:tcMar>
          </w:tcPr>
          <w:p w14:paraId="16ABFD93"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F2BB6A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2B0C3FF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567635" w14:textId="56DFA1AD"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31F59990" w14:textId="510199E2" w:rsidTr="0095676E">
        <w:trPr>
          <w:trHeight w:val="300"/>
        </w:trPr>
        <w:tc>
          <w:tcPr>
            <w:tcW w:w="1520" w:type="dxa"/>
            <w:shd w:val="clear" w:color="auto" w:fill="F2F2F2" w:themeFill="background1" w:themeFillShade="F2"/>
            <w:tcMar>
              <w:top w:w="0" w:type="dxa"/>
              <w:left w:w="108" w:type="dxa"/>
              <w:bottom w:w="0" w:type="dxa"/>
              <w:right w:w="108" w:type="dxa"/>
            </w:tcMar>
          </w:tcPr>
          <w:p w14:paraId="2454D9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H571</w:t>
            </w:r>
          </w:p>
        </w:tc>
        <w:tc>
          <w:tcPr>
            <w:tcW w:w="1560" w:type="dxa"/>
            <w:shd w:val="clear" w:color="auto" w:fill="F2F2F2" w:themeFill="background1" w:themeFillShade="F2"/>
            <w:tcMar>
              <w:top w:w="0" w:type="dxa"/>
              <w:left w:w="108" w:type="dxa"/>
              <w:bottom w:w="0" w:type="dxa"/>
              <w:right w:w="108" w:type="dxa"/>
            </w:tcMar>
          </w:tcPr>
          <w:p w14:paraId="6637CA0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54D81D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97A3FF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457949A5" w14:textId="088DCBF6" w:rsidR="00B64924" w:rsidRPr="00E47487" w:rsidRDefault="00B64924" w:rsidP="00B64924">
            <w:pPr>
              <w:spacing w:after="0" w:line="240" w:lineRule="auto"/>
              <w:jc w:val="center"/>
              <w:rPr>
                <w:rFonts w:ascii="Arial" w:eastAsia="DengXian" w:hAnsi="Arial" w:cs="Arial"/>
                <w:color w:val="A6A6A6"/>
                <w:lang w:val="en-GB"/>
              </w:rPr>
            </w:pPr>
            <w:proofErr w:type="spellStart"/>
            <w:r w:rsidRPr="004D1DDA">
              <w:rPr>
                <w:rFonts w:ascii="Arial" w:eastAsia="DengXian" w:hAnsi="Arial" w:cs="Arial" w:hint="eastAsia"/>
                <w:color w:val="000000"/>
                <w:lang w:val="en-GB"/>
              </w:rPr>
              <w:t>Conc</w:t>
            </w:r>
            <w:proofErr w:type="spellEnd"/>
            <w:r w:rsidRPr="004D1DDA">
              <w:rPr>
                <w:rFonts w:ascii="Arial" w:eastAsia="DengXian" w:hAnsi="Arial" w:cs="Arial"/>
                <w:color w:val="000000"/>
              </w:rPr>
              <w:t>Reject</w:t>
            </w:r>
          </w:p>
        </w:tc>
      </w:tr>
      <w:tr w:rsidR="00B64924" w:rsidRPr="00E47487" w14:paraId="546E5538" w14:textId="590B10E9" w:rsidTr="0095676E">
        <w:trPr>
          <w:trHeight w:val="300"/>
        </w:trPr>
        <w:tc>
          <w:tcPr>
            <w:tcW w:w="1520" w:type="dxa"/>
            <w:shd w:val="clear" w:color="auto" w:fill="F2F2F2" w:themeFill="background1" w:themeFillShade="F2"/>
            <w:tcMar>
              <w:top w:w="0" w:type="dxa"/>
              <w:left w:w="108" w:type="dxa"/>
              <w:bottom w:w="0" w:type="dxa"/>
              <w:right w:w="108" w:type="dxa"/>
            </w:tcMar>
          </w:tcPr>
          <w:p w14:paraId="3610FC2F"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S207</w:t>
            </w:r>
          </w:p>
        </w:tc>
        <w:tc>
          <w:tcPr>
            <w:tcW w:w="1560" w:type="dxa"/>
            <w:shd w:val="clear" w:color="auto" w:fill="F2F2F2" w:themeFill="background1" w:themeFillShade="F2"/>
            <w:tcMar>
              <w:top w:w="0" w:type="dxa"/>
              <w:left w:w="108" w:type="dxa"/>
              <w:bottom w:w="0" w:type="dxa"/>
              <w:right w:w="108" w:type="dxa"/>
            </w:tcMar>
          </w:tcPr>
          <w:p w14:paraId="44A76CD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660859A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964A08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1894AFE9" w14:textId="42D64354" w:rsidR="00B64924" w:rsidRPr="00E47487" w:rsidRDefault="00B64924" w:rsidP="00B64924">
            <w:pPr>
              <w:spacing w:after="0" w:line="240" w:lineRule="auto"/>
              <w:jc w:val="center"/>
              <w:rPr>
                <w:rFonts w:ascii="Arial" w:eastAsia="DengXian" w:hAnsi="Arial" w:cs="Arial"/>
                <w:color w:val="A6A6A6"/>
                <w:lang w:val="en-GB"/>
              </w:rPr>
            </w:pPr>
            <w:proofErr w:type="spellStart"/>
            <w:r w:rsidRPr="004D1DDA">
              <w:rPr>
                <w:rFonts w:ascii="Arial" w:eastAsia="DengXian" w:hAnsi="Arial" w:cs="Arial" w:hint="eastAsia"/>
                <w:color w:val="000000"/>
                <w:lang w:val="en-GB"/>
              </w:rPr>
              <w:t>Conc</w:t>
            </w:r>
            <w:proofErr w:type="spellEnd"/>
            <w:r w:rsidRPr="004D1DDA">
              <w:rPr>
                <w:rFonts w:ascii="Arial" w:eastAsia="DengXian" w:hAnsi="Arial" w:cs="Arial"/>
                <w:color w:val="000000"/>
              </w:rPr>
              <w:t>Reject</w:t>
            </w:r>
          </w:p>
        </w:tc>
      </w:tr>
      <w:tr w:rsidR="00186AF1" w:rsidRPr="00E47487" w14:paraId="4855F6E6" w14:textId="77777777" w:rsidTr="0095676E">
        <w:trPr>
          <w:trHeight w:val="300"/>
        </w:trPr>
        <w:tc>
          <w:tcPr>
            <w:tcW w:w="1520" w:type="dxa"/>
            <w:shd w:val="clear" w:color="auto" w:fill="F2F2F2" w:themeFill="background1" w:themeFillShade="F2"/>
            <w:tcMar>
              <w:top w:w="0" w:type="dxa"/>
              <w:left w:w="108" w:type="dxa"/>
              <w:bottom w:w="0" w:type="dxa"/>
              <w:right w:w="108" w:type="dxa"/>
            </w:tcMar>
          </w:tcPr>
          <w:p w14:paraId="7703C90D" w14:textId="4CA22C26" w:rsidR="00186AF1" w:rsidRPr="00E47487" w:rsidRDefault="00186AF1" w:rsidP="00B64924">
            <w:pPr>
              <w:spacing w:after="0" w:line="240" w:lineRule="auto"/>
              <w:rPr>
                <w:rFonts w:ascii="Arial" w:eastAsia="DengXian" w:hAnsi="Arial" w:cs="Arial"/>
                <w:lang w:val="en-GB"/>
              </w:rPr>
            </w:pPr>
            <w:r>
              <w:rPr>
                <w:rFonts w:ascii="Arial" w:eastAsia="DengXian" w:hAnsi="Arial" w:cs="Arial"/>
                <w:lang w:val="en-GB"/>
              </w:rPr>
              <w:t>E902</w:t>
            </w:r>
          </w:p>
        </w:tc>
        <w:tc>
          <w:tcPr>
            <w:tcW w:w="1560" w:type="dxa"/>
            <w:shd w:val="clear" w:color="auto" w:fill="F2F2F2" w:themeFill="background1" w:themeFillShade="F2"/>
            <w:tcMar>
              <w:top w:w="0" w:type="dxa"/>
              <w:left w:w="108" w:type="dxa"/>
              <w:bottom w:w="0" w:type="dxa"/>
              <w:right w:w="108" w:type="dxa"/>
            </w:tcMar>
          </w:tcPr>
          <w:p w14:paraId="6744E929" w14:textId="23BECC6B" w:rsidR="00186AF1" w:rsidRPr="00E47487" w:rsidRDefault="00186AF1" w:rsidP="00B64924">
            <w:pPr>
              <w:spacing w:after="0" w:line="240" w:lineRule="auto"/>
              <w:jc w:val="center"/>
              <w:rPr>
                <w:rFonts w:ascii="Arial" w:eastAsia="DengXian" w:hAnsi="Arial" w:cs="Arial"/>
                <w:lang w:val="en-GB"/>
              </w:rPr>
            </w:pPr>
            <w:r>
              <w:rPr>
                <w:rFonts w:ascii="Arial" w:eastAsia="DengXian" w:hAnsi="Arial" w:cs="Arial"/>
                <w:lang w:val="en-GB"/>
              </w:rPr>
              <w:t>IIOT</w:t>
            </w:r>
            <w:r w:rsidR="00E511E3">
              <w:rPr>
                <w:rFonts w:ascii="Arial" w:eastAsia="DengXian" w:hAnsi="Arial" w:cs="Arial"/>
                <w:lang w:val="en-GB"/>
              </w:rPr>
              <w:t xml:space="preserve"> (LTE)</w:t>
            </w:r>
          </w:p>
        </w:tc>
        <w:tc>
          <w:tcPr>
            <w:tcW w:w="1900" w:type="dxa"/>
            <w:shd w:val="clear" w:color="auto" w:fill="F2F2F2" w:themeFill="background1" w:themeFillShade="F2"/>
            <w:tcMar>
              <w:top w:w="0" w:type="dxa"/>
              <w:left w:w="108" w:type="dxa"/>
              <w:bottom w:w="0" w:type="dxa"/>
              <w:right w:w="108" w:type="dxa"/>
            </w:tcMar>
          </w:tcPr>
          <w:p w14:paraId="59B1CA65" w14:textId="59FD3F51" w:rsidR="00186AF1" w:rsidRPr="00E47487" w:rsidRDefault="00186AF1" w:rsidP="00B64924">
            <w:pPr>
              <w:spacing w:after="0" w:line="240" w:lineRule="auto"/>
              <w:jc w:val="center"/>
              <w:rPr>
                <w:rFonts w:ascii="Arial" w:eastAsia="DengXian" w:hAnsi="Arial" w:cs="Arial"/>
                <w:lang w:val="en-GB"/>
              </w:rPr>
            </w:pPr>
            <w:r>
              <w:rPr>
                <w:rFonts w:ascii="Arial" w:eastAsia="DengXian" w:hAnsi="Arial" w:cs="Arial"/>
                <w:lang w:val="en-GB"/>
              </w:rPr>
              <w:t>2</w:t>
            </w:r>
          </w:p>
        </w:tc>
        <w:tc>
          <w:tcPr>
            <w:tcW w:w="2080" w:type="dxa"/>
            <w:shd w:val="clear" w:color="auto" w:fill="F2F2F2" w:themeFill="background1" w:themeFillShade="F2"/>
            <w:tcMar>
              <w:top w:w="0" w:type="dxa"/>
              <w:left w:w="108" w:type="dxa"/>
              <w:bottom w:w="0" w:type="dxa"/>
              <w:right w:w="108" w:type="dxa"/>
            </w:tcMar>
          </w:tcPr>
          <w:p w14:paraId="14AE723D" w14:textId="521EB7B5" w:rsidR="00186AF1" w:rsidRPr="00E47487" w:rsidRDefault="00B07629" w:rsidP="00B64924">
            <w:pPr>
              <w:spacing w:after="0" w:line="240" w:lineRule="auto"/>
              <w:jc w:val="center"/>
              <w:rPr>
                <w:rFonts w:ascii="Arial" w:eastAsia="DengXian" w:hAnsi="Arial" w:cs="Arial"/>
                <w:lang w:val="en-GB"/>
              </w:rPr>
            </w:pPr>
            <w:r>
              <w:rPr>
                <w:rFonts w:ascii="Arial" w:eastAsia="DengXian" w:hAnsi="Arial" w:cs="Arial"/>
                <w:lang w:val="en-GB"/>
              </w:rPr>
              <w:t>PropAgree2</w:t>
            </w:r>
          </w:p>
        </w:tc>
        <w:tc>
          <w:tcPr>
            <w:tcW w:w="2080" w:type="dxa"/>
            <w:shd w:val="clear" w:color="auto" w:fill="F2F2F2" w:themeFill="background1" w:themeFillShade="F2"/>
          </w:tcPr>
          <w:p w14:paraId="03615712" w14:textId="10099325" w:rsidR="00186AF1" w:rsidRPr="004D1DDA" w:rsidRDefault="00B07629" w:rsidP="00B64924">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bl>
    <w:p w14:paraId="65B5B837" w14:textId="77777777" w:rsidR="00E64810" w:rsidRPr="0015612F" w:rsidRDefault="00E64810" w:rsidP="00E64810">
      <w:pPr>
        <w:rPr>
          <w:highlight w:val="lightGray"/>
          <w:lang w:val="en-GB" w:eastAsia="en-GB"/>
        </w:rPr>
      </w:pPr>
    </w:p>
    <w:p w14:paraId="29C7F4CB" w14:textId="3A115C16" w:rsidR="00FB757E" w:rsidRPr="00FB757E" w:rsidRDefault="00D14A1D" w:rsidP="00FB757E">
      <w:pPr>
        <w:pStyle w:val="Heading2"/>
      </w:pPr>
      <w:r>
        <w:t xml:space="preserve">RRC </w:t>
      </w:r>
      <w:r w:rsidR="00704DA2">
        <w:t xml:space="preserve">open issues and </w:t>
      </w:r>
      <w:r>
        <w:t>corrections</w:t>
      </w:r>
      <w:r w:rsidR="00E40409">
        <w:t xml:space="preserve"> (6.7.2)</w:t>
      </w:r>
    </w:p>
    <w:p w14:paraId="7A52487F" w14:textId="77777777" w:rsidR="00D14A1D" w:rsidRPr="00B32691" w:rsidRDefault="00D14A1D" w:rsidP="00D14A1D">
      <w:pPr>
        <w:pStyle w:val="Agreement"/>
        <w:rPr>
          <w:highlight w:val="lightGray"/>
          <w:lang w:val="en-US"/>
        </w:rPr>
      </w:pPr>
      <w:r w:rsidRPr="00B32691">
        <w:rPr>
          <w:highlight w:val="lightGray"/>
          <w:lang w:val="en-US"/>
        </w:rPr>
        <w:t>RAN2 confirm that “up-to 32 CG configurations can be configured per Cell Group across all BWPs” is captured by the constant maxNrofConfiguredGrantConfigMAC-r16.</w:t>
      </w:r>
    </w:p>
    <w:p w14:paraId="41B4294C" w14:textId="77777777" w:rsidR="00D14A1D" w:rsidRPr="00B32691" w:rsidRDefault="00D14A1D" w:rsidP="00D14A1D">
      <w:pPr>
        <w:pStyle w:val="Agreement"/>
        <w:rPr>
          <w:highlight w:val="lightGray"/>
          <w:lang w:val="en-US"/>
        </w:rPr>
      </w:pPr>
      <w:r w:rsidRPr="00B32691">
        <w:rPr>
          <w:highlight w:val="lightGray"/>
          <w:lang w:val="en-US"/>
        </w:rPr>
        <w:t>“Support up to 32 SPS configurations per MAC entity” is not captured in 38.331.</w:t>
      </w:r>
    </w:p>
    <w:p w14:paraId="37A11782" w14:textId="77777777" w:rsidR="00D14A1D" w:rsidRPr="00B32691" w:rsidRDefault="00D14A1D" w:rsidP="00D14A1D">
      <w:pPr>
        <w:pStyle w:val="Agreement"/>
        <w:rPr>
          <w:highlight w:val="green"/>
          <w:lang w:val="en-US"/>
        </w:rPr>
      </w:pPr>
      <w:commentRangeStart w:id="11"/>
      <w:r w:rsidRPr="00B32691">
        <w:rPr>
          <w:highlight w:val="green"/>
          <w:lang w:val="en-US"/>
        </w:rPr>
        <w:t xml:space="preserve">In conditional presence </w:t>
      </w:r>
      <w:proofErr w:type="spellStart"/>
      <w:r w:rsidRPr="00B32691">
        <w:rPr>
          <w:highlight w:val="green"/>
          <w:lang w:val="en-US"/>
        </w:rPr>
        <w:t>MoreThanTwoRLC</w:t>
      </w:r>
      <w:proofErr w:type="spellEnd"/>
      <w:r w:rsidRPr="00B32691">
        <w:rPr>
          <w:highlight w:val="green"/>
          <w:lang w:val="en-US"/>
        </w:rPr>
        <w:t>, change to “Upon RRC reconfiguration when a PDCP entity is associated with more than two logical channels, this field is optionally present”.</w:t>
      </w:r>
      <w:commentRangeEnd w:id="11"/>
      <w:r w:rsidR="00FC5621">
        <w:rPr>
          <w:rStyle w:val="CommentReference"/>
          <w:rFonts w:ascii="Times New Roman" w:eastAsiaTheme="minorEastAsia" w:hAnsi="Times New Roman"/>
          <w:b w:val="0"/>
          <w:szCs w:val="20"/>
          <w:lang w:eastAsia="en-US"/>
        </w:rPr>
        <w:commentReference w:id="11"/>
      </w:r>
    </w:p>
    <w:p w14:paraId="3A0FBA55" w14:textId="77777777" w:rsidR="00D14A1D" w:rsidRPr="00B32691" w:rsidRDefault="00D14A1D" w:rsidP="00D14A1D">
      <w:pPr>
        <w:pStyle w:val="Agreement"/>
        <w:rPr>
          <w:highlight w:val="green"/>
          <w:lang w:val="en-US"/>
        </w:rPr>
      </w:pPr>
      <w:commentRangeStart w:id="12"/>
      <w:r w:rsidRPr="00B32691">
        <w:rPr>
          <w:highlight w:val="green"/>
          <w:lang w:val="en-US"/>
        </w:rPr>
        <w:t xml:space="preserve">RAN2 confirm moving </w:t>
      </w:r>
      <w:proofErr w:type="spellStart"/>
      <w:r w:rsidRPr="00B32691">
        <w:rPr>
          <w:highlight w:val="green"/>
          <w:lang w:val="en-US"/>
        </w:rPr>
        <w:t>sps</w:t>
      </w:r>
      <w:proofErr w:type="spellEnd"/>
      <w:r w:rsidRPr="00B32691">
        <w:rPr>
          <w:highlight w:val="green"/>
          <w:lang w:val="en-US"/>
        </w:rPr>
        <w:t>-PUCCH-AN-List from SPS-</w:t>
      </w:r>
      <w:proofErr w:type="spellStart"/>
      <w:r w:rsidRPr="00B32691">
        <w:rPr>
          <w:highlight w:val="green"/>
          <w:lang w:val="en-US"/>
        </w:rPr>
        <w:t>ConfigList</w:t>
      </w:r>
      <w:proofErr w:type="spellEnd"/>
      <w:r w:rsidRPr="00B32691">
        <w:rPr>
          <w:highlight w:val="green"/>
          <w:lang w:val="en-US"/>
        </w:rPr>
        <w:t xml:space="preserve"> to PUCCH-Config.  </w:t>
      </w:r>
      <w:commentRangeEnd w:id="12"/>
      <w:r w:rsidR="00FC5621">
        <w:rPr>
          <w:rStyle w:val="CommentReference"/>
          <w:rFonts w:ascii="Times New Roman" w:eastAsiaTheme="minorEastAsia" w:hAnsi="Times New Roman"/>
          <w:b w:val="0"/>
          <w:szCs w:val="20"/>
          <w:lang w:eastAsia="en-US"/>
        </w:rPr>
        <w:commentReference w:id="12"/>
      </w:r>
    </w:p>
    <w:p w14:paraId="086C1C22" w14:textId="77777777" w:rsidR="00D14A1D" w:rsidRPr="00B32691" w:rsidRDefault="00D14A1D" w:rsidP="00D14A1D">
      <w:pPr>
        <w:pStyle w:val="Agreement"/>
        <w:rPr>
          <w:highlight w:val="lightGray"/>
          <w:lang w:val="en-US"/>
        </w:rPr>
      </w:pPr>
      <w:r w:rsidRPr="00B32691">
        <w:rPr>
          <w:highlight w:val="lightGray"/>
          <w:lang w:val="en-US"/>
        </w:rPr>
        <w:t>Set the status of RIL issue H578 to “</w:t>
      </w:r>
      <w:proofErr w:type="spellStart"/>
      <w:r w:rsidRPr="00B32691">
        <w:rPr>
          <w:highlight w:val="lightGray"/>
          <w:lang w:val="en-US"/>
        </w:rPr>
        <w:t>ConcReject</w:t>
      </w:r>
      <w:proofErr w:type="spellEnd"/>
      <w:r w:rsidRPr="00B32691">
        <w:rPr>
          <w:highlight w:val="lightGray"/>
          <w:lang w:val="en-US"/>
        </w:rPr>
        <w:t>”</w:t>
      </w:r>
    </w:p>
    <w:p w14:paraId="0C74D530" w14:textId="4BC05E36" w:rsidR="00E64810" w:rsidRPr="008950D0" w:rsidRDefault="00D14A1D" w:rsidP="00E64810">
      <w:pPr>
        <w:pStyle w:val="Agreement"/>
        <w:rPr>
          <w:highlight w:val="green"/>
          <w:lang w:val="en-US"/>
        </w:rPr>
      </w:pPr>
      <w:commentRangeStart w:id="13"/>
      <w:r w:rsidRPr="00B32691">
        <w:rPr>
          <w:highlight w:val="green"/>
          <w:lang w:val="en-US"/>
        </w:rPr>
        <w:t>Change the wording “interest in reference time information” to “preference in being provisioned with reference time information”.</w:t>
      </w:r>
      <w:commentRangeEnd w:id="13"/>
      <w:r w:rsidR="00FC5621">
        <w:rPr>
          <w:rStyle w:val="CommentReference"/>
          <w:rFonts w:ascii="Times New Roman" w:eastAsiaTheme="minorEastAsia" w:hAnsi="Times New Roman"/>
          <w:b w:val="0"/>
          <w:szCs w:val="20"/>
          <w:lang w:eastAsia="en-US"/>
        </w:rPr>
        <w:commentReference w:id="13"/>
      </w:r>
    </w:p>
    <w:p w14:paraId="4C3B3C5A" w14:textId="1787392A" w:rsidR="008950D0" w:rsidRDefault="008950D0" w:rsidP="00E64810"/>
    <w:p w14:paraId="7987F7EF" w14:textId="2357FB04" w:rsidR="00B34395" w:rsidRPr="00B34395" w:rsidRDefault="008950D0" w:rsidP="00E64810">
      <w:pPr>
        <w:pStyle w:val="Agreement"/>
        <w:rPr>
          <w:highlight w:val="lightGray"/>
          <w:lang w:eastAsia="ko-KR"/>
        </w:rPr>
      </w:pPr>
      <w:r w:rsidRPr="008950D0">
        <w:rPr>
          <w:highlight w:val="lightGray"/>
          <w:lang w:eastAsia="ko-KR"/>
        </w:rPr>
        <w:t xml:space="preserve">[053] UE can always calculate/predict the reference timing based on DL timing information after receiving the </w:t>
      </w:r>
      <w:proofErr w:type="spellStart"/>
      <w:r w:rsidRPr="008950D0">
        <w:rPr>
          <w:highlight w:val="lightGray"/>
          <w:lang w:eastAsia="ko-KR"/>
        </w:rPr>
        <w:t>referenceTimeInfo</w:t>
      </w:r>
      <w:proofErr w:type="spellEnd"/>
      <w:r w:rsidRPr="008950D0">
        <w:rPr>
          <w:highlight w:val="lightGray"/>
          <w:lang w:eastAsia="ko-KR"/>
        </w:rPr>
        <w:t xml:space="preserve"> from gNB once. (No spec impact)</w:t>
      </w:r>
    </w:p>
    <w:p w14:paraId="1F37DF68" w14:textId="77777777" w:rsidR="00B34395" w:rsidRPr="00B34395" w:rsidRDefault="00B34395" w:rsidP="00B34395">
      <w:pPr>
        <w:pStyle w:val="Agreement"/>
        <w:rPr>
          <w:highlight w:val="lightGray"/>
          <w:lang w:eastAsia="ko-KR"/>
        </w:rPr>
      </w:pPr>
      <w:commentRangeStart w:id="14"/>
      <w:r w:rsidRPr="00B34395">
        <w:rPr>
          <w:highlight w:val="lightGray"/>
          <w:lang w:eastAsia="ko-KR"/>
        </w:rPr>
        <w:t xml:space="preserve">UE can calculate/predict the reference timing based on DL timing information after receiving the </w:t>
      </w:r>
      <w:proofErr w:type="spellStart"/>
      <w:r w:rsidRPr="00B34395">
        <w:rPr>
          <w:highlight w:val="lightGray"/>
          <w:lang w:eastAsia="ko-KR"/>
        </w:rPr>
        <w:t>referenceTimeInfo</w:t>
      </w:r>
      <w:proofErr w:type="spellEnd"/>
      <w:r w:rsidRPr="00B34395">
        <w:rPr>
          <w:highlight w:val="lightGray"/>
          <w:lang w:eastAsia="ko-KR"/>
        </w:rPr>
        <w:t xml:space="preserve"> from gNB once. (No spec impact)</w:t>
      </w:r>
    </w:p>
    <w:p w14:paraId="70EB9426" w14:textId="7312159B" w:rsidR="00B34395" w:rsidRPr="00B34395" w:rsidRDefault="00B34395" w:rsidP="00E64810">
      <w:pPr>
        <w:pStyle w:val="Agreement"/>
        <w:rPr>
          <w:highlight w:val="lightGray"/>
          <w:lang w:eastAsia="ko-KR"/>
        </w:rPr>
      </w:pPr>
      <w:r w:rsidRPr="00B34395">
        <w:rPr>
          <w:highlight w:val="lightGray"/>
          <w:lang w:eastAsia="ko-KR"/>
        </w:rPr>
        <w:t>Option A. Once UE send the interest request, UE rely on periodic gNB broadcast/unicast to refresh its reference time and should no longer resend the request to the network. (and nothing more)</w:t>
      </w:r>
      <w:commentRangeEnd w:id="14"/>
      <w:r w:rsidR="002548C1">
        <w:rPr>
          <w:rStyle w:val="CommentReference"/>
          <w:rFonts w:ascii="Times New Roman" w:eastAsiaTheme="minorEastAsia" w:hAnsi="Times New Roman"/>
          <w:b w:val="0"/>
          <w:szCs w:val="20"/>
          <w:lang w:eastAsia="en-US"/>
        </w:rPr>
        <w:commentReference w:id="14"/>
      </w:r>
    </w:p>
    <w:p w14:paraId="4D14A685" w14:textId="77777777" w:rsidR="00B34395" w:rsidRPr="002E3679" w:rsidRDefault="00B34395" w:rsidP="00E64810"/>
    <w:p w14:paraId="2E33A0B0" w14:textId="6B2C5C50" w:rsidR="00D14A1D" w:rsidRDefault="004D46EC" w:rsidP="00B32691">
      <w:pPr>
        <w:pStyle w:val="Heading2"/>
      </w:pPr>
      <w:r>
        <w:t xml:space="preserve">MAC </w:t>
      </w:r>
      <w:r w:rsidR="009122B8">
        <w:t xml:space="preserve">open issues and </w:t>
      </w:r>
      <w:r>
        <w:t>corrections</w:t>
      </w:r>
      <w:r w:rsidR="009E02BE">
        <w:t xml:space="preserve"> (6.7.3)</w:t>
      </w:r>
    </w:p>
    <w:p w14:paraId="501C7174" w14:textId="77777777" w:rsidR="004D46EC" w:rsidRPr="00B32691" w:rsidRDefault="004D46EC" w:rsidP="004D46EC">
      <w:pPr>
        <w:pStyle w:val="Agreement"/>
        <w:rPr>
          <w:highlight w:val="lightGray"/>
        </w:rPr>
      </w:pPr>
      <w:r w:rsidRPr="00B32691">
        <w:rPr>
          <w:highlight w:val="lightGray"/>
          <w:lang w:eastAsia="ko-KR"/>
        </w:rPr>
        <w:t>Remove the current condition “for each uplink grant which is not already a de-prioritized uplink grant”</w:t>
      </w:r>
    </w:p>
    <w:p w14:paraId="6E394B13" w14:textId="77777777" w:rsidR="004D46EC" w:rsidRPr="00B32691" w:rsidRDefault="004D46EC" w:rsidP="004D46EC">
      <w:pPr>
        <w:pStyle w:val="Agreement"/>
        <w:rPr>
          <w:highlight w:val="lightGray"/>
          <w:lang w:eastAsia="ko-KR"/>
        </w:rPr>
      </w:pPr>
      <w:r w:rsidRPr="00B32691">
        <w:rPr>
          <w:highlight w:val="lightGray"/>
          <w:lang w:eastAsia="ko-KR"/>
        </w:rPr>
        <w:t xml:space="preserve">RAN2 will not specify further on priority of SR triggered by MAC CE in Rel-16. The intention of current MAC text is that such SR has no priority and is handled as lowest priority. </w:t>
      </w:r>
    </w:p>
    <w:p w14:paraId="2702133C" w14:textId="77777777" w:rsidR="004D46EC" w:rsidRPr="00B32691" w:rsidRDefault="004D46EC" w:rsidP="004D46EC">
      <w:pPr>
        <w:pStyle w:val="Agreement"/>
        <w:rPr>
          <w:highlight w:val="lightGray"/>
          <w:lang w:eastAsia="ko-KR"/>
        </w:rPr>
      </w:pPr>
      <w:r w:rsidRPr="00B32691">
        <w:rPr>
          <w:highlight w:val="lightGray"/>
          <w:lang w:eastAsia="ko-KR"/>
        </w:rPr>
        <w:t>A NOTE for RAN2#109-e agreement on</w:t>
      </w:r>
      <w:r w:rsidRPr="00B32691">
        <w:rPr>
          <w:highlight w:val="lightGray"/>
        </w:rPr>
        <w:t xml:space="preserve"> </w:t>
      </w:r>
      <w:r w:rsidRPr="00B32691">
        <w:rPr>
          <w:highlight w:val="lightGray"/>
          <w:lang w:eastAsia="ko-KR"/>
        </w:rPr>
        <w:t>next CG selection for autonomous retransmission to be added. Current proposal is not agreeable, possibly a simplified version can be considered, TBD offline (if no agreement in the end we just skip the Note for now).</w:t>
      </w:r>
    </w:p>
    <w:p w14:paraId="15A8BE0A" w14:textId="77777777" w:rsidR="004D46EC" w:rsidRPr="00B32691" w:rsidRDefault="004D46EC" w:rsidP="004D46EC">
      <w:pPr>
        <w:pStyle w:val="Agreement"/>
        <w:rPr>
          <w:highlight w:val="lightGray"/>
        </w:rPr>
      </w:pPr>
      <w:r w:rsidRPr="00B32691">
        <w:rPr>
          <w:highlight w:val="lightGray"/>
          <w:lang w:eastAsia="ko-KR"/>
        </w:rPr>
        <w:t xml:space="preserve">(When MAC determines to generate a PDU) MAC entity shall not generate a PDU that cannot be transmitted due to collision with transmission (at least due to equal L1 priority). </w:t>
      </w:r>
    </w:p>
    <w:p w14:paraId="75ACE461" w14:textId="75D071C2" w:rsidR="004D46EC" w:rsidRPr="00B32691" w:rsidRDefault="004D46EC" w:rsidP="00D14A1D">
      <w:pPr>
        <w:rPr>
          <w:highlight w:val="lightGray"/>
        </w:rPr>
      </w:pPr>
    </w:p>
    <w:p w14:paraId="499A4708" w14:textId="77777777" w:rsidR="00D261B0" w:rsidRPr="00B32691" w:rsidRDefault="00D261B0" w:rsidP="00D261B0">
      <w:pPr>
        <w:pStyle w:val="Agreement"/>
        <w:rPr>
          <w:highlight w:val="lightGray"/>
        </w:rPr>
      </w:pPr>
      <w:r w:rsidRPr="00B32691">
        <w:rPr>
          <w:highlight w:val="lightGray"/>
        </w:rPr>
        <w:t>N is non negative (rapporteur to include this in MAC CR discussion whether and how to capture)</w:t>
      </w:r>
    </w:p>
    <w:p w14:paraId="3EA3E5C2" w14:textId="77777777" w:rsidR="00D261B0" w:rsidRPr="00B32691" w:rsidRDefault="00D261B0" w:rsidP="00D261B0">
      <w:pPr>
        <w:pStyle w:val="Agreement"/>
        <w:rPr>
          <w:highlight w:val="lightGray"/>
        </w:rPr>
      </w:pPr>
      <w:r w:rsidRPr="00B32691">
        <w:rPr>
          <w:highlight w:val="lightGray"/>
          <w:lang w:val="en-US" w:eastAsia="ko-KR"/>
        </w:rPr>
        <w:lastRenderedPageBreak/>
        <w:t>The extra CG periodicities of multiple of 2/7 symbols are not introduced in Rel-16</w:t>
      </w:r>
    </w:p>
    <w:p w14:paraId="6676C780" w14:textId="7C14715B" w:rsidR="00D261B0" w:rsidRPr="00D14A1D" w:rsidRDefault="00D261B0" w:rsidP="00D14A1D"/>
    <w:p w14:paraId="38BFC33D" w14:textId="1C9D5BFB" w:rsidR="00E64810" w:rsidRDefault="00FF1B81" w:rsidP="00E64810">
      <w:pPr>
        <w:pStyle w:val="Heading2"/>
      </w:pPr>
      <w:commentRangeStart w:id="15"/>
      <w:r>
        <w:t>PDCP open issues and corrections</w:t>
      </w:r>
      <w:commentRangeEnd w:id="15"/>
      <w:r w:rsidR="00FC5621">
        <w:rPr>
          <w:rStyle w:val="CommentReference"/>
          <w:rFonts w:ascii="Times New Roman" w:eastAsiaTheme="minorEastAsia" w:hAnsi="Times New Roman" w:cs="Times New Roman"/>
          <w:color w:val="auto"/>
          <w:szCs w:val="20"/>
          <w:lang w:val="en-GB" w:eastAsia="en-US"/>
        </w:rPr>
        <w:commentReference w:id="15"/>
      </w:r>
      <w:r w:rsidR="0092496D">
        <w:t xml:space="preserve"> (6.7.4)</w:t>
      </w:r>
    </w:p>
    <w:p w14:paraId="70831C5B" w14:textId="77777777" w:rsidR="00FF1B81" w:rsidRPr="003D03C0" w:rsidRDefault="00FF1B81" w:rsidP="00E773E1">
      <w:pPr>
        <w:pStyle w:val="Agreement"/>
        <w:rPr>
          <w:highlight w:val="green"/>
        </w:rPr>
      </w:pPr>
      <w:commentRangeStart w:id="16"/>
      <w:r w:rsidRPr="003D03C0">
        <w:rPr>
          <w:highlight w:val="green"/>
        </w:rPr>
        <w:t xml:space="preserve">The presence of </w:t>
      </w:r>
      <w:proofErr w:type="spellStart"/>
      <w:r w:rsidRPr="003D03C0">
        <w:rPr>
          <w:i/>
          <w:highlight w:val="green"/>
        </w:rPr>
        <w:t>pdcp</w:t>
      </w:r>
      <w:proofErr w:type="spellEnd"/>
      <w:r w:rsidRPr="003D03C0">
        <w:rPr>
          <w:i/>
          <w:highlight w:val="green"/>
        </w:rPr>
        <w:t>-Duplication</w:t>
      </w:r>
      <w:r w:rsidRPr="003D03C0">
        <w:rPr>
          <w:highlight w:val="green"/>
        </w:rPr>
        <w:t xml:space="preserve"> indicates the PDCP duplication configuration (i.e. </w:t>
      </w:r>
      <w:proofErr w:type="spellStart"/>
      <w:r w:rsidRPr="003D03C0">
        <w:rPr>
          <w:i/>
          <w:highlight w:val="green"/>
        </w:rPr>
        <w:t>pdcp</w:t>
      </w:r>
      <w:proofErr w:type="spellEnd"/>
      <w:r w:rsidRPr="003D03C0">
        <w:rPr>
          <w:i/>
          <w:highlight w:val="green"/>
        </w:rPr>
        <w:t>-Duplication</w:t>
      </w:r>
      <w:r w:rsidRPr="003D03C0">
        <w:rPr>
          <w:highlight w:val="green"/>
        </w:rPr>
        <w:t xml:space="preserve"> is always used to indicate the PDCP duplication configuration for both DRBs and SRBs). The 38.331 and 38.323 specifications need to be changed accordingly.</w:t>
      </w:r>
      <w:commentRangeEnd w:id="16"/>
      <w:r w:rsidR="003D03C0">
        <w:rPr>
          <w:rStyle w:val="CommentReference"/>
          <w:rFonts w:ascii="Times New Roman" w:eastAsiaTheme="minorEastAsia" w:hAnsi="Times New Roman"/>
          <w:b w:val="0"/>
          <w:szCs w:val="20"/>
          <w:lang w:eastAsia="en-US"/>
        </w:rPr>
        <w:commentReference w:id="16"/>
      </w:r>
    </w:p>
    <w:p w14:paraId="70E3BF99" w14:textId="77777777" w:rsidR="00FF1B81" w:rsidRPr="00B32691" w:rsidRDefault="00FF1B81" w:rsidP="00E773E1">
      <w:pPr>
        <w:pStyle w:val="Agreement"/>
        <w:rPr>
          <w:highlight w:val="lightGray"/>
        </w:rPr>
      </w:pPr>
      <w:r w:rsidRPr="00B32691">
        <w:rPr>
          <w:highlight w:val="lightGray"/>
        </w:rPr>
        <w:t xml:space="preserve">The UE just follows the received MAC CE, even if the </w:t>
      </w:r>
      <w:proofErr w:type="spellStart"/>
      <w:r w:rsidRPr="00B32691">
        <w:rPr>
          <w:highlight w:val="lightGray"/>
        </w:rPr>
        <w:t>RLCi</w:t>
      </w:r>
      <w:proofErr w:type="spellEnd"/>
      <w:r w:rsidRPr="00B32691">
        <w:rPr>
          <w:highlight w:val="lightGray"/>
        </w:rPr>
        <w:t xml:space="preserve"> field belongs to the other node. No specification change is required.</w:t>
      </w:r>
    </w:p>
    <w:p w14:paraId="6C3A4A30" w14:textId="77777777" w:rsidR="00FF1B81" w:rsidRPr="00B32691" w:rsidRDefault="00FF1B81" w:rsidP="00E773E1">
      <w:pPr>
        <w:pStyle w:val="Agreement"/>
        <w:rPr>
          <w:highlight w:val="green"/>
        </w:rPr>
      </w:pPr>
      <w:commentRangeStart w:id="17"/>
      <w:r w:rsidRPr="00B32691">
        <w:rPr>
          <w:rFonts w:hint="eastAsia"/>
          <w:highlight w:val="green"/>
        </w:rPr>
        <w:t xml:space="preserve">PDCP duplication with more than two RLC entities is supported </w:t>
      </w:r>
      <w:r w:rsidRPr="00B32691">
        <w:rPr>
          <w:highlight w:val="green"/>
        </w:rPr>
        <w:t>only by NR. It needs to be clarified in 37.340 and 38.331.</w:t>
      </w:r>
      <w:commentRangeEnd w:id="17"/>
      <w:r w:rsidR="00814DB6">
        <w:rPr>
          <w:rStyle w:val="CommentReference"/>
          <w:rFonts w:ascii="Times New Roman" w:eastAsiaTheme="minorEastAsia" w:hAnsi="Times New Roman"/>
          <w:b w:val="0"/>
          <w:szCs w:val="20"/>
          <w:lang w:eastAsia="en-US"/>
        </w:rPr>
        <w:commentReference w:id="17"/>
      </w:r>
    </w:p>
    <w:p w14:paraId="133D0C26" w14:textId="77777777" w:rsidR="00FF1B81" w:rsidRPr="00B32691" w:rsidRDefault="00FF1B81" w:rsidP="00E773E1">
      <w:pPr>
        <w:pStyle w:val="Agreement"/>
        <w:rPr>
          <w:highlight w:val="lightGray"/>
        </w:rPr>
      </w:pPr>
      <w:r w:rsidRPr="00B32691">
        <w:rPr>
          <w:highlight w:val="lightGray"/>
        </w:rPr>
        <w:t xml:space="preserve">Clarify DC+CA duplication in 38.300. 3+1 duplication scenario also needs to be considered. CA duplication may need clarification. Wording to be worked on. </w:t>
      </w:r>
    </w:p>
    <w:p w14:paraId="2807D942" w14:textId="77777777" w:rsidR="00FF1B81" w:rsidRPr="00B32691" w:rsidRDefault="00FF1B81" w:rsidP="00E773E1">
      <w:pPr>
        <w:pStyle w:val="Agreement"/>
        <w:rPr>
          <w:highlight w:val="green"/>
        </w:rPr>
      </w:pPr>
      <w:commentRangeStart w:id="18"/>
      <w:r w:rsidRPr="00B32691">
        <w:rPr>
          <w:highlight w:val="green"/>
        </w:rPr>
        <w:t xml:space="preserve">In the description of </w:t>
      </w:r>
      <w:r w:rsidRPr="00B32691">
        <w:rPr>
          <w:i/>
          <w:highlight w:val="green"/>
        </w:rPr>
        <w:t>duplicationState</w:t>
      </w:r>
      <w:r w:rsidRPr="00B32691">
        <w:rPr>
          <w:highlight w:val="green"/>
        </w:rPr>
        <w:t xml:space="preserve"> in 38.331, remove “initial” and use “at the time of receiving this IE”.</w:t>
      </w:r>
      <w:commentRangeEnd w:id="18"/>
      <w:r w:rsidR="00A97F7C">
        <w:rPr>
          <w:rStyle w:val="CommentReference"/>
          <w:rFonts w:ascii="Times New Roman" w:eastAsiaTheme="minorEastAsia" w:hAnsi="Times New Roman"/>
          <w:b w:val="0"/>
          <w:szCs w:val="20"/>
          <w:lang w:eastAsia="en-US"/>
        </w:rPr>
        <w:commentReference w:id="18"/>
      </w:r>
    </w:p>
    <w:p w14:paraId="0A1EED8C" w14:textId="50564412" w:rsidR="002B2CF7" w:rsidRDefault="002B2CF7" w:rsidP="00E64810"/>
    <w:p w14:paraId="39B7718E" w14:textId="77777777" w:rsidR="002B2CF7" w:rsidRPr="00B32691" w:rsidRDefault="002B2CF7" w:rsidP="00527E32">
      <w:pPr>
        <w:pStyle w:val="Agreement"/>
        <w:rPr>
          <w:highlight w:val="green"/>
        </w:rPr>
      </w:pPr>
      <w:commentRangeStart w:id="19"/>
      <w:r w:rsidRPr="00B32691">
        <w:rPr>
          <w:highlight w:val="green"/>
        </w:rPr>
        <w:t xml:space="preserve">Parameter </w:t>
      </w:r>
      <w:proofErr w:type="spellStart"/>
      <w:r w:rsidRPr="00B32691">
        <w:rPr>
          <w:i/>
          <w:iCs/>
          <w:highlight w:val="green"/>
        </w:rPr>
        <w:t>maxCID</w:t>
      </w:r>
      <w:proofErr w:type="spellEnd"/>
      <w:r w:rsidRPr="00B32691">
        <w:rPr>
          <w:i/>
          <w:iCs/>
          <w:highlight w:val="green"/>
        </w:rPr>
        <w:t>-EHC</w:t>
      </w:r>
      <w:r w:rsidRPr="00B32691">
        <w:rPr>
          <w:highlight w:val="green"/>
        </w:rPr>
        <w:t xml:space="preserve"> is introduced in TS 38.331 to indicate the maximum number of EHC contexts the UE can establish in uplink for a DRB</w:t>
      </w:r>
      <w:commentRangeEnd w:id="19"/>
      <w:r w:rsidR="006108DA">
        <w:rPr>
          <w:rStyle w:val="CommentReference"/>
          <w:rFonts w:ascii="Times New Roman" w:eastAsiaTheme="minorEastAsia" w:hAnsi="Times New Roman"/>
          <w:b w:val="0"/>
          <w:szCs w:val="20"/>
          <w:lang w:eastAsia="en-US"/>
        </w:rPr>
        <w:commentReference w:id="19"/>
      </w:r>
    </w:p>
    <w:p w14:paraId="4D8C2236" w14:textId="77777777" w:rsidR="002B2CF7" w:rsidRPr="00FC5621" w:rsidRDefault="002B2CF7" w:rsidP="00527E32">
      <w:pPr>
        <w:pStyle w:val="Agreement"/>
        <w:rPr>
          <w:highlight w:val="green"/>
        </w:rPr>
      </w:pPr>
      <w:commentRangeStart w:id="20"/>
      <w:r w:rsidRPr="00FC5621">
        <w:rPr>
          <w:highlight w:val="green"/>
        </w:rPr>
        <w:t xml:space="preserve">CID length cannot be reconfigured during the lifetime of the DRB. Field description of </w:t>
      </w:r>
      <w:proofErr w:type="spellStart"/>
      <w:r w:rsidRPr="00FC5621">
        <w:rPr>
          <w:i/>
          <w:iCs/>
          <w:highlight w:val="green"/>
        </w:rPr>
        <w:t>ehc</w:t>
      </w:r>
      <w:proofErr w:type="spellEnd"/>
      <w:r w:rsidRPr="00FC5621">
        <w:rPr>
          <w:i/>
          <w:iCs/>
          <w:highlight w:val="green"/>
        </w:rPr>
        <w:t>-CID-Length</w:t>
      </w:r>
      <w:r w:rsidRPr="00FC5621">
        <w:rPr>
          <w:highlight w:val="green"/>
        </w:rPr>
        <w:t xml:space="preserve"> is updated by adding a sentence “The value for this field cannot be changed after the initial configuration”</w:t>
      </w:r>
      <w:commentRangeEnd w:id="20"/>
      <w:r w:rsidR="005E2E84">
        <w:rPr>
          <w:rStyle w:val="CommentReference"/>
          <w:rFonts w:ascii="Times New Roman" w:eastAsiaTheme="minorEastAsia" w:hAnsi="Times New Roman"/>
          <w:b w:val="0"/>
          <w:szCs w:val="20"/>
          <w:lang w:eastAsia="en-US"/>
        </w:rPr>
        <w:commentReference w:id="20"/>
      </w:r>
    </w:p>
    <w:p w14:paraId="1409525A" w14:textId="77777777" w:rsidR="002B2CF7" w:rsidRPr="00FC5621" w:rsidRDefault="002B2CF7" w:rsidP="00527E32">
      <w:pPr>
        <w:pStyle w:val="Agreement"/>
        <w:rPr>
          <w:highlight w:val="lightGray"/>
        </w:rPr>
      </w:pPr>
      <w:r w:rsidRPr="00FC5621">
        <w:rPr>
          <w:highlight w:val="lightGray"/>
          <w:lang w:eastAsia="ko-KR"/>
        </w:rPr>
        <w:t xml:space="preserve">We don’t </w:t>
      </w:r>
      <w:r w:rsidRPr="00FC5621">
        <w:rPr>
          <w:highlight w:val="lightGray"/>
        </w:rPr>
        <w:t>capture an example of operation on the different Ethernet header structures as an informative text.</w:t>
      </w:r>
    </w:p>
    <w:p w14:paraId="44A90D47" w14:textId="77777777" w:rsidR="002B2CF7" w:rsidRPr="00FC5621" w:rsidRDefault="002B2CF7" w:rsidP="00527E32">
      <w:pPr>
        <w:pStyle w:val="Agreement"/>
        <w:rPr>
          <w:highlight w:val="lightGray"/>
        </w:rPr>
      </w:pPr>
      <w:r w:rsidRPr="00FC5621">
        <w:rPr>
          <w:highlight w:val="lightGray"/>
        </w:rPr>
        <w:t xml:space="preserve">Leave trigger in compressor for CID overwriting for implementation (right now the only mandatory trigger is when max CID has been reached). </w:t>
      </w:r>
    </w:p>
    <w:p w14:paraId="0766AB7E" w14:textId="3B3C5D28" w:rsidR="00E64810" w:rsidRDefault="00E64810" w:rsidP="00E64810">
      <w:pPr>
        <w:rPr>
          <w:lang w:val="en-US"/>
        </w:rPr>
      </w:pPr>
    </w:p>
    <w:p w14:paraId="61C97E74" w14:textId="77777777" w:rsidR="006108DA" w:rsidRPr="008737AB" w:rsidRDefault="006108DA" w:rsidP="008737AB">
      <w:pPr>
        <w:pStyle w:val="Agreement"/>
        <w:tabs>
          <w:tab w:val="clear" w:pos="360"/>
          <w:tab w:val="num" w:pos="1619"/>
        </w:tabs>
        <w:rPr>
          <w:highlight w:val="lightGray"/>
        </w:rPr>
      </w:pPr>
      <w:r w:rsidRPr="008737AB">
        <w:rPr>
          <w:highlight w:val="lightGray"/>
        </w:rPr>
        <w:t>[058][046] In TS 38.323 clause 5.12.4 and TS 36.323 clause 5.14.4, clarification is added that EHC compressed packets include EHC full header packets and EHC compressed header packets.</w:t>
      </w:r>
    </w:p>
    <w:p w14:paraId="0A050A73" w14:textId="77777777" w:rsidR="006108DA" w:rsidRPr="008737AB" w:rsidRDefault="006108DA" w:rsidP="008737AB">
      <w:pPr>
        <w:pStyle w:val="Agreement"/>
        <w:tabs>
          <w:tab w:val="clear" w:pos="360"/>
          <w:tab w:val="num" w:pos="1619"/>
        </w:tabs>
        <w:rPr>
          <w:highlight w:val="lightGray"/>
        </w:rPr>
      </w:pPr>
      <w:r w:rsidRPr="008737AB">
        <w:rPr>
          <w:highlight w:val="lightGray"/>
        </w:rPr>
        <w:t>[058][046] In TS 38.323 Annex A.1, for the description of EHC operation, change “compressed” to “removed”.</w:t>
      </w:r>
    </w:p>
    <w:p w14:paraId="7E6E9D3D" w14:textId="77777777" w:rsidR="006108DA" w:rsidRPr="008737AB" w:rsidRDefault="006108DA" w:rsidP="008737AB">
      <w:pPr>
        <w:pStyle w:val="Agreement"/>
        <w:tabs>
          <w:tab w:val="clear" w:pos="360"/>
          <w:tab w:val="num" w:pos="1619"/>
        </w:tabs>
        <w:rPr>
          <w:highlight w:val="lightGray"/>
        </w:rPr>
      </w:pPr>
      <w:r w:rsidRPr="008737AB">
        <w:rPr>
          <w:highlight w:val="lightGray"/>
        </w:rPr>
        <w:t>[058][046] There is no need to change field name “PAYLOAD (+PAD)” to “PAYLOAD” in Figure A.2.1.1-1 and A.2.1.1-2 of TS 38.323.</w:t>
      </w:r>
    </w:p>
    <w:p w14:paraId="74932797" w14:textId="77777777" w:rsidR="006108DA" w:rsidRPr="006108DA" w:rsidRDefault="006108DA" w:rsidP="006108DA">
      <w:pPr>
        <w:pStyle w:val="Agreement"/>
        <w:numPr>
          <w:ilvl w:val="0"/>
          <w:numId w:val="4"/>
        </w:numPr>
        <w:tabs>
          <w:tab w:val="clear" w:pos="360"/>
          <w:tab w:val="num" w:pos="1619"/>
        </w:tabs>
        <w:rPr>
          <w:highlight w:val="green"/>
          <w:lang w:eastAsia="ko-KR"/>
        </w:rPr>
      </w:pPr>
      <w:commentRangeStart w:id="21"/>
      <w:r w:rsidRPr="006108DA">
        <w:rPr>
          <w:highlight w:val="green"/>
          <w:lang w:eastAsia="ko-KR"/>
        </w:rPr>
        <w:t xml:space="preserve">[058][046] </w:t>
      </w:r>
      <w:r w:rsidRPr="006108DA">
        <w:rPr>
          <w:highlight w:val="green"/>
          <w:lang w:eastAsia="zh-CN"/>
        </w:rPr>
        <w:t>In TS 38.331</w:t>
      </w:r>
      <w:r w:rsidRPr="006108DA">
        <w:rPr>
          <w:highlight w:val="green"/>
          <w:lang w:val="en-US" w:eastAsia="zh-CN"/>
        </w:rPr>
        <w:t xml:space="preserve"> and TS 36.331</w:t>
      </w:r>
      <w:r w:rsidRPr="006108DA">
        <w:rPr>
          <w:highlight w:val="green"/>
          <w:lang w:eastAsia="zh-CN"/>
        </w:rPr>
        <w:t xml:space="preserve">, IE </w:t>
      </w:r>
      <w:proofErr w:type="spellStart"/>
      <w:r w:rsidRPr="006108DA">
        <w:rPr>
          <w:i/>
          <w:iCs/>
          <w:highlight w:val="green"/>
          <w:lang w:eastAsia="zh-CN"/>
        </w:rPr>
        <w:t>maxCID</w:t>
      </w:r>
      <w:proofErr w:type="spellEnd"/>
      <w:r w:rsidRPr="006108DA">
        <w:rPr>
          <w:i/>
          <w:iCs/>
          <w:highlight w:val="green"/>
          <w:lang w:eastAsia="zh-CN"/>
        </w:rPr>
        <w:t>-EHC-UL</w:t>
      </w:r>
      <w:r w:rsidRPr="006108DA">
        <w:rPr>
          <w:highlight w:val="green"/>
          <w:lang w:eastAsia="zh-CN"/>
        </w:rPr>
        <w:t xml:space="preserve"> is introduced, with </w:t>
      </w:r>
      <w:r w:rsidRPr="006108DA">
        <w:rPr>
          <w:highlight w:val="green"/>
          <w:lang w:eastAsia="ko-KR"/>
        </w:rPr>
        <w:t>the value range</w:t>
      </w:r>
      <w:r w:rsidRPr="006108DA">
        <w:rPr>
          <w:highlight w:val="green"/>
          <w:lang w:val="en-US" w:eastAsia="ko-KR"/>
        </w:rPr>
        <w:t>:</w:t>
      </w:r>
      <w:r w:rsidRPr="006108DA">
        <w:rPr>
          <w:highlight w:val="green"/>
          <w:lang w:eastAsia="ko-KR"/>
        </w:rPr>
        <w:t xml:space="preserve"> INTEGER (1..32767). The field description </w:t>
      </w:r>
      <w:r w:rsidRPr="006108DA">
        <w:rPr>
          <w:highlight w:val="green"/>
          <w:lang w:val="en-US" w:eastAsia="ko-KR"/>
        </w:rPr>
        <w:t>is</w:t>
      </w:r>
      <w:r w:rsidRPr="006108DA">
        <w:rPr>
          <w:highlight w:val="green"/>
          <w:lang w:eastAsia="ko-KR"/>
        </w:rPr>
        <w:t>: “</w:t>
      </w:r>
      <w:r w:rsidRPr="006108DA">
        <w:rPr>
          <w:highlight w:val="green"/>
        </w:rPr>
        <w:t>Indicates the value of the MAX_CID_EHC_UL parameter as specified in TS 38.323 [5].</w:t>
      </w:r>
      <w:r w:rsidRPr="006108DA">
        <w:rPr>
          <w:highlight w:val="green"/>
          <w:lang w:val="en-US"/>
        </w:rPr>
        <w:t xml:space="preserve"> </w:t>
      </w:r>
      <w:r w:rsidRPr="006108DA">
        <w:rPr>
          <w:highlight w:val="green"/>
        </w:rPr>
        <w:t xml:space="preserve">The total value of MAX_CID_EHC_ULs across all bearers for the UE should be less than or equal to the value of </w:t>
      </w:r>
      <w:proofErr w:type="spellStart"/>
      <w:r w:rsidRPr="006108DA">
        <w:rPr>
          <w:i/>
          <w:iCs/>
          <w:highlight w:val="green"/>
        </w:rPr>
        <w:t>maxNumberEHC</w:t>
      </w:r>
      <w:proofErr w:type="spellEnd"/>
      <w:r w:rsidRPr="006108DA">
        <w:rPr>
          <w:i/>
          <w:iCs/>
          <w:highlight w:val="green"/>
        </w:rPr>
        <w:t>-Contexts</w:t>
      </w:r>
      <w:r w:rsidRPr="006108DA">
        <w:rPr>
          <w:highlight w:val="green"/>
        </w:rPr>
        <w:t xml:space="preserve"> parameter as indicated by the UE.</w:t>
      </w:r>
      <w:r w:rsidRPr="006108DA">
        <w:rPr>
          <w:highlight w:val="green"/>
          <w:lang w:eastAsia="ko-KR"/>
        </w:rPr>
        <w:t xml:space="preserve">” </w:t>
      </w:r>
      <w:commentRangeEnd w:id="21"/>
      <w:r w:rsidR="008737AB">
        <w:rPr>
          <w:rStyle w:val="CommentReference"/>
          <w:rFonts w:ascii="Times New Roman" w:eastAsiaTheme="minorEastAsia" w:hAnsi="Times New Roman"/>
          <w:b w:val="0"/>
          <w:szCs w:val="20"/>
          <w:lang w:eastAsia="en-US"/>
        </w:rPr>
        <w:commentReference w:id="21"/>
      </w:r>
    </w:p>
    <w:p w14:paraId="42CF78F9" w14:textId="77777777" w:rsidR="00EE432D" w:rsidRDefault="00EE432D" w:rsidP="00E64810">
      <w:pPr>
        <w:rPr>
          <w:lang w:val="en-US"/>
        </w:rPr>
      </w:pPr>
    </w:p>
    <w:p w14:paraId="12F331FF" w14:textId="4A0794C5" w:rsidR="00447611" w:rsidRDefault="000E7586" w:rsidP="000B3E89">
      <w:pPr>
        <w:pStyle w:val="Heading2"/>
        <w:rPr>
          <w:lang w:val="en-US"/>
        </w:rPr>
      </w:pPr>
      <w:r>
        <w:rPr>
          <w:lang w:val="en-US"/>
        </w:rPr>
        <w:t xml:space="preserve">UE </w:t>
      </w:r>
      <w:r w:rsidR="00E64810">
        <w:rPr>
          <w:lang w:val="en-US"/>
        </w:rPr>
        <w:t>Capabilities</w:t>
      </w:r>
    </w:p>
    <w:p w14:paraId="58AE9D83" w14:textId="77777777" w:rsidR="000E7586" w:rsidRPr="00B32691" w:rsidRDefault="000E7586" w:rsidP="000E7586">
      <w:pPr>
        <w:pStyle w:val="Agreement"/>
        <w:rPr>
          <w:highlight w:val="lightGray"/>
        </w:rPr>
      </w:pPr>
      <w:r w:rsidRPr="00B32691">
        <w:rPr>
          <w:highlight w:val="lightGray"/>
        </w:rPr>
        <w:t xml:space="preserve">Introduce a capability for the UE to indicate whether it supports simultaneous configuration of EHC and </w:t>
      </w:r>
      <w:proofErr w:type="spellStart"/>
      <w:r w:rsidRPr="00B32691">
        <w:rPr>
          <w:highlight w:val="lightGray"/>
        </w:rPr>
        <w:t>RoHC</w:t>
      </w:r>
      <w:proofErr w:type="spellEnd"/>
      <w:r w:rsidRPr="00B32691">
        <w:rPr>
          <w:highlight w:val="lightGray"/>
        </w:rPr>
        <w:t xml:space="preserve"> for the same DRB.</w:t>
      </w:r>
    </w:p>
    <w:p w14:paraId="3DDD966A" w14:textId="77777777" w:rsidR="000E7586" w:rsidRPr="00B32691" w:rsidRDefault="000E7586" w:rsidP="000E7586">
      <w:pPr>
        <w:pStyle w:val="Agreement"/>
        <w:rPr>
          <w:highlight w:val="lightGray"/>
        </w:rPr>
      </w:pPr>
      <w:r w:rsidRPr="00B32691">
        <w:rPr>
          <w:highlight w:val="lightGray"/>
        </w:rPr>
        <w:t xml:space="preserve">If the UE indicates support for </w:t>
      </w:r>
      <w:proofErr w:type="spellStart"/>
      <w:r w:rsidRPr="00B32691">
        <w:rPr>
          <w:highlight w:val="lightGray"/>
        </w:rPr>
        <w:t>RoHC</w:t>
      </w:r>
      <w:proofErr w:type="spellEnd"/>
      <w:r w:rsidRPr="00B32691">
        <w:rPr>
          <w:highlight w:val="lightGray"/>
        </w:rPr>
        <w:t xml:space="preserve"> and EHC, but does not indicate support for a new capability as proposed in Proposal Ph1-1, EHC and </w:t>
      </w:r>
      <w:proofErr w:type="spellStart"/>
      <w:r w:rsidRPr="00B32691">
        <w:rPr>
          <w:highlight w:val="lightGray"/>
        </w:rPr>
        <w:t>RoHC</w:t>
      </w:r>
      <w:proofErr w:type="spellEnd"/>
      <w:r w:rsidRPr="00B32691">
        <w:rPr>
          <w:highlight w:val="lightGray"/>
        </w:rPr>
        <w:t xml:space="preserve"> may be simultaneously configured for different DRBs.</w:t>
      </w:r>
    </w:p>
    <w:p w14:paraId="423267F9" w14:textId="76C63AB8" w:rsidR="000E7586" w:rsidRDefault="000E7586" w:rsidP="001D52BE">
      <w:pPr>
        <w:rPr>
          <w:lang w:val="en-US"/>
        </w:rPr>
      </w:pPr>
    </w:p>
    <w:p w14:paraId="2DC78979" w14:textId="5EBEE489" w:rsidR="00F92184" w:rsidRDefault="00F92184" w:rsidP="00F92184">
      <w:pPr>
        <w:pStyle w:val="Heading2"/>
      </w:pPr>
      <w:r>
        <w:t>Class 2 RIL issues</w:t>
      </w:r>
    </w:p>
    <w:p w14:paraId="5C524DE2" w14:textId="04B47F36" w:rsidR="00F92184" w:rsidRDefault="00F92184" w:rsidP="00F92184">
      <w:r>
        <w:t>email discussion 068 -&gt; No impacts to IIoT WI</w:t>
      </w:r>
    </w:p>
    <w:p w14:paraId="1B80FAE9" w14:textId="34488578" w:rsidR="00F92184" w:rsidRDefault="00F92184" w:rsidP="00F92184">
      <w:r>
        <w:lastRenderedPageBreak/>
        <w:t>email discussion 067:</w:t>
      </w:r>
    </w:p>
    <w:p w14:paraId="5D3515CC" w14:textId="3FB71DAD" w:rsidR="00F92184" w:rsidRDefault="00F92184" w:rsidP="00060CEC">
      <w:pPr>
        <w:ind w:left="720"/>
        <w:rPr>
          <w:lang w:eastAsia="ja-JP"/>
        </w:rPr>
      </w:pPr>
      <w:commentRangeStart w:id="22"/>
      <w:r>
        <w:rPr>
          <w:b/>
          <w:bCs/>
        </w:rPr>
        <w:t xml:space="preserve">Conclusion I665: </w:t>
      </w:r>
      <w:r>
        <w:t>Add Condition (e.g. SPS-ListOnly:  “The field is mandatory present when included in sps-ConfigToAddModList, otherwise the field is absent”. Capture in WI IIOT CR.</w:t>
      </w:r>
      <w:commentRangeEnd w:id="22"/>
      <w:r w:rsidR="009C406A">
        <w:rPr>
          <w:rStyle w:val="CommentReference"/>
          <w:rFonts w:ascii="Times New Roman" w:hAnsi="Times New Roman" w:cs="Times New Roman"/>
          <w:szCs w:val="20"/>
          <w:lang w:val="en-GB" w:eastAsia="en-US"/>
        </w:rPr>
        <w:commentReference w:id="22"/>
      </w:r>
    </w:p>
    <w:p w14:paraId="6948FA33" w14:textId="7E0D25EE" w:rsidR="00F92184" w:rsidRDefault="006D0276" w:rsidP="00F92184">
      <w:r>
        <w:t>email discussion 066:</w:t>
      </w:r>
    </w:p>
    <w:p w14:paraId="2184C583" w14:textId="3AF5C582" w:rsidR="00D33DE9" w:rsidRDefault="00060CEC" w:rsidP="00D33DE9">
      <w:pPr>
        <w:ind w:firstLine="1304"/>
      </w:pPr>
      <w:commentRangeStart w:id="23"/>
      <w:r>
        <w:t xml:space="preserve">change need code from to ”need R” for fields in SPS-Config and ConfiguredGrantConfig. </w:t>
      </w:r>
      <w:commentRangeEnd w:id="23"/>
      <w:r w:rsidR="009C406A">
        <w:rPr>
          <w:rStyle w:val="CommentReference"/>
          <w:rFonts w:ascii="Times New Roman" w:hAnsi="Times New Roman" w:cs="Times New Roman"/>
          <w:szCs w:val="20"/>
          <w:lang w:val="en-GB" w:eastAsia="en-US"/>
        </w:rPr>
        <w:commentReference w:id="23"/>
      </w:r>
    </w:p>
    <w:p w14:paraId="6657376A" w14:textId="6CC2BE30" w:rsidR="00D33DE9" w:rsidRDefault="00D33DE9" w:rsidP="00D33DE9">
      <w:r>
        <w:t>email discussion 06</w:t>
      </w:r>
      <w:r w:rsidR="00F5762D">
        <w:t>5 -&gt; No impacts to IIoT WI</w:t>
      </w:r>
    </w:p>
    <w:p w14:paraId="16F8EADF" w14:textId="77777777" w:rsidR="00D33DE9" w:rsidRPr="00F92184" w:rsidRDefault="00D33DE9" w:rsidP="00D33DE9">
      <w:pPr>
        <w:ind w:firstLine="1304"/>
      </w:pPr>
    </w:p>
    <w:sectPr w:rsidR="00D33DE9" w:rsidRPr="00F9218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 xml:space="preserve">Add field description in </w:t>
      </w:r>
      <w:proofErr w:type="spellStart"/>
      <w:r>
        <w:t>BWPDownLinkDedicated</w:t>
      </w:r>
      <w:proofErr w:type="spellEnd"/>
      <w:r>
        <w:t xml:space="preserve"> and </w:t>
      </w:r>
      <w:proofErr w:type="spellStart"/>
      <w:r>
        <w:t>BWPUplinkDedicated</w:t>
      </w:r>
      <w:proofErr w:type="spellEnd"/>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MAC-</w:t>
      </w:r>
      <w:proofErr w:type="spellStart"/>
      <w:r w:rsidR="0070798A" w:rsidRPr="00F537EB">
        <w:rPr>
          <w:i/>
          <w:szCs w:val="22"/>
        </w:rPr>
        <w:t>CellGroupConfig</w:t>
      </w:r>
      <w:proofErr w:type="spellEnd"/>
      <w:r w:rsidR="0070798A" w:rsidRPr="00F537EB">
        <w:rPr>
          <w:i/>
          <w:szCs w:val="22"/>
        </w:rPr>
        <w:t xml:space="preserve">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proofErr w:type="spellStart"/>
      <w:r w:rsidRPr="000E4E7F">
        <w:t>ethernetHeaderCompression</w:t>
      </w:r>
      <w:proofErr w:type="spellEnd"/>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w:t>
      </w:r>
      <w:proofErr w:type="spellStart"/>
      <w:r w:rsidRPr="00967902">
        <w:rPr>
          <w:rFonts w:ascii="Arial" w:hAnsi="Arial" w:cs="Arial"/>
          <w:i/>
          <w:sz w:val="18"/>
          <w:szCs w:val="18"/>
          <w:lang w:eastAsia="zh-CN"/>
        </w:rPr>
        <w:t>uplinkDataCompression</w:t>
      </w:r>
      <w:proofErr w:type="spellEnd"/>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proofErr w:type="spellStart"/>
      <w:r w:rsidRPr="00661570">
        <w:rPr>
          <w:rFonts w:ascii="Arial" w:hAnsi="Arial" w:cs="Arial"/>
          <w:b/>
          <w:bCs/>
          <w:sz w:val="18"/>
          <w:szCs w:val="18"/>
          <w:lang w:eastAsia="zh-CN"/>
        </w:rPr>
        <w:t>uplinkDataCompression</w:t>
      </w:r>
      <w:proofErr w:type="spellEnd"/>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r w:rsidRPr="007623FB">
        <w:rPr>
          <w:i/>
          <w:iCs/>
        </w:rPr>
        <w:t>duplicationState</w:t>
      </w:r>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proofErr w:type="spellStart"/>
      <w:r w:rsidRPr="00F537EB">
        <w:rPr>
          <w:i/>
          <w:iCs/>
        </w:rPr>
        <w:t>splitSecondaryPath</w:t>
      </w:r>
      <w:proofErr w:type="spellEnd"/>
      <w:r w:rsidRPr="00F537EB">
        <w:rPr>
          <w:i/>
          <w:iCs/>
        </w:rPr>
        <w:t xml:space="preserve">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r w:rsidRPr="007623FB">
        <w:rPr>
          <w:i/>
          <w:iCs/>
        </w:rPr>
        <w:t>duplicationState</w:t>
      </w:r>
    </w:p>
  </w:comment>
  <w:comment w:id="9" w:author="Ericsson" w:date="2020-04-29T11:11:00Z" w:initials="ZZ">
    <w:p w14:paraId="0F31E31A" w14:textId="4FBAB26E" w:rsidR="007F20D9" w:rsidRDefault="007F20D9">
      <w:pPr>
        <w:pStyle w:val="CommentText"/>
      </w:pPr>
      <w:r>
        <w:rPr>
          <w:rStyle w:val="CommentReference"/>
        </w:rPr>
        <w:annotationRef/>
      </w:r>
      <w:r>
        <w:t>implemented as agreed</w:t>
      </w:r>
    </w:p>
  </w:comment>
  <w:comment w:id="10" w:author="Ericsson_RAN2#110e" w:date="2020-06-10T14:05:00Z" w:initials="ZZ">
    <w:p w14:paraId="328E9611" w14:textId="68F57F28" w:rsidR="00353B06" w:rsidRDefault="00353B06">
      <w:pPr>
        <w:pStyle w:val="CommentText"/>
      </w:pPr>
      <w:r>
        <w:rPr>
          <w:rStyle w:val="CommentReference"/>
        </w:rPr>
        <w:annotationRef/>
      </w:r>
      <w:r>
        <w:rPr>
          <w:rStyle w:val="CommentReference"/>
        </w:rPr>
        <w:t xml:space="preserve">If </w:t>
      </w:r>
      <w:proofErr w:type="spellStart"/>
      <w:r>
        <w:rPr>
          <w:rStyle w:val="CommentReference"/>
        </w:rPr>
        <w:t>ConcAgree</w:t>
      </w:r>
      <w:proofErr w:type="spellEnd"/>
      <w:r>
        <w:rPr>
          <w:rStyle w:val="CommentReference"/>
        </w:rPr>
        <w:t>, then it is implemented in the CR</w:t>
      </w:r>
    </w:p>
  </w:comment>
  <w:comment w:id="11" w:author="Ericsson_RAN2#110e" w:date="2020-06-05T15:17:00Z" w:initials="ZZ">
    <w:p w14:paraId="31F2638F" w14:textId="77777777" w:rsidR="00FC5621" w:rsidRDefault="00FC5621">
      <w:pPr>
        <w:pStyle w:val="CommentText"/>
      </w:pPr>
      <w:r>
        <w:t xml:space="preserve">RIL </w:t>
      </w:r>
      <w:r>
        <w:rPr>
          <w:rStyle w:val="CommentReference"/>
        </w:rPr>
        <w:annotationRef/>
      </w:r>
      <w:r>
        <w:t>O316</w:t>
      </w:r>
      <w:r w:rsidR="000C7296">
        <w:t xml:space="preserve">. </w:t>
      </w:r>
    </w:p>
    <w:p w14:paraId="52AD6CA1" w14:textId="3223BE65" w:rsidR="000C7296" w:rsidRDefault="000C7296">
      <w:pPr>
        <w:pStyle w:val="CommentText"/>
      </w:pPr>
      <w:r>
        <w:t xml:space="preserve">Change as proposed </w:t>
      </w:r>
    </w:p>
  </w:comment>
  <w:comment w:id="12" w:author="Ericsson_RAN2#110e" w:date="2020-06-05T15:18:00Z" w:initials="ZZ">
    <w:p w14:paraId="0C0A43F2" w14:textId="77777777" w:rsidR="00FC5621" w:rsidRDefault="00FC5621">
      <w:pPr>
        <w:pStyle w:val="CommentText"/>
      </w:pPr>
      <w:r>
        <w:rPr>
          <w:rStyle w:val="CommentReference"/>
        </w:rPr>
        <w:annotationRef/>
      </w:r>
      <w:r>
        <w:t>RIL E223</w:t>
      </w:r>
      <w:r w:rsidR="000C7296">
        <w:t xml:space="preserve"> </w:t>
      </w:r>
    </w:p>
    <w:p w14:paraId="119E055C" w14:textId="0873942B" w:rsidR="000C7296" w:rsidRDefault="000C7296">
      <w:pPr>
        <w:pStyle w:val="CommentText"/>
      </w:pPr>
      <w:r>
        <w:t>The editor’s note is removed and no other change</w:t>
      </w:r>
    </w:p>
  </w:comment>
  <w:comment w:id="13" w:author="Ericsson_RAN2#110e" w:date="2020-06-05T15:17:00Z" w:initials="ZZ">
    <w:p w14:paraId="2A72422C" w14:textId="77777777" w:rsidR="00FC5621" w:rsidRDefault="00FC5621">
      <w:pPr>
        <w:pStyle w:val="CommentText"/>
      </w:pPr>
      <w:r>
        <w:t xml:space="preserve">RIL </w:t>
      </w:r>
      <w:r>
        <w:rPr>
          <w:rStyle w:val="CommentReference"/>
        </w:rPr>
        <w:annotationRef/>
      </w:r>
      <w:r>
        <w:t>H570</w:t>
      </w:r>
    </w:p>
    <w:p w14:paraId="7C19E1D0" w14:textId="572BC325" w:rsidR="000C7296" w:rsidRDefault="000C7296">
      <w:pPr>
        <w:pStyle w:val="CommentText"/>
      </w:pPr>
      <w:r>
        <w:t>All wording with “interest” is replaced with “preference” and some further simplification</w:t>
      </w:r>
    </w:p>
  </w:comment>
  <w:comment w:id="14" w:author="Ericsson_RAN2#110e" w:date="2020-06-12T09:10:00Z" w:initials="ZZ">
    <w:p w14:paraId="25AC330A" w14:textId="77777777" w:rsidR="002548C1" w:rsidRDefault="002548C1">
      <w:pPr>
        <w:pStyle w:val="CommentText"/>
      </w:pPr>
      <w:r>
        <w:rPr>
          <w:rStyle w:val="CommentReference"/>
        </w:rPr>
        <w:annotationRef/>
      </w:r>
      <w:r>
        <w:t>This means that the editor’s note in E222 can be removed.</w:t>
      </w:r>
    </w:p>
    <w:p w14:paraId="62C393FA" w14:textId="77777777" w:rsidR="002548C1" w:rsidRDefault="002548C1">
      <w:pPr>
        <w:pStyle w:val="CommentText"/>
      </w:pPr>
    </w:p>
    <w:p w14:paraId="679F1C42" w14:textId="486195FB" w:rsidR="00AF7AFE" w:rsidRDefault="00AF7AFE">
      <w:pPr>
        <w:pStyle w:val="CommentText"/>
      </w:pPr>
    </w:p>
  </w:comment>
  <w:comment w:id="15" w:author="Ericsson_RAN2#110e" w:date="2020-06-05T15:17:00Z" w:initials="ZZ">
    <w:p w14:paraId="1FE01CAB" w14:textId="10D190D1" w:rsidR="00FC5621" w:rsidRDefault="00FC5621">
      <w:pPr>
        <w:pStyle w:val="CommentText"/>
      </w:pPr>
      <w:r>
        <w:rPr>
          <w:rStyle w:val="CommentReference"/>
        </w:rPr>
        <w:annotationRef/>
      </w:r>
      <w:r>
        <w:t>all in PDCP-config</w:t>
      </w:r>
    </w:p>
  </w:comment>
  <w:comment w:id="16" w:author="Ericsson_RAN2#110e" w:date="2020-06-05T15:18:00Z" w:initials="ZZ">
    <w:p w14:paraId="7B2B9C09" w14:textId="0FBFB762" w:rsidR="003D03C0" w:rsidRDefault="00814DB6">
      <w:pPr>
        <w:pStyle w:val="CommentText"/>
      </w:pPr>
      <w:r>
        <w:t xml:space="preserve">RIL </w:t>
      </w:r>
      <w:r w:rsidR="003D03C0">
        <w:rPr>
          <w:rStyle w:val="CommentReference"/>
        </w:rPr>
        <w:annotationRef/>
      </w:r>
      <w:r w:rsidR="003D03C0">
        <w:t>E225</w:t>
      </w:r>
      <w:r w:rsidR="00A97F7C">
        <w:t xml:space="preserve">. Follow the TP in the paper </w:t>
      </w:r>
      <w:r w:rsidR="00BE0E72">
        <w:t xml:space="preserve"> </w:t>
      </w:r>
    </w:p>
    <w:p w14:paraId="74D23CE2" w14:textId="77777777" w:rsidR="00BE0E72" w:rsidRDefault="00BE0E72">
      <w:pPr>
        <w:pStyle w:val="CommentText"/>
        <w:rPr>
          <w:sz w:val="32"/>
          <w:szCs w:val="32"/>
          <w:lang w:val="en-US"/>
        </w:rPr>
      </w:pPr>
      <w:r>
        <w:rPr>
          <w:sz w:val="32"/>
          <w:szCs w:val="32"/>
          <w:lang w:val="en-US"/>
        </w:rPr>
        <w:t>R2-2004958</w:t>
      </w:r>
    </w:p>
    <w:p w14:paraId="2308C8BE" w14:textId="00AC5E44" w:rsidR="00BE0E72" w:rsidRDefault="00BE0E72">
      <w:pPr>
        <w:pStyle w:val="CommentText"/>
        <w:rPr>
          <w:sz w:val="32"/>
          <w:szCs w:val="32"/>
          <w:lang w:val="en-US"/>
        </w:rPr>
      </w:pPr>
    </w:p>
    <w:p w14:paraId="6FA8FE0A" w14:textId="1CAFC214" w:rsidR="00BE0E72" w:rsidRDefault="00BE0E72">
      <w:pPr>
        <w:pStyle w:val="CommentText"/>
        <w:rPr>
          <w:sz w:val="32"/>
          <w:szCs w:val="32"/>
          <w:lang w:val="en-US"/>
        </w:rPr>
      </w:pPr>
      <w:r>
        <w:rPr>
          <w:sz w:val="32"/>
          <w:szCs w:val="32"/>
          <w:lang w:val="en-US"/>
        </w:rPr>
        <w:t xml:space="preserve">For the field for </w:t>
      </w:r>
      <w:proofErr w:type="spellStart"/>
      <w:r>
        <w:rPr>
          <w:sz w:val="32"/>
          <w:szCs w:val="32"/>
          <w:lang w:val="en-US"/>
        </w:rPr>
        <w:t>pdcp</w:t>
      </w:r>
      <w:proofErr w:type="spellEnd"/>
      <w:r>
        <w:rPr>
          <w:sz w:val="32"/>
          <w:szCs w:val="32"/>
          <w:lang w:val="en-US"/>
        </w:rPr>
        <w:t>-Duplication</w:t>
      </w:r>
      <w:r w:rsidR="006108DA">
        <w:rPr>
          <w:sz w:val="32"/>
          <w:szCs w:val="32"/>
          <w:lang w:val="en-US"/>
        </w:rPr>
        <w:t>, it is updated as follows:</w:t>
      </w:r>
    </w:p>
    <w:p w14:paraId="163815E3" w14:textId="77777777" w:rsidR="00BE0E72" w:rsidRDefault="00BE0E72">
      <w:pPr>
        <w:pStyle w:val="CommentText"/>
        <w:rPr>
          <w:sz w:val="32"/>
          <w:szCs w:val="32"/>
          <w:lang w:val="en-US"/>
        </w:rPr>
      </w:pPr>
    </w:p>
    <w:p w14:paraId="178C55F5" w14:textId="349D5B04" w:rsidR="00BE0E72" w:rsidRDefault="00BE0E72">
      <w:pPr>
        <w:pStyle w:val="CommentText"/>
        <w:rPr>
          <w:sz w:val="32"/>
          <w:szCs w:val="32"/>
          <w:lang w:val="en-US"/>
        </w:rPr>
      </w:pPr>
      <w:r>
        <w:rPr>
          <w:rFonts w:eastAsia="Malgun Gothic"/>
          <w:lang w:val="sv-SE" w:eastAsia="ko-KR"/>
        </w:rPr>
        <w:t>For PDCP entity with more than two associated RLC entities, this field is always present. I</w:t>
      </w:r>
      <w:proofErr w:type="spellStart"/>
      <w:r>
        <w:rPr>
          <w:rFonts w:eastAsia="Malgun Gothic"/>
          <w:lang w:eastAsia="ko-KR"/>
        </w:rPr>
        <w:t>f</w:t>
      </w:r>
      <w:proofErr w:type="spellEnd"/>
      <w:r>
        <w:rPr>
          <w:rFonts w:eastAsia="Malgun Gothic"/>
          <w:lang w:eastAsia="ko-KR"/>
        </w:rPr>
        <w:t xml:space="preserve"> the field </w:t>
      </w:r>
      <w:proofErr w:type="spellStart"/>
      <w:r>
        <w:rPr>
          <w:rFonts w:eastAsia="Malgun Gothic"/>
          <w:i/>
          <w:lang w:eastAsia="ko-KR"/>
        </w:rPr>
        <w:t>moreThanTwoRLC</w:t>
      </w:r>
      <w:proofErr w:type="spellEnd"/>
      <w:r>
        <w:rPr>
          <w:rFonts w:eastAsia="Malgun Gothic"/>
          <w:i/>
          <w:lang w:val="sv-SE" w:eastAsia="ko-KR"/>
        </w:rPr>
        <w:t>-DRB</w:t>
      </w:r>
      <w:r>
        <w:rPr>
          <w:rFonts w:eastAsia="Malgun Gothic"/>
          <w:i/>
          <w:lang w:eastAsia="ko-KR"/>
        </w:rPr>
        <w:t xml:space="preserve"> </w:t>
      </w:r>
      <w:r>
        <w:rPr>
          <w:rFonts w:eastAsia="Malgun Gothic"/>
          <w:lang w:eastAsia="ko-KR"/>
        </w:rPr>
        <w:t>is present</w:t>
      </w:r>
      <w:r>
        <w:rPr>
          <w:rFonts w:eastAsia="Malgun Gothic"/>
          <w:lang w:val="sv-SE" w:eastAsia="ko-KR"/>
        </w:rPr>
        <w:t xml:space="preserve">, the value of this field is ignored and the initial state of the duplication is indiciated by </w:t>
      </w:r>
      <w:r>
        <w:rPr>
          <w:rFonts w:eastAsia="Malgun Gothic"/>
          <w:i/>
          <w:iCs/>
          <w:lang w:val="sv-SE" w:eastAsia="ko-KR"/>
        </w:rPr>
        <w:t>duplicationState</w:t>
      </w:r>
      <w:r>
        <w:rPr>
          <w:rFonts w:eastAsia="Malgun Gothic"/>
          <w:lang w:eastAsia="ko-KR"/>
        </w:rPr>
        <w:t>.</w:t>
      </w:r>
    </w:p>
    <w:p w14:paraId="4B60A1B7" w14:textId="77777777" w:rsidR="00BE0E72" w:rsidRDefault="00BE0E72">
      <w:pPr>
        <w:pStyle w:val="CommentText"/>
        <w:rPr>
          <w:sz w:val="32"/>
          <w:szCs w:val="32"/>
          <w:lang w:val="en-US"/>
        </w:rPr>
      </w:pPr>
    </w:p>
    <w:p w14:paraId="1FF35353" w14:textId="2309D5ED" w:rsidR="00BE0E72" w:rsidRDefault="00BE0E72">
      <w:pPr>
        <w:pStyle w:val="CommentText"/>
      </w:pPr>
    </w:p>
  </w:comment>
  <w:comment w:id="17" w:author="Ericsson_RAN2#110e" w:date="2020-06-05T15:18:00Z" w:initials="ZZ">
    <w:p w14:paraId="504A50C2" w14:textId="77777777" w:rsidR="00814DB6" w:rsidRDefault="00814DB6">
      <w:pPr>
        <w:pStyle w:val="CommentText"/>
      </w:pPr>
      <w:r>
        <w:t xml:space="preserve">RIL </w:t>
      </w:r>
      <w:r>
        <w:rPr>
          <w:rStyle w:val="CommentReference"/>
        </w:rPr>
        <w:annotationRef/>
      </w:r>
      <w:r>
        <w:t>C601</w:t>
      </w:r>
      <w:r w:rsidR="000C7296">
        <w:t xml:space="preserve">. </w:t>
      </w:r>
    </w:p>
    <w:p w14:paraId="48B36D62" w14:textId="5EB211CF" w:rsidR="000C7296" w:rsidRDefault="000C7296">
      <w:pPr>
        <w:pStyle w:val="CommentText"/>
      </w:pPr>
    </w:p>
    <w:p w14:paraId="70620E95" w14:textId="2B8D91A0" w:rsidR="000C7296" w:rsidRDefault="000C7296">
      <w:pPr>
        <w:pStyle w:val="CommentText"/>
      </w:pPr>
      <w:r>
        <w:t xml:space="preserve">with the below field description in </w:t>
      </w:r>
    </w:p>
    <w:p w14:paraId="1319CCF3" w14:textId="78AB4CE6" w:rsidR="000C7296" w:rsidRPr="000C7296" w:rsidRDefault="000C7296">
      <w:pPr>
        <w:pStyle w:val="CommentText"/>
        <w:rPr>
          <w:b/>
          <w:bCs/>
        </w:rPr>
      </w:pPr>
      <w:r w:rsidRPr="000C7296">
        <w:rPr>
          <w:rFonts w:eastAsia="Malgun Gothic"/>
          <w:b/>
          <w:bCs/>
          <w:lang w:eastAsia="ko-KR"/>
        </w:rPr>
        <w:t xml:space="preserve">For PDCP entity with more than two associated RLC entities, only NR RLC bearer is supported. </w:t>
      </w:r>
    </w:p>
  </w:comment>
  <w:comment w:id="18" w:author="Ericsson_RAN2#110e" w:date="2020-06-11T17:34:00Z" w:initials="ZZ">
    <w:p w14:paraId="02B23C1B" w14:textId="298A6628" w:rsidR="00A97F7C" w:rsidRDefault="00A97F7C">
      <w:pPr>
        <w:pStyle w:val="CommentText"/>
      </w:pPr>
      <w:r>
        <w:rPr>
          <w:rStyle w:val="CommentReference"/>
        </w:rPr>
        <w:annotationRef/>
      </w:r>
      <w:r>
        <w:t>Implement as agreed.</w:t>
      </w:r>
    </w:p>
  </w:comment>
  <w:comment w:id="19" w:author="Ericsson_RAN2#110e" w:date="2020-06-11T17:37:00Z" w:initials="ZZ">
    <w:p w14:paraId="1DB5476B" w14:textId="14468E27" w:rsidR="006108DA" w:rsidRDefault="006108DA">
      <w:pPr>
        <w:pStyle w:val="CommentText"/>
      </w:pPr>
      <w:r>
        <w:rPr>
          <w:rStyle w:val="CommentReference"/>
        </w:rPr>
        <w:annotationRef/>
      </w:r>
      <w:r w:rsidR="00644887">
        <w:rPr>
          <w:rStyle w:val="CommentReference"/>
        </w:rPr>
        <w:t xml:space="preserve">Implemented by the more detailed wording </w:t>
      </w:r>
      <w:r w:rsidR="00E7383A">
        <w:rPr>
          <w:rStyle w:val="CommentReference"/>
        </w:rPr>
        <w:t xml:space="preserve">agreement </w:t>
      </w:r>
      <w:r w:rsidR="00644887">
        <w:rPr>
          <w:rStyle w:val="CommentReference"/>
        </w:rPr>
        <w:t>in the below</w:t>
      </w:r>
    </w:p>
  </w:comment>
  <w:comment w:id="20" w:author="Ericsson_RAN2#110e" w:date="2020-06-11T17:39:00Z" w:initials="ZZ">
    <w:p w14:paraId="77262D55" w14:textId="6F6B2999" w:rsidR="005E2E84" w:rsidRDefault="005E2E84">
      <w:pPr>
        <w:pStyle w:val="CommentText"/>
      </w:pPr>
      <w:r>
        <w:rPr>
          <w:rStyle w:val="CommentReference"/>
        </w:rPr>
        <w:annotationRef/>
      </w:r>
      <w:r>
        <w:t xml:space="preserve">This is implemented but the wording </w:t>
      </w:r>
      <w:r w:rsidR="0034236F">
        <w:t xml:space="preserve">(in </w:t>
      </w:r>
      <w:proofErr w:type="spellStart"/>
      <w:r w:rsidR="0034236F">
        <w:t>ehc</w:t>
      </w:r>
      <w:proofErr w:type="spellEnd"/>
      <w:r w:rsidR="0034236F">
        <w:t>-CID-Len</w:t>
      </w:r>
      <w:r w:rsidR="00AB3D39">
        <w:t>g</w:t>
      </w:r>
      <w:r w:rsidR="0034236F">
        <w:t xml:space="preserve">th) </w:t>
      </w:r>
      <w:r>
        <w:t>is changed to</w:t>
      </w:r>
      <w:r w:rsidR="0034236F">
        <w:t xml:space="preserve"> </w:t>
      </w:r>
    </w:p>
    <w:p w14:paraId="122BD217" w14:textId="77777777" w:rsidR="0034236F" w:rsidRDefault="0034236F">
      <w:pPr>
        <w:pStyle w:val="CommentText"/>
      </w:pPr>
    </w:p>
    <w:p w14:paraId="42393963" w14:textId="71C0F584" w:rsidR="0034236F" w:rsidRPr="00CF5704" w:rsidRDefault="0034236F">
      <w:pPr>
        <w:pStyle w:val="CommentText"/>
        <w:rPr>
          <w:bCs/>
          <w:iCs/>
          <w:lang w:eastAsia="en-GB"/>
        </w:rPr>
      </w:pPr>
      <w:r>
        <w:rPr>
          <w:bCs/>
          <w:iCs/>
          <w:lang w:eastAsia="en-GB"/>
        </w:rPr>
        <w:t xml:space="preserve">Once the field </w:t>
      </w:r>
      <w:r>
        <w:rPr>
          <w:i/>
          <w:iCs/>
        </w:rPr>
        <w:t xml:space="preserve">ethernetHeaderCompression-r16 </w:t>
      </w:r>
      <w:r>
        <w:t>is configured</w:t>
      </w:r>
      <w:r>
        <w:rPr>
          <w:bCs/>
          <w:iCs/>
          <w:lang w:eastAsia="en-GB"/>
        </w:rPr>
        <w:t xml:space="preserve"> for a DRB, the value of the field </w:t>
      </w:r>
      <w:proofErr w:type="spellStart"/>
      <w:r>
        <w:rPr>
          <w:bCs/>
          <w:i/>
          <w:lang w:eastAsia="en-GB"/>
        </w:rPr>
        <w:t>ehc</w:t>
      </w:r>
      <w:proofErr w:type="spellEnd"/>
      <w:r>
        <w:rPr>
          <w:bCs/>
          <w:i/>
          <w:lang w:eastAsia="en-GB"/>
        </w:rPr>
        <w:t xml:space="preserve">-CID-Length </w:t>
      </w:r>
      <w:r>
        <w:rPr>
          <w:bCs/>
          <w:iCs/>
          <w:lang w:eastAsia="en-GB"/>
        </w:rPr>
        <w:t>for this DRB is not reconfigured to a different value.</w:t>
      </w:r>
    </w:p>
  </w:comment>
  <w:comment w:id="21" w:author="Ericsson_RAN2#110e" w:date="2020-06-11T17:38:00Z" w:initials="ZZ">
    <w:p w14:paraId="198DDE8F" w14:textId="63775C00" w:rsidR="008737AB" w:rsidRDefault="008737AB">
      <w:pPr>
        <w:pStyle w:val="CommentText"/>
      </w:pPr>
      <w:r>
        <w:rPr>
          <w:rStyle w:val="CommentReference"/>
        </w:rPr>
        <w:annotationRef/>
      </w:r>
      <w:r>
        <w:t xml:space="preserve">implemented as </w:t>
      </w:r>
      <w:r w:rsidR="00CF5704">
        <w:t>indicated</w:t>
      </w:r>
    </w:p>
  </w:comment>
  <w:comment w:id="22" w:author="Ericsson_RAN2#110e" w:date="2020-06-12T09:41:00Z" w:initials="ZZ">
    <w:p w14:paraId="0A491FBD" w14:textId="3FF2F7D8" w:rsidR="009C406A" w:rsidRDefault="009C406A">
      <w:pPr>
        <w:pStyle w:val="CommentText"/>
      </w:pPr>
      <w:r>
        <w:rPr>
          <w:rStyle w:val="CommentReference"/>
        </w:rPr>
        <w:annotationRef/>
      </w:r>
      <w:r>
        <w:t>captured as indicated. The same rationale for change applies for CG index and a conditional presence is added for two CG index.</w:t>
      </w:r>
    </w:p>
  </w:comment>
  <w:comment w:id="23" w:author="Ericsson_RAN2#110e" w:date="2020-06-12T09:41:00Z" w:initials="ZZ">
    <w:p w14:paraId="2B17159E" w14:textId="6AF1E144" w:rsidR="009C406A" w:rsidRDefault="009C406A">
      <w:pPr>
        <w:pStyle w:val="CommentText"/>
      </w:pPr>
      <w:r>
        <w:rPr>
          <w:rStyle w:val="CommentReference"/>
        </w:rPr>
        <w:annotationRef/>
      </w:r>
      <w:r>
        <w:t xml:space="preserve">captured as indicated excepted the one for </w:t>
      </w:r>
      <w:proofErr w:type="spellStart"/>
      <w:r>
        <w:t>ConfiguredGrantIndexm</w:t>
      </w:r>
      <w:proofErr w:type="spellEnd"/>
      <w:r>
        <w:t>, explained as above</w:t>
      </w:r>
      <w:bookmarkStart w:id="24" w:name="_GoBack"/>
      <w:bookmarkEnd w:id="2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0F31E31A" w15:done="0"/>
  <w15:commentEx w15:paraId="328E9611" w15:done="0"/>
  <w15:commentEx w15:paraId="52AD6CA1" w15:done="0"/>
  <w15:commentEx w15:paraId="119E055C" w15:done="0"/>
  <w15:commentEx w15:paraId="7C19E1D0" w15:done="0"/>
  <w15:commentEx w15:paraId="679F1C42" w15:done="0"/>
  <w15:commentEx w15:paraId="1FE01CAB" w15:done="0"/>
  <w15:commentEx w15:paraId="1FF35353" w15:done="0"/>
  <w15:commentEx w15:paraId="1319CCF3" w15:done="0"/>
  <w15:commentEx w15:paraId="02B23C1B" w15:done="0"/>
  <w15:commentEx w15:paraId="1DB5476B" w15:done="0"/>
  <w15:commentEx w15:paraId="42393963" w15:done="0"/>
  <w15:commentEx w15:paraId="198DDE8F" w15:done="0"/>
  <w15:commentEx w15:paraId="0A491FBD" w15:done="0"/>
  <w15:commentEx w15:paraId="2B1715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0F31E31A" w16cid:durableId="2253DF7F"/>
  <w16cid:commentId w16cid:paraId="328E9611" w16cid:durableId="228B6738"/>
  <w16cid:commentId w16cid:paraId="52AD6CA1" w16cid:durableId="2284E088"/>
  <w16cid:commentId w16cid:paraId="119E055C" w16cid:durableId="2284E0AC"/>
  <w16cid:commentId w16cid:paraId="7C19E1D0" w16cid:durableId="2284E09E"/>
  <w16cid:commentId w16cid:paraId="679F1C42" w16cid:durableId="228DC4F7"/>
  <w16cid:commentId w16cid:paraId="1FE01CAB" w16cid:durableId="2284E07F"/>
  <w16cid:commentId w16cid:paraId="1FF35353" w16cid:durableId="2284E0CB"/>
  <w16cid:commentId w16cid:paraId="1319CCF3" w16cid:durableId="2284E0DD"/>
  <w16cid:commentId w16cid:paraId="02B23C1B" w16cid:durableId="228CE9AD"/>
  <w16cid:commentId w16cid:paraId="1DB5476B" w16cid:durableId="228CEA3E"/>
  <w16cid:commentId w16cid:paraId="42393963" w16cid:durableId="228CEAC3"/>
  <w16cid:commentId w16cid:paraId="198DDE8F" w16cid:durableId="228CEA82"/>
  <w16cid:commentId w16cid:paraId="0A491FBD" w16cid:durableId="228DCC3E"/>
  <w16cid:commentId w16cid:paraId="2B17159E" w16cid:durableId="228DC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F9A6" w14:textId="77777777" w:rsidR="006C4D40" w:rsidRDefault="006C4D40" w:rsidP="003D0B0F">
      <w:pPr>
        <w:spacing w:after="0" w:line="240" w:lineRule="auto"/>
      </w:pPr>
      <w:r>
        <w:separator/>
      </w:r>
    </w:p>
  </w:endnote>
  <w:endnote w:type="continuationSeparator" w:id="0">
    <w:p w14:paraId="75F909A1" w14:textId="77777777" w:rsidR="006C4D40" w:rsidRDefault="006C4D40"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D917" w14:textId="77777777" w:rsidR="006C4D40" w:rsidRDefault="006C4D40" w:rsidP="003D0B0F">
      <w:pPr>
        <w:spacing w:after="0" w:line="240" w:lineRule="auto"/>
      </w:pPr>
      <w:r>
        <w:separator/>
      </w:r>
    </w:p>
  </w:footnote>
  <w:footnote w:type="continuationSeparator" w:id="0">
    <w:p w14:paraId="01E51C1A" w14:textId="77777777" w:rsidR="006C4D40" w:rsidRDefault="006C4D40"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146DC0"/>
    <w:multiLevelType w:val="hybridMultilevel"/>
    <w:tmpl w:val="F8DA5284"/>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_RAN2#110e">
    <w15:presenceInfo w15:providerId="None" w15:userId="Ericsson_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223F1"/>
    <w:rsid w:val="000271D7"/>
    <w:rsid w:val="0002777E"/>
    <w:rsid w:val="000524C7"/>
    <w:rsid w:val="00060CEC"/>
    <w:rsid w:val="00082840"/>
    <w:rsid w:val="0009548A"/>
    <w:rsid w:val="000B2086"/>
    <w:rsid w:val="000B3E89"/>
    <w:rsid w:val="000C1C0B"/>
    <w:rsid w:val="000C7296"/>
    <w:rsid w:val="000E7586"/>
    <w:rsid w:val="00104DF4"/>
    <w:rsid w:val="001218C3"/>
    <w:rsid w:val="00124F02"/>
    <w:rsid w:val="00133F56"/>
    <w:rsid w:val="0015612F"/>
    <w:rsid w:val="00186AF1"/>
    <w:rsid w:val="001B65A9"/>
    <w:rsid w:val="001B7ACB"/>
    <w:rsid w:val="001C0295"/>
    <w:rsid w:val="001D52BE"/>
    <w:rsid w:val="001F7D91"/>
    <w:rsid w:val="002074BF"/>
    <w:rsid w:val="0021081D"/>
    <w:rsid w:val="002548C1"/>
    <w:rsid w:val="00263EBD"/>
    <w:rsid w:val="00270221"/>
    <w:rsid w:val="002817DC"/>
    <w:rsid w:val="00281CCF"/>
    <w:rsid w:val="00297578"/>
    <w:rsid w:val="002B2CF7"/>
    <w:rsid w:val="002E3679"/>
    <w:rsid w:val="00301AA3"/>
    <w:rsid w:val="00304D84"/>
    <w:rsid w:val="00314719"/>
    <w:rsid w:val="0034236F"/>
    <w:rsid w:val="00353B06"/>
    <w:rsid w:val="0038078E"/>
    <w:rsid w:val="00383FAC"/>
    <w:rsid w:val="003A0060"/>
    <w:rsid w:val="003B454C"/>
    <w:rsid w:val="003D03C0"/>
    <w:rsid w:val="003D0B0F"/>
    <w:rsid w:val="003E3CB9"/>
    <w:rsid w:val="003E4484"/>
    <w:rsid w:val="003E7C32"/>
    <w:rsid w:val="003F0105"/>
    <w:rsid w:val="003F67B4"/>
    <w:rsid w:val="0040019F"/>
    <w:rsid w:val="00422796"/>
    <w:rsid w:val="00447611"/>
    <w:rsid w:val="00453556"/>
    <w:rsid w:val="004627A9"/>
    <w:rsid w:val="00470BE7"/>
    <w:rsid w:val="00483B57"/>
    <w:rsid w:val="00483FC1"/>
    <w:rsid w:val="004B11FB"/>
    <w:rsid w:val="004B3B67"/>
    <w:rsid w:val="004B3D09"/>
    <w:rsid w:val="004C0DC1"/>
    <w:rsid w:val="004C220B"/>
    <w:rsid w:val="004D048C"/>
    <w:rsid w:val="004D46EC"/>
    <w:rsid w:val="004F6FEB"/>
    <w:rsid w:val="0051014E"/>
    <w:rsid w:val="00524676"/>
    <w:rsid w:val="0052774F"/>
    <w:rsid w:val="00527E32"/>
    <w:rsid w:val="005372A8"/>
    <w:rsid w:val="00545B2C"/>
    <w:rsid w:val="0054768C"/>
    <w:rsid w:val="00556057"/>
    <w:rsid w:val="00565DD1"/>
    <w:rsid w:val="00596471"/>
    <w:rsid w:val="005B2108"/>
    <w:rsid w:val="005C5F8B"/>
    <w:rsid w:val="005D02C0"/>
    <w:rsid w:val="005E2E84"/>
    <w:rsid w:val="00601A31"/>
    <w:rsid w:val="0060357F"/>
    <w:rsid w:val="006108DA"/>
    <w:rsid w:val="0061432A"/>
    <w:rsid w:val="00616B62"/>
    <w:rsid w:val="00644887"/>
    <w:rsid w:val="00661570"/>
    <w:rsid w:val="00666CD9"/>
    <w:rsid w:val="00680E2E"/>
    <w:rsid w:val="006832D7"/>
    <w:rsid w:val="00693F6A"/>
    <w:rsid w:val="006A0CD6"/>
    <w:rsid w:val="006C4D40"/>
    <w:rsid w:val="006D0276"/>
    <w:rsid w:val="006D5835"/>
    <w:rsid w:val="00704DA2"/>
    <w:rsid w:val="0070798A"/>
    <w:rsid w:val="00713CB5"/>
    <w:rsid w:val="00716033"/>
    <w:rsid w:val="00717FDC"/>
    <w:rsid w:val="00742B41"/>
    <w:rsid w:val="007621B2"/>
    <w:rsid w:val="007623FB"/>
    <w:rsid w:val="007667F9"/>
    <w:rsid w:val="007A7FA0"/>
    <w:rsid w:val="007B0917"/>
    <w:rsid w:val="007F20D9"/>
    <w:rsid w:val="00814DB6"/>
    <w:rsid w:val="008737AB"/>
    <w:rsid w:val="008816B1"/>
    <w:rsid w:val="008875E1"/>
    <w:rsid w:val="008950D0"/>
    <w:rsid w:val="008971E1"/>
    <w:rsid w:val="008C3333"/>
    <w:rsid w:val="008C3B76"/>
    <w:rsid w:val="008D131C"/>
    <w:rsid w:val="008E3371"/>
    <w:rsid w:val="008E37DA"/>
    <w:rsid w:val="008E5D62"/>
    <w:rsid w:val="009122B8"/>
    <w:rsid w:val="00912F11"/>
    <w:rsid w:val="00915DE1"/>
    <w:rsid w:val="0092496D"/>
    <w:rsid w:val="00942987"/>
    <w:rsid w:val="00944B37"/>
    <w:rsid w:val="0095676E"/>
    <w:rsid w:val="00967802"/>
    <w:rsid w:val="0098496B"/>
    <w:rsid w:val="009A2CC4"/>
    <w:rsid w:val="009C406A"/>
    <w:rsid w:val="009D086C"/>
    <w:rsid w:val="009E02BE"/>
    <w:rsid w:val="00A24FD0"/>
    <w:rsid w:val="00A52489"/>
    <w:rsid w:val="00A60897"/>
    <w:rsid w:val="00A759ED"/>
    <w:rsid w:val="00A8218C"/>
    <w:rsid w:val="00A84DF0"/>
    <w:rsid w:val="00A97F7C"/>
    <w:rsid w:val="00AA259C"/>
    <w:rsid w:val="00AA2BD6"/>
    <w:rsid w:val="00AB3D39"/>
    <w:rsid w:val="00AB6961"/>
    <w:rsid w:val="00AD642E"/>
    <w:rsid w:val="00AE721A"/>
    <w:rsid w:val="00AF7AFE"/>
    <w:rsid w:val="00B03407"/>
    <w:rsid w:val="00B07629"/>
    <w:rsid w:val="00B23A23"/>
    <w:rsid w:val="00B32691"/>
    <w:rsid w:val="00B34395"/>
    <w:rsid w:val="00B346EC"/>
    <w:rsid w:val="00B35981"/>
    <w:rsid w:val="00B518F6"/>
    <w:rsid w:val="00B64924"/>
    <w:rsid w:val="00B97EA7"/>
    <w:rsid w:val="00BC1232"/>
    <w:rsid w:val="00BE0E72"/>
    <w:rsid w:val="00C00247"/>
    <w:rsid w:val="00C04DCF"/>
    <w:rsid w:val="00C05446"/>
    <w:rsid w:val="00C42D34"/>
    <w:rsid w:val="00C741FD"/>
    <w:rsid w:val="00C7557D"/>
    <w:rsid w:val="00C76F0B"/>
    <w:rsid w:val="00C9667B"/>
    <w:rsid w:val="00CB3922"/>
    <w:rsid w:val="00CC15FF"/>
    <w:rsid w:val="00CC7CE0"/>
    <w:rsid w:val="00CF5704"/>
    <w:rsid w:val="00D070CF"/>
    <w:rsid w:val="00D116FD"/>
    <w:rsid w:val="00D14A1D"/>
    <w:rsid w:val="00D14E9F"/>
    <w:rsid w:val="00D16A35"/>
    <w:rsid w:val="00D260E6"/>
    <w:rsid w:val="00D261B0"/>
    <w:rsid w:val="00D33DE9"/>
    <w:rsid w:val="00D60E52"/>
    <w:rsid w:val="00D65B16"/>
    <w:rsid w:val="00D66E67"/>
    <w:rsid w:val="00DA0BFC"/>
    <w:rsid w:val="00DB7AB4"/>
    <w:rsid w:val="00DE04D3"/>
    <w:rsid w:val="00E0209E"/>
    <w:rsid w:val="00E12E92"/>
    <w:rsid w:val="00E40409"/>
    <w:rsid w:val="00E41EF3"/>
    <w:rsid w:val="00E47487"/>
    <w:rsid w:val="00E511E3"/>
    <w:rsid w:val="00E53255"/>
    <w:rsid w:val="00E63BA2"/>
    <w:rsid w:val="00E64810"/>
    <w:rsid w:val="00E7383A"/>
    <w:rsid w:val="00E75305"/>
    <w:rsid w:val="00E773E1"/>
    <w:rsid w:val="00E82010"/>
    <w:rsid w:val="00E82045"/>
    <w:rsid w:val="00E870D0"/>
    <w:rsid w:val="00EA2788"/>
    <w:rsid w:val="00EA30BA"/>
    <w:rsid w:val="00ED3927"/>
    <w:rsid w:val="00EE2461"/>
    <w:rsid w:val="00EE432D"/>
    <w:rsid w:val="00EF2F81"/>
    <w:rsid w:val="00F0750A"/>
    <w:rsid w:val="00F11FA7"/>
    <w:rsid w:val="00F14952"/>
    <w:rsid w:val="00F17455"/>
    <w:rsid w:val="00F435BD"/>
    <w:rsid w:val="00F46385"/>
    <w:rsid w:val="00F5300F"/>
    <w:rsid w:val="00F5762D"/>
    <w:rsid w:val="00F92184"/>
    <w:rsid w:val="00F96D89"/>
    <w:rsid w:val="00FB5416"/>
    <w:rsid w:val="00FB757E"/>
    <w:rsid w:val="00FC5621"/>
    <w:rsid w:val="00FC6711"/>
    <w:rsid w:val="00FD48AF"/>
    <w:rsid w:val="00FF1B81"/>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uiPriority w:val="99"/>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uiPriority w:val="99"/>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129129424">
      <w:bodyDiv w:val="1"/>
      <w:marLeft w:val="0"/>
      <w:marRight w:val="0"/>
      <w:marTop w:val="0"/>
      <w:marBottom w:val="0"/>
      <w:divBdr>
        <w:top w:val="none" w:sz="0" w:space="0" w:color="auto"/>
        <w:left w:val="none" w:sz="0" w:space="0" w:color="auto"/>
        <w:bottom w:val="none" w:sz="0" w:space="0" w:color="auto"/>
        <w:right w:val="none" w:sz="0" w:space="0" w:color="auto"/>
      </w:divBdr>
    </w:div>
    <w:div w:id="232394896">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864831765">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747801198">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6D6F-AA51-4B1A-BB1A-C6781E6BF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4.xml><?xml version="1.0" encoding="utf-8"?>
<ds:datastoreItem xmlns:ds="http://schemas.openxmlformats.org/officeDocument/2006/customXml" ds:itemID="{E2AA4040-DBD8-4625-BE13-DA3781A6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Ericsson_RAN2#110e</cp:lastModifiedBy>
  <cp:revision>60</cp:revision>
  <dcterms:created xsi:type="dcterms:W3CDTF">2020-06-05T13:10:00Z</dcterms:created>
  <dcterms:modified xsi:type="dcterms:W3CDTF">2020-06-12T07:41:00Z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