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PART 2: Missing reportAddNeighMeas</w:t>
      </w:r>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BodyText"/>
            </w:pPr>
            <w:r>
              <w:t>Qualcomm</w:t>
            </w:r>
          </w:p>
        </w:tc>
        <w:tc>
          <w:tcPr>
            <w:tcW w:w="7920" w:type="dxa"/>
          </w:tcPr>
          <w:p w14:paraId="239A7E78" w14:textId="77777777" w:rsidR="005352B2" w:rsidRDefault="005352B2" w:rsidP="005352B2">
            <w:pPr>
              <w:pStyle w:val="BodyText"/>
              <w:rPr>
                <w:iCs/>
              </w:rPr>
            </w:pPr>
            <w:r>
              <w:rPr>
                <w:iCs/>
              </w:rPr>
              <w:t>Optional or IOT</w:t>
            </w:r>
          </w:p>
          <w:p w14:paraId="657F1276" w14:textId="78F29549" w:rsidR="005352B2" w:rsidRDefault="005352B2" w:rsidP="005352B2">
            <w:pPr>
              <w:pStyle w:val="BodyText"/>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BodyText"/>
            </w:pPr>
            <w:r w:rsidRPr="00007505">
              <w:lastRenderedPageBreak/>
              <w:t>MediaTek</w:t>
            </w:r>
          </w:p>
        </w:tc>
        <w:tc>
          <w:tcPr>
            <w:tcW w:w="7920" w:type="dxa"/>
          </w:tcPr>
          <w:p w14:paraId="3AC47D4D" w14:textId="75FEBD46" w:rsidR="005352B2" w:rsidRPr="00007505" w:rsidRDefault="00007505" w:rsidP="005352B2">
            <w:pPr>
              <w:pStyle w:val="BodyText"/>
            </w:pPr>
            <w:r w:rsidRPr="00007505">
              <w:t>No strong view. We are fine to have this as mandatiry or adding an IOT bit for testing purpose.</w:t>
            </w:r>
          </w:p>
        </w:tc>
      </w:tr>
      <w:tr w:rsidR="005352B2" w14:paraId="38816DE0" w14:textId="77777777" w:rsidTr="00E16328">
        <w:tc>
          <w:tcPr>
            <w:tcW w:w="1345" w:type="dxa"/>
          </w:tcPr>
          <w:p w14:paraId="0885A208" w14:textId="08B01906" w:rsidR="005352B2" w:rsidRDefault="00247740" w:rsidP="005352B2">
            <w:pPr>
              <w:pStyle w:val="BodyText"/>
            </w:pPr>
            <w:r>
              <w:t>Intel</w:t>
            </w:r>
          </w:p>
        </w:tc>
        <w:tc>
          <w:tcPr>
            <w:tcW w:w="7920" w:type="dxa"/>
          </w:tcPr>
          <w:p w14:paraId="09A5CBA0" w14:textId="2D032785" w:rsidR="005352B2" w:rsidRDefault="00247740" w:rsidP="005352B2">
            <w:pPr>
              <w:pStyle w:val="BodyText"/>
              <w:rPr>
                <w:i/>
              </w:rPr>
            </w:pPr>
            <w:r>
              <w:rPr>
                <w:i/>
              </w:rPr>
              <w:t xml:space="preserve">No strong view. But we </w:t>
            </w:r>
            <w:r w:rsidR="00402897">
              <w:rPr>
                <w:i/>
              </w:rPr>
              <w:t>can</w:t>
            </w:r>
            <w:r>
              <w:rPr>
                <w:i/>
              </w:rPr>
              <w:t xml:space="preserve"> add </w:t>
            </w:r>
            <w:r w:rsidR="00402897">
              <w:rPr>
                <w:i/>
              </w:rPr>
              <w:t xml:space="preserve">as </w:t>
            </w:r>
            <w:r>
              <w:rPr>
                <w:i/>
              </w:rPr>
              <w:t>IOT bit.</w:t>
            </w:r>
          </w:p>
        </w:tc>
      </w:tr>
      <w:tr w:rsidR="005352B2" w14:paraId="008BFE0F" w14:textId="77777777" w:rsidTr="00E16328">
        <w:tc>
          <w:tcPr>
            <w:tcW w:w="1345" w:type="dxa"/>
          </w:tcPr>
          <w:p w14:paraId="5860FF6B" w14:textId="77777777" w:rsidR="005352B2" w:rsidRDefault="005352B2" w:rsidP="005352B2">
            <w:pPr>
              <w:pStyle w:val="BodyText"/>
            </w:pPr>
          </w:p>
        </w:tc>
        <w:tc>
          <w:tcPr>
            <w:tcW w:w="7920" w:type="dxa"/>
          </w:tcPr>
          <w:p w14:paraId="1C338BEF" w14:textId="77777777" w:rsidR="005352B2" w:rsidRDefault="005352B2" w:rsidP="005352B2">
            <w:pPr>
              <w:pStyle w:val="BodyText"/>
              <w:rPr>
                <w:i/>
              </w:rPr>
            </w:pPr>
          </w:p>
        </w:tc>
      </w:tr>
      <w:tr w:rsidR="005352B2" w14:paraId="2916916A" w14:textId="77777777" w:rsidTr="00E16328">
        <w:tc>
          <w:tcPr>
            <w:tcW w:w="1345" w:type="dxa"/>
          </w:tcPr>
          <w:p w14:paraId="159E3BB3" w14:textId="77777777" w:rsidR="005352B2" w:rsidRDefault="005352B2" w:rsidP="005352B2">
            <w:pPr>
              <w:pStyle w:val="BodyText"/>
            </w:pPr>
          </w:p>
        </w:tc>
        <w:tc>
          <w:tcPr>
            <w:tcW w:w="7920" w:type="dxa"/>
          </w:tcPr>
          <w:p w14:paraId="726508FC" w14:textId="77777777" w:rsidR="005352B2" w:rsidRDefault="005352B2" w:rsidP="005352B2">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561A5B">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2" w:author="Benoist" w:date="2020-06-03T16:51:00Z">
              <w:r>
                <w:rPr>
                  <w:lang w:val="en-GB"/>
                </w:rPr>
                <w:t>Nokia</w:t>
              </w:r>
            </w:ins>
          </w:p>
        </w:tc>
        <w:tc>
          <w:tcPr>
            <w:tcW w:w="7920" w:type="dxa"/>
          </w:tcPr>
          <w:p w14:paraId="4AB81586" w14:textId="77777777" w:rsidR="003A74B6" w:rsidRDefault="00A12C9A">
            <w:pPr>
              <w:pStyle w:val="BodyText"/>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5" w:author="Benoist" w:date="2020-06-03T16:51:00Z"/>
                <w:i/>
                <w:lang w:val="en-GB"/>
              </w:rPr>
            </w:pPr>
            <w:ins w:id="6" w:author="Benoist" w:date="2020-06-03T16:51:00Z">
              <w:r>
                <w:rPr>
                  <w:i/>
                  <w:lang w:val="en-GB"/>
                </w:rPr>
                <w:t>- for the case the last RLC SDU becomes unavailable right before transmission due to PDCP discardTimer expiry seems a corner case;</w:t>
              </w:r>
            </w:ins>
          </w:p>
          <w:p w14:paraId="168E91D4" w14:textId="77777777" w:rsidR="003A74B6" w:rsidRDefault="00A12C9A">
            <w:pPr>
              <w:pStyle w:val="BodyText"/>
              <w:rPr>
                <w:i/>
                <w:lang w:val="en-GB"/>
              </w:rPr>
            </w:pPr>
            <w:ins w:id="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Comment on Nokia and vivo’s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r>
              <w:rPr>
                <w:lang w:val="en-GB"/>
              </w:rPr>
              <w:t>Futurewei</w:t>
            </w:r>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w:t>
            </w:r>
            <w:r>
              <w:rPr>
                <w:lang w:val="en-GB"/>
              </w:rPr>
              <w:lastRenderedPageBreak/>
              <w:t xml:space="preserve">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BodyText"/>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BodyText"/>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BodyText"/>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BodyText"/>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BodyText"/>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BodyText"/>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BodyText"/>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BodyText"/>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BodyText"/>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BodyText"/>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BodyText"/>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BodyText"/>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BodyText"/>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BodyText"/>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BodyText"/>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is clear that there is a case, which makes the RLC entity stuck after discarding an RLC SDU. We think that considering that Rel-16 IIoT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5pt;height:91.1pt" o:ole="">
                  <v:imagedata r:id="rId12" o:title=""/>
                </v:shape>
                <o:OLEObject Type="Embed" ProgID="Visio.Drawing.15" ShapeID="_x0000_i1025" DrawAspect="Content" ObjectID="_1653334241" r:id="rId13"/>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BodyText"/>
            </w:pPr>
            <w:r>
              <w:t>Qualcomm</w:t>
            </w:r>
          </w:p>
        </w:tc>
        <w:tc>
          <w:tcPr>
            <w:tcW w:w="1090" w:type="dxa"/>
          </w:tcPr>
          <w:p w14:paraId="79540897" w14:textId="59B9CEF6" w:rsidR="003B10F9" w:rsidRPr="009D2CDD" w:rsidRDefault="009D2CDD" w:rsidP="003B10F9">
            <w:pPr>
              <w:pStyle w:val="BodyText"/>
              <w:rPr>
                <w:iCs/>
              </w:rPr>
            </w:pPr>
            <w:r>
              <w:rPr>
                <w:iCs/>
              </w:rPr>
              <w:t>Yes</w:t>
            </w:r>
          </w:p>
        </w:tc>
        <w:tc>
          <w:tcPr>
            <w:tcW w:w="7020" w:type="dxa"/>
          </w:tcPr>
          <w:p w14:paraId="6B26A43D" w14:textId="30217219" w:rsidR="003B10F9" w:rsidRPr="009D2CDD" w:rsidRDefault="003B10F9" w:rsidP="003B10F9">
            <w:pPr>
              <w:pStyle w:val="BodyText"/>
              <w:rPr>
                <w:iCs/>
                <w:lang w:val="en-US"/>
              </w:rPr>
            </w:pPr>
          </w:p>
        </w:tc>
      </w:tr>
      <w:tr w:rsidR="003018D4" w14:paraId="14750956" w14:textId="77777777" w:rsidTr="003018D4">
        <w:tc>
          <w:tcPr>
            <w:tcW w:w="1280" w:type="dxa"/>
          </w:tcPr>
          <w:p w14:paraId="4005583D" w14:textId="2A24EF90" w:rsidR="003018D4" w:rsidRDefault="003018D4" w:rsidP="003018D4">
            <w:pPr>
              <w:pStyle w:val="BodyText"/>
            </w:pPr>
            <w:r>
              <w:t>HW</w:t>
            </w:r>
          </w:p>
        </w:tc>
        <w:tc>
          <w:tcPr>
            <w:tcW w:w="1090" w:type="dxa"/>
          </w:tcPr>
          <w:p w14:paraId="020E8123" w14:textId="66074353" w:rsidR="003018D4" w:rsidRDefault="003018D4" w:rsidP="003018D4">
            <w:pPr>
              <w:pStyle w:val="BodyText"/>
              <w:rPr>
                <w:i/>
              </w:rPr>
            </w:pPr>
            <w:r w:rsidRPr="005C0F06">
              <w:rPr>
                <w:rFonts w:eastAsia="Malgun Gothic"/>
                <w:lang w:eastAsia="ko-KR"/>
              </w:rPr>
              <w:t>Yes</w:t>
            </w:r>
          </w:p>
        </w:tc>
        <w:tc>
          <w:tcPr>
            <w:tcW w:w="7020" w:type="dxa"/>
          </w:tcPr>
          <w:p w14:paraId="2816F9AC" w14:textId="3FAEA317" w:rsidR="003018D4" w:rsidRDefault="003018D4" w:rsidP="003018D4">
            <w:pPr>
              <w:pStyle w:val="BodyText"/>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BodyText"/>
            </w:pPr>
            <w:r>
              <w:t>MediaTek</w:t>
            </w:r>
          </w:p>
        </w:tc>
        <w:tc>
          <w:tcPr>
            <w:tcW w:w="1090" w:type="dxa"/>
          </w:tcPr>
          <w:p w14:paraId="2B310778" w14:textId="272767DE" w:rsidR="003018D4" w:rsidRPr="00007505" w:rsidRDefault="00007505" w:rsidP="003018D4">
            <w:pPr>
              <w:pStyle w:val="BodyText"/>
            </w:pPr>
            <w:r w:rsidRPr="00007505">
              <w:t>Yes</w:t>
            </w:r>
          </w:p>
        </w:tc>
        <w:tc>
          <w:tcPr>
            <w:tcW w:w="7020" w:type="dxa"/>
          </w:tcPr>
          <w:p w14:paraId="726B6388" w14:textId="017CC8D3" w:rsidR="003018D4" w:rsidRDefault="003018D4" w:rsidP="003018D4">
            <w:pPr>
              <w:pStyle w:val="BodyText"/>
              <w:rPr>
                <w:i/>
              </w:rPr>
            </w:pPr>
          </w:p>
        </w:tc>
      </w:tr>
      <w:tr w:rsidR="003018D4" w14:paraId="17BC74A4" w14:textId="77777777" w:rsidTr="003018D4">
        <w:tc>
          <w:tcPr>
            <w:tcW w:w="1280" w:type="dxa"/>
          </w:tcPr>
          <w:p w14:paraId="66D8816B" w14:textId="05B2517A" w:rsidR="003018D4" w:rsidRPr="00082246" w:rsidRDefault="00082246" w:rsidP="003018D4">
            <w:pPr>
              <w:pStyle w:val="BodyText"/>
              <w:rPr>
                <w:rFonts w:eastAsia="Yu Mincho"/>
                <w:lang w:eastAsia="ja-JP"/>
              </w:rPr>
            </w:pPr>
            <w:r>
              <w:rPr>
                <w:rFonts w:eastAsia="Yu Mincho" w:hint="eastAsia"/>
                <w:lang w:eastAsia="ja-JP"/>
              </w:rPr>
              <w:t>DO</w:t>
            </w:r>
            <w:r>
              <w:rPr>
                <w:rFonts w:eastAsia="Yu Mincho"/>
                <w:lang w:eastAsia="ja-JP"/>
              </w:rPr>
              <w:t>COMO</w:t>
            </w:r>
          </w:p>
        </w:tc>
        <w:tc>
          <w:tcPr>
            <w:tcW w:w="1090" w:type="dxa"/>
          </w:tcPr>
          <w:p w14:paraId="5BFA2D1C" w14:textId="209B263C" w:rsidR="003018D4" w:rsidRPr="00082246" w:rsidRDefault="00082246" w:rsidP="003018D4">
            <w:pPr>
              <w:pStyle w:val="BodyText"/>
              <w:rPr>
                <w:rFonts w:eastAsia="Yu Mincho"/>
                <w:lang w:eastAsia="ja-JP"/>
              </w:rPr>
            </w:pPr>
            <w:r w:rsidRPr="00082246">
              <w:rPr>
                <w:rFonts w:eastAsia="Yu Mincho" w:hint="eastAsia"/>
                <w:lang w:eastAsia="ja-JP"/>
              </w:rPr>
              <w:t>Ye</w:t>
            </w:r>
            <w:r w:rsidRPr="00082246">
              <w:rPr>
                <w:rFonts w:eastAsia="Yu Mincho"/>
                <w:lang w:eastAsia="ja-JP"/>
              </w:rPr>
              <w:t>s</w:t>
            </w:r>
          </w:p>
        </w:tc>
        <w:tc>
          <w:tcPr>
            <w:tcW w:w="7020" w:type="dxa"/>
          </w:tcPr>
          <w:p w14:paraId="1AE9D5D1" w14:textId="12F855A4" w:rsidR="003018D4" w:rsidRDefault="003018D4" w:rsidP="003018D4">
            <w:pPr>
              <w:pStyle w:val="BodyText"/>
              <w:rPr>
                <w:i/>
              </w:rPr>
            </w:pPr>
          </w:p>
        </w:tc>
      </w:tr>
      <w:tr w:rsidR="002B2394" w14:paraId="70E67585" w14:textId="77777777" w:rsidTr="003018D4">
        <w:tc>
          <w:tcPr>
            <w:tcW w:w="1280" w:type="dxa"/>
          </w:tcPr>
          <w:p w14:paraId="2C72E5D7" w14:textId="0BB859A7" w:rsidR="002B2394" w:rsidRDefault="002B2394" w:rsidP="003018D4">
            <w:pPr>
              <w:pStyle w:val="BodyText"/>
              <w:rPr>
                <w:rFonts w:eastAsia="Yu Mincho"/>
                <w:lang w:eastAsia="ja-JP"/>
              </w:rPr>
            </w:pPr>
            <w:r>
              <w:rPr>
                <w:rFonts w:eastAsia="Yu Mincho" w:hint="eastAsia"/>
                <w:lang w:eastAsia="ja-JP"/>
              </w:rPr>
              <w:lastRenderedPageBreak/>
              <w:t>F</w:t>
            </w:r>
            <w:r>
              <w:rPr>
                <w:rFonts w:eastAsia="Yu Mincho"/>
                <w:lang w:eastAsia="ja-JP"/>
              </w:rPr>
              <w:t>ujitsu</w:t>
            </w:r>
          </w:p>
        </w:tc>
        <w:tc>
          <w:tcPr>
            <w:tcW w:w="1090" w:type="dxa"/>
          </w:tcPr>
          <w:p w14:paraId="4EE825B9" w14:textId="6670C2B8" w:rsidR="002B2394" w:rsidRPr="00082246" w:rsidRDefault="002B2394" w:rsidP="003018D4">
            <w:pPr>
              <w:pStyle w:val="BodyText"/>
              <w:rPr>
                <w:rFonts w:eastAsia="Yu Mincho"/>
                <w:lang w:eastAsia="ja-JP"/>
              </w:rPr>
            </w:pPr>
            <w:r>
              <w:rPr>
                <w:rFonts w:eastAsia="Yu Mincho" w:hint="eastAsia"/>
                <w:lang w:eastAsia="ja-JP"/>
              </w:rPr>
              <w:t>Y</w:t>
            </w:r>
            <w:r>
              <w:rPr>
                <w:rFonts w:eastAsia="Yu Mincho"/>
                <w:lang w:eastAsia="ja-JP"/>
              </w:rPr>
              <w:t>es, but</w:t>
            </w:r>
          </w:p>
        </w:tc>
        <w:tc>
          <w:tcPr>
            <w:tcW w:w="7020" w:type="dxa"/>
          </w:tcPr>
          <w:p w14:paraId="3AFC0206" w14:textId="605E3302" w:rsidR="002B2394" w:rsidRDefault="002B2394" w:rsidP="003018D4">
            <w:pPr>
              <w:pStyle w:val="BodyText"/>
              <w:rPr>
                <w:i/>
              </w:rPr>
            </w:pPr>
            <w:r>
              <w:rPr>
                <w:iCs/>
                <w:lang w:val="en-GB"/>
              </w:rPr>
              <w:t>Same view with Samsung, this has been discussed from LTE and has been discussed for NR as well.</w:t>
            </w:r>
          </w:p>
        </w:tc>
      </w:tr>
      <w:tr w:rsidR="00803BE8" w14:paraId="42298237" w14:textId="77777777" w:rsidTr="003018D4">
        <w:tc>
          <w:tcPr>
            <w:tcW w:w="1280" w:type="dxa"/>
          </w:tcPr>
          <w:p w14:paraId="7DE24F13" w14:textId="1DBB3275" w:rsidR="00803BE8" w:rsidRDefault="00803BE8" w:rsidP="003018D4">
            <w:pPr>
              <w:pStyle w:val="BodyText"/>
              <w:rPr>
                <w:rFonts w:eastAsia="Yu Mincho"/>
                <w:lang w:eastAsia="ja-JP"/>
              </w:rPr>
            </w:pPr>
            <w:r>
              <w:rPr>
                <w:rFonts w:eastAsia="Yu Mincho"/>
                <w:lang w:eastAsia="ja-JP"/>
              </w:rPr>
              <w:t>Intel</w:t>
            </w:r>
          </w:p>
        </w:tc>
        <w:tc>
          <w:tcPr>
            <w:tcW w:w="1090" w:type="dxa"/>
          </w:tcPr>
          <w:p w14:paraId="6E0098FD" w14:textId="703E869F" w:rsidR="00803BE8" w:rsidRDefault="00803BE8" w:rsidP="003018D4">
            <w:pPr>
              <w:pStyle w:val="BodyText"/>
              <w:rPr>
                <w:rFonts w:eastAsia="Yu Mincho"/>
                <w:lang w:eastAsia="ja-JP"/>
              </w:rPr>
            </w:pPr>
            <w:r>
              <w:rPr>
                <w:rFonts w:eastAsia="Yu Mincho"/>
                <w:lang w:eastAsia="ja-JP"/>
              </w:rPr>
              <w:t>Yes</w:t>
            </w:r>
          </w:p>
        </w:tc>
        <w:tc>
          <w:tcPr>
            <w:tcW w:w="7020" w:type="dxa"/>
          </w:tcPr>
          <w:p w14:paraId="27FA2350" w14:textId="60999016" w:rsidR="00803BE8" w:rsidRDefault="00803BE8" w:rsidP="003018D4">
            <w:pPr>
              <w:pStyle w:val="BodyText"/>
              <w:rPr>
                <w:iCs/>
              </w:rPr>
            </w:pPr>
            <w:r>
              <w:rPr>
                <w:iCs/>
              </w:rPr>
              <w:t>Agree with Samsung. The situation is same as LTE, and has been already discussed in NR.</w:t>
            </w: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3018D4">
        <w:tc>
          <w:tcPr>
            <w:tcW w:w="1280" w:type="dxa"/>
          </w:tcPr>
          <w:p w14:paraId="7A1B1A67" w14:textId="35D44B0E" w:rsidR="003B10F9" w:rsidRDefault="009D2CDD" w:rsidP="003B10F9">
            <w:pPr>
              <w:pStyle w:val="BodyText"/>
            </w:pPr>
            <w:r>
              <w:t>Qualcomm</w:t>
            </w:r>
          </w:p>
        </w:tc>
        <w:tc>
          <w:tcPr>
            <w:tcW w:w="1090" w:type="dxa"/>
          </w:tcPr>
          <w:p w14:paraId="7CD0C90A" w14:textId="77777777" w:rsidR="003B10F9" w:rsidRDefault="003B10F9" w:rsidP="003B10F9">
            <w:pPr>
              <w:pStyle w:val="BodyText"/>
              <w:rPr>
                <w:i/>
              </w:rPr>
            </w:pPr>
          </w:p>
        </w:tc>
        <w:tc>
          <w:tcPr>
            <w:tcW w:w="7020" w:type="dxa"/>
          </w:tcPr>
          <w:p w14:paraId="70BD8CED" w14:textId="7B9A3574" w:rsidR="003B10F9" w:rsidRPr="009D2CDD" w:rsidRDefault="005352B2" w:rsidP="003B10F9">
            <w:pPr>
              <w:pStyle w:val="BodyText"/>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BodyText"/>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BodyText"/>
              <w:rPr>
                <w:i/>
              </w:rPr>
            </w:pPr>
            <w:r>
              <w:rPr>
                <w:rFonts w:eastAsia="Malgun Gothic"/>
                <w:lang w:val="en-GB" w:eastAsia="ko-KR"/>
              </w:rPr>
              <w:t>Yes</w:t>
            </w:r>
          </w:p>
        </w:tc>
        <w:tc>
          <w:tcPr>
            <w:tcW w:w="7020" w:type="dxa"/>
          </w:tcPr>
          <w:p w14:paraId="3EAD715B" w14:textId="7C8826F3" w:rsidR="003018D4" w:rsidRDefault="003018D4" w:rsidP="003018D4">
            <w:pPr>
              <w:pStyle w:val="BodyText"/>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BodyText"/>
            </w:pPr>
            <w:r>
              <w:t>MediaTek</w:t>
            </w:r>
          </w:p>
        </w:tc>
        <w:tc>
          <w:tcPr>
            <w:tcW w:w="1090" w:type="dxa"/>
          </w:tcPr>
          <w:p w14:paraId="22D87D9C" w14:textId="57F9AF88" w:rsidR="003018D4" w:rsidRDefault="003018D4" w:rsidP="003018D4">
            <w:pPr>
              <w:pStyle w:val="BodyText"/>
              <w:rPr>
                <w:i/>
              </w:rPr>
            </w:pPr>
          </w:p>
        </w:tc>
        <w:tc>
          <w:tcPr>
            <w:tcW w:w="7020" w:type="dxa"/>
          </w:tcPr>
          <w:p w14:paraId="66578E87" w14:textId="20CFD571" w:rsidR="003018D4" w:rsidRPr="00007505" w:rsidRDefault="00007505" w:rsidP="003018D4">
            <w:pPr>
              <w:pStyle w:val="BodyText"/>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BodyText"/>
              <w:rPr>
                <w:rFonts w:eastAsia="Yu Mincho"/>
                <w:lang w:eastAsia="ja-JP"/>
              </w:rPr>
            </w:pPr>
            <w:r>
              <w:rPr>
                <w:rFonts w:eastAsia="Yu Mincho" w:hint="eastAsia"/>
                <w:lang w:eastAsia="ja-JP"/>
              </w:rPr>
              <w:t>DOCOMO</w:t>
            </w:r>
          </w:p>
        </w:tc>
        <w:tc>
          <w:tcPr>
            <w:tcW w:w="1090" w:type="dxa"/>
          </w:tcPr>
          <w:p w14:paraId="1B230C63" w14:textId="0D564F06" w:rsidR="003018D4" w:rsidRPr="00082246" w:rsidRDefault="00082246" w:rsidP="003018D4">
            <w:pPr>
              <w:pStyle w:val="BodyText"/>
              <w:rPr>
                <w:rFonts w:eastAsia="Yu Mincho"/>
                <w:lang w:eastAsia="ja-JP"/>
              </w:rPr>
            </w:pPr>
            <w:r w:rsidRPr="00082246">
              <w:rPr>
                <w:rFonts w:eastAsia="Yu Mincho" w:hint="eastAsia"/>
                <w:lang w:eastAsia="ja-JP"/>
              </w:rPr>
              <w:t>No</w:t>
            </w:r>
          </w:p>
        </w:tc>
        <w:tc>
          <w:tcPr>
            <w:tcW w:w="7020" w:type="dxa"/>
          </w:tcPr>
          <w:p w14:paraId="2A9EF254" w14:textId="77777777" w:rsidR="003018D4" w:rsidRDefault="003018D4" w:rsidP="003018D4">
            <w:pPr>
              <w:pStyle w:val="BodyText"/>
              <w:rPr>
                <w:i/>
              </w:rPr>
            </w:pPr>
          </w:p>
        </w:tc>
      </w:tr>
      <w:tr w:rsidR="002B2394" w14:paraId="4D6C7388" w14:textId="77777777" w:rsidTr="003018D4">
        <w:tc>
          <w:tcPr>
            <w:tcW w:w="1280" w:type="dxa"/>
          </w:tcPr>
          <w:p w14:paraId="3130B4F4" w14:textId="247A7805" w:rsidR="002B2394" w:rsidRDefault="002B2394" w:rsidP="003018D4">
            <w:pPr>
              <w:pStyle w:val="BodyText"/>
              <w:rPr>
                <w:rFonts w:eastAsia="Yu Mincho"/>
                <w:lang w:eastAsia="ja-JP"/>
              </w:rPr>
            </w:pPr>
            <w:r>
              <w:rPr>
                <w:rFonts w:eastAsia="Yu Mincho" w:hint="eastAsia"/>
                <w:lang w:eastAsia="ja-JP"/>
              </w:rPr>
              <w:t>F</w:t>
            </w:r>
            <w:r>
              <w:rPr>
                <w:rFonts w:eastAsia="Yu Mincho"/>
                <w:lang w:eastAsia="ja-JP"/>
              </w:rPr>
              <w:t>ujitsu</w:t>
            </w:r>
          </w:p>
        </w:tc>
        <w:tc>
          <w:tcPr>
            <w:tcW w:w="1090" w:type="dxa"/>
          </w:tcPr>
          <w:p w14:paraId="349ABA8D" w14:textId="06317DE3" w:rsidR="002B2394" w:rsidRPr="00082246" w:rsidRDefault="002B2394" w:rsidP="003018D4">
            <w:pPr>
              <w:pStyle w:val="BodyText"/>
              <w:rPr>
                <w:rFonts w:eastAsia="Yu Mincho"/>
                <w:lang w:eastAsia="ja-JP"/>
              </w:rPr>
            </w:pPr>
            <w:r>
              <w:rPr>
                <w:rFonts w:eastAsia="Yu Mincho" w:hint="eastAsia"/>
                <w:lang w:eastAsia="ja-JP"/>
              </w:rPr>
              <w:t>N</w:t>
            </w:r>
            <w:r>
              <w:rPr>
                <w:rFonts w:eastAsia="Yu Mincho"/>
                <w:lang w:eastAsia="ja-JP"/>
              </w:rPr>
              <w:t>o</w:t>
            </w:r>
          </w:p>
        </w:tc>
        <w:tc>
          <w:tcPr>
            <w:tcW w:w="7020" w:type="dxa"/>
          </w:tcPr>
          <w:p w14:paraId="2EF378C2" w14:textId="77777777" w:rsidR="002B2394" w:rsidRDefault="002B2394" w:rsidP="003018D4">
            <w:pPr>
              <w:pStyle w:val="BodyText"/>
              <w:rPr>
                <w:i/>
              </w:rPr>
            </w:pPr>
          </w:p>
        </w:tc>
      </w:tr>
      <w:tr w:rsidR="001A3A81" w14:paraId="0ED6045B" w14:textId="77777777" w:rsidTr="003018D4">
        <w:tc>
          <w:tcPr>
            <w:tcW w:w="1280" w:type="dxa"/>
          </w:tcPr>
          <w:p w14:paraId="37317B00" w14:textId="6E9AB75F" w:rsidR="001A3A81" w:rsidRDefault="001A3A81" w:rsidP="003018D4">
            <w:pPr>
              <w:pStyle w:val="BodyText"/>
              <w:rPr>
                <w:rFonts w:eastAsia="Yu Mincho"/>
                <w:lang w:eastAsia="ja-JP"/>
              </w:rPr>
            </w:pPr>
            <w:r>
              <w:rPr>
                <w:rFonts w:eastAsia="Yu Mincho"/>
                <w:lang w:eastAsia="ja-JP"/>
              </w:rPr>
              <w:t>Intel</w:t>
            </w:r>
          </w:p>
        </w:tc>
        <w:tc>
          <w:tcPr>
            <w:tcW w:w="1090" w:type="dxa"/>
          </w:tcPr>
          <w:p w14:paraId="00487F7A" w14:textId="77777777" w:rsidR="001A3A81" w:rsidRDefault="001A3A81" w:rsidP="003018D4">
            <w:pPr>
              <w:pStyle w:val="BodyText"/>
              <w:rPr>
                <w:rFonts w:eastAsia="Yu Mincho"/>
                <w:lang w:eastAsia="ja-JP"/>
              </w:rPr>
            </w:pPr>
          </w:p>
        </w:tc>
        <w:tc>
          <w:tcPr>
            <w:tcW w:w="7020" w:type="dxa"/>
          </w:tcPr>
          <w:p w14:paraId="784F21F1" w14:textId="567DEFB7" w:rsidR="001A3A81" w:rsidRPr="001A3A81" w:rsidRDefault="001A3A81" w:rsidP="003018D4">
            <w:pPr>
              <w:pStyle w:val="BodyText"/>
              <w:rPr>
                <w:iCs/>
              </w:rPr>
            </w:pPr>
            <w:r>
              <w:rPr>
                <w:iCs/>
              </w:rPr>
              <w:t xml:space="preserve">Agree with Samsung that there is no critical issue with current RLC specifications, and </w:t>
            </w:r>
            <w:r w:rsidR="00633FAD">
              <w:rPr>
                <w:iCs/>
              </w:rPr>
              <w:t>the proposal affects UE implementation.</w:t>
            </w: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lastRenderedPageBreak/>
              <w:t>We still think that this CR is not needed.</w:t>
            </w:r>
          </w:p>
        </w:tc>
      </w:tr>
      <w:tr w:rsidR="008E0A14" w14:paraId="7D75D19B" w14:textId="77777777" w:rsidTr="003018D4">
        <w:tc>
          <w:tcPr>
            <w:tcW w:w="1280" w:type="dxa"/>
          </w:tcPr>
          <w:p w14:paraId="5BD40832" w14:textId="68736A50" w:rsidR="008E0A14" w:rsidRDefault="00C27D4D" w:rsidP="008E0A14">
            <w:pPr>
              <w:pStyle w:val="BodyText"/>
              <w:rPr>
                <w:lang w:val="en-GB"/>
              </w:rPr>
            </w:pPr>
            <w:r>
              <w:rPr>
                <w:lang w:val="en-GB"/>
              </w:rPr>
              <w:lastRenderedPageBreak/>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BodyText"/>
            </w:pPr>
            <w:r>
              <w:rPr>
                <w:rFonts w:eastAsia="Malgun Gothic" w:hint="eastAsia"/>
                <w:lang w:val="en-GB" w:eastAsia="ko-KR"/>
              </w:rPr>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BodyText"/>
            </w:pPr>
            <w:r>
              <w:t>Qualcomm</w:t>
            </w:r>
          </w:p>
        </w:tc>
        <w:tc>
          <w:tcPr>
            <w:tcW w:w="1090" w:type="dxa"/>
          </w:tcPr>
          <w:p w14:paraId="6A338012" w14:textId="261D81FD" w:rsidR="003B10F9" w:rsidRPr="005352B2" w:rsidRDefault="005352B2" w:rsidP="003B10F9">
            <w:pPr>
              <w:pStyle w:val="BodyText"/>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BodyText"/>
              <w:rPr>
                <w:iCs/>
              </w:rPr>
            </w:pPr>
          </w:p>
        </w:tc>
      </w:tr>
      <w:tr w:rsidR="003018D4" w14:paraId="3DB57D6F" w14:textId="77777777" w:rsidTr="003018D4">
        <w:tc>
          <w:tcPr>
            <w:tcW w:w="1280" w:type="dxa"/>
          </w:tcPr>
          <w:p w14:paraId="7FB08AB6" w14:textId="7E984A80" w:rsidR="003018D4" w:rsidRDefault="003018D4" w:rsidP="003018D4">
            <w:pPr>
              <w:pStyle w:val="BodyText"/>
            </w:pPr>
            <w:r>
              <w:rPr>
                <w:rFonts w:eastAsia="DengXian" w:hint="eastAsia"/>
              </w:rPr>
              <w:t>H</w:t>
            </w:r>
            <w:r>
              <w:rPr>
                <w:rFonts w:eastAsia="DengXian"/>
              </w:rPr>
              <w:t>W</w:t>
            </w:r>
          </w:p>
        </w:tc>
        <w:tc>
          <w:tcPr>
            <w:tcW w:w="1090" w:type="dxa"/>
          </w:tcPr>
          <w:p w14:paraId="32C65909" w14:textId="336F00E5" w:rsidR="003018D4" w:rsidRDefault="003018D4" w:rsidP="003018D4">
            <w:pPr>
              <w:pStyle w:val="BodyText"/>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BodyText"/>
              <w:rPr>
                <w:i/>
              </w:rPr>
            </w:pPr>
            <w:r>
              <w:rPr>
                <w:rFonts w:eastAsia="DengXian" w:hint="eastAsia"/>
              </w:rPr>
              <w:t>S</w:t>
            </w:r>
            <w:r>
              <w:rPr>
                <w:rFonts w:eastAsia="DengXian"/>
              </w:rPr>
              <w:t>ame view as Samsung. Regarding LG’s concern of missing data info in the proactive RLC STATUS PDU, upon new data is available, UE 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BodyText"/>
            </w:pPr>
            <w:r>
              <w:t>MediaTek</w:t>
            </w:r>
          </w:p>
        </w:tc>
        <w:tc>
          <w:tcPr>
            <w:tcW w:w="1090" w:type="dxa"/>
          </w:tcPr>
          <w:p w14:paraId="06AEE851" w14:textId="7AAAB4D7" w:rsidR="003018D4" w:rsidRPr="00007505" w:rsidRDefault="00007505" w:rsidP="003018D4">
            <w:pPr>
              <w:pStyle w:val="BodyText"/>
            </w:pPr>
            <w:r w:rsidRPr="00007505">
              <w:t>Yes</w:t>
            </w:r>
          </w:p>
        </w:tc>
        <w:tc>
          <w:tcPr>
            <w:tcW w:w="7020" w:type="dxa"/>
          </w:tcPr>
          <w:p w14:paraId="7F131B4D" w14:textId="0B74DA7E" w:rsidR="003018D4" w:rsidRPr="00007505" w:rsidRDefault="00007505" w:rsidP="003018D4">
            <w:pPr>
              <w:pStyle w:val="BodyText"/>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BodyText"/>
              <w:rPr>
                <w:rFonts w:eastAsia="Yu Mincho"/>
                <w:lang w:eastAsia="ja-JP"/>
              </w:rPr>
            </w:pPr>
            <w:r>
              <w:rPr>
                <w:rFonts w:eastAsia="Yu Mincho" w:hint="eastAsia"/>
                <w:lang w:eastAsia="ja-JP"/>
              </w:rPr>
              <w:t>DOCOMO</w:t>
            </w:r>
          </w:p>
        </w:tc>
        <w:tc>
          <w:tcPr>
            <w:tcW w:w="1090" w:type="dxa"/>
          </w:tcPr>
          <w:p w14:paraId="6FCD041E" w14:textId="76FF08BC" w:rsidR="003018D4" w:rsidRPr="00082246" w:rsidRDefault="00082246" w:rsidP="003018D4">
            <w:pPr>
              <w:pStyle w:val="BodyText"/>
              <w:rPr>
                <w:rFonts w:eastAsia="Yu Mincho"/>
                <w:lang w:eastAsia="ja-JP"/>
              </w:rPr>
            </w:pPr>
            <w:r w:rsidRPr="00082246">
              <w:rPr>
                <w:rFonts w:eastAsia="Yu Mincho" w:hint="eastAsia"/>
                <w:lang w:eastAsia="ja-JP"/>
              </w:rPr>
              <w:t>Yes</w:t>
            </w:r>
          </w:p>
        </w:tc>
        <w:tc>
          <w:tcPr>
            <w:tcW w:w="7020" w:type="dxa"/>
          </w:tcPr>
          <w:p w14:paraId="5C56BA6B" w14:textId="70342E02" w:rsidR="00082246" w:rsidRDefault="00082246" w:rsidP="00082246">
            <w:pPr>
              <w:pStyle w:val="BodyText"/>
            </w:pPr>
            <w:r>
              <w:rPr>
                <w:rFonts w:eastAsia="Yu Mincho"/>
                <w:lang w:eastAsia="ja-JP"/>
              </w:rPr>
              <w:t>A</w:t>
            </w:r>
            <w:r>
              <w:rPr>
                <w:rFonts w:eastAsia="Yu Mincho" w:hint="eastAsia"/>
                <w:lang w:eastAsia="ja-JP"/>
              </w:rPr>
              <w:t xml:space="preserve">gree </w:t>
            </w:r>
            <w:r>
              <w:rPr>
                <w:rFonts w:eastAsia="Yu Mincho"/>
                <w:lang w:eastAsia="ja-JP"/>
              </w:rPr>
              <w:t>with LG.</w:t>
            </w:r>
          </w:p>
          <w:p w14:paraId="6F37220A" w14:textId="12478219" w:rsidR="00082246" w:rsidRDefault="00082246" w:rsidP="00082246">
            <w:pPr>
              <w:pStyle w:val="BodyText"/>
            </w:pPr>
            <w:r>
              <w:t>Due to this problem, I think HFN mismatch(PDCP window mismatch) will happen during duplication is re-activated.</w:t>
            </w:r>
          </w:p>
          <w:p w14:paraId="3121B9B1" w14:textId="77777777" w:rsidR="00082246" w:rsidRDefault="00082246" w:rsidP="00082246">
            <w:pPr>
              <w:pStyle w:val="BodyText"/>
            </w:pPr>
          </w:p>
          <w:p w14:paraId="7CDCABD1" w14:textId="77777777" w:rsidR="003018D4" w:rsidRDefault="00082246" w:rsidP="00082246">
            <w:pPr>
              <w:pStyle w:val="BodyText"/>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BodyText"/>
            </w:pPr>
          </w:p>
          <w:p w14:paraId="2723EC5C" w14:textId="1288DC6B" w:rsidR="00082246" w:rsidRPr="00082246" w:rsidRDefault="00082246" w:rsidP="00082246">
            <w:pPr>
              <w:pStyle w:val="BodyText"/>
            </w:pPr>
            <w:r>
              <w:rPr>
                <w:rFonts w:eastAsia="Yu Mincho"/>
                <w:lang w:eastAsia="ja-JP"/>
              </w:rPr>
              <w:t xml:space="preserve">In addition, since at least we have same view that </w:t>
            </w:r>
            <w:r w:rsidRPr="00C65B10">
              <w:rPr>
                <w:rFonts w:eastAsia="Yu Mincho"/>
                <w:lang w:eastAsia="ja-JP"/>
              </w:rPr>
              <w:t>if there is no RLC SDU in the UE buffer after the SDU discard, the RLC entity would be stuck because there is no RLC SDU to transmit a poll</w:t>
            </w:r>
            <w:r>
              <w:rPr>
                <w:rFonts w:eastAsia="Yu Mincho"/>
                <w:lang w:eastAsia="ja-JP"/>
              </w:rPr>
              <w:t>, is it</w:t>
            </w:r>
            <w:r w:rsidRPr="002F1002">
              <w:rPr>
                <w:rFonts w:eastAsia="Yu Mincho"/>
                <w:lang w:eastAsia="ja-JP"/>
              </w:rPr>
              <w:t xml:space="preserve"> better to solve by standard specifications rather than solving individually by implementation</w:t>
            </w:r>
            <w:r>
              <w:rPr>
                <w:rFonts w:eastAsia="Yu Mincho"/>
                <w:lang w:eastAsia="ja-JP"/>
              </w:rPr>
              <w:t>?</w:t>
            </w:r>
          </w:p>
        </w:tc>
      </w:tr>
      <w:tr w:rsidR="0066417D" w14:paraId="0AC896BC" w14:textId="77777777" w:rsidTr="003018D4">
        <w:tc>
          <w:tcPr>
            <w:tcW w:w="1280" w:type="dxa"/>
          </w:tcPr>
          <w:p w14:paraId="409ADEDA" w14:textId="66461C51" w:rsidR="0066417D" w:rsidRDefault="0066417D" w:rsidP="003018D4">
            <w:pPr>
              <w:pStyle w:val="BodyText"/>
              <w:rPr>
                <w:rFonts w:eastAsia="Yu Mincho"/>
                <w:lang w:eastAsia="ja-JP"/>
              </w:rPr>
            </w:pPr>
            <w:r>
              <w:rPr>
                <w:rFonts w:eastAsia="Yu Mincho" w:hint="eastAsia"/>
                <w:lang w:eastAsia="ja-JP"/>
              </w:rPr>
              <w:t>F</w:t>
            </w:r>
            <w:r>
              <w:rPr>
                <w:rFonts w:eastAsia="Yu Mincho"/>
                <w:lang w:eastAsia="ja-JP"/>
              </w:rPr>
              <w:t>ujitsu</w:t>
            </w:r>
          </w:p>
        </w:tc>
        <w:tc>
          <w:tcPr>
            <w:tcW w:w="1090" w:type="dxa"/>
          </w:tcPr>
          <w:p w14:paraId="10642245" w14:textId="084107D5" w:rsidR="0066417D" w:rsidRPr="00082246" w:rsidRDefault="0066417D" w:rsidP="003018D4">
            <w:pPr>
              <w:pStyle w:val="BodyText"/>
              <w:rPr>
                <w:rFonts w:eastAsia="Yu Mincho"/>
                <w:lang w:eastAsia="ja-JP"/>
              </w:rPr>
            </w:pPr>
            <w:r>
              <w:rPr>
                <w:rFonts w:eastAsia="Yu Mincho" w:hint="eastAsia"/>
                <w:lang w:eastAsia="ja-JP"/>
              </w:rPr>
              <w:t>N</w:t>
            </w:r>
            <w:r>
              <w:rPr>
                <w:rFonts w:eastAsia="Yu Mincho"/>
                <w:lang w:eastAsia="ja-JP"/>
              </w:rPr>
              <w:t>o</w:t>
            </w:r>
          </w:p>
        </w:tc>
        <w:tc>
          <w:tcPr>
            <w:tcW w:w="7020" w:type="dxa"/>
          </w:tcPr>
          <w:p w14:paraId="6C837912" w14:textId="2CBE467F" w:rsidR="0066417D" w:rsidRDefault="0066417D" w:rsidP="00082246">
            <w:pPr>
              <w:pStyle w:val="BodyText"/>
              <w:rPr>
                <w:rFonts w:eastAsia="Yu Mincho"/>
                <w:lang w:eastAsia="ja-JP"/>
              </w:rPr>
            </w:pPr>
            <w:r>
              <w:rPr>
                <w:rFonts w:eastAsia="Yu Mincho"/>
                <w:lang w:eastAsia="ja-JP"/>
              </w:rPr>
              <w:t xml:space="preserve">If the assumption of this discussion is URLLC, then the aumout of missing data is very limited due to highly reliable PHY channel quality. In case when </w:t>
            </w:r>
            <w:r w:rsidRPr="0066417D">
              <w:rPr>
                <w:rFonts w:eastAsia="Yu Mincho"/>
                <w:lang w:eastAsia="ja-JP"/>
              </w:rPr>
              <w:t>STATUS PDU contains no missing data information</w:t>
            </w:r>
            <w:r>
              <w:rPr>
                <w:rFonts w:eastAsia="Yu Mincho"/>
                <w:lang w:eastAsia="ja-JP"/>
              </w:rPr>
              <w:t>, next URLLC data can include the poll bit.</w:t>
            </w:r>
          </w:p>
        </w:tc>
      </w:tr>
      <w:tr w:rsidR="00BB5054" w14:paraId="523AE7BD" w14:textId="77777777" w:rsidTr="003018D4">
        <w:tc>
          <w:tcPr>
            <w:tcW w:w="1280" w:type="dxa"/>
          </w:tcPr>
          <w:p w14:paraId="5A9E422B" w14:textId="44FBB529" w:rsidR="00BB5054" w:rsidRDefault="00BB5054" w:rsidP="003018D4">
            <w:pPr>
              <w:pStyle w:val="BodyText"/>
              <w:rPr>
                <w:rFonts w:eastAsia="Yu Mincho"/>
                <w:lang w:eastAsia="ja-JP"/>
              </w:rPr>
            </w:pPr>
            <w:r>
              <w:rPr>
                <w:rFonts w:eastAsia="Yu Mincho"/>
                <w:lang w:eastAsia="ja-JP"/>
              </w:rPr>
              <w:t>Intel</w:t>
            </w:r>
          </w:p>
        </w:tc>
        <w:tc>
          <w:tcPr>
            <w:tcW w:w="1090" w:type="dxa"/>
          </w:tcPr>
          <w:p w14:paraId="045D4085" w14:textId="4CCE97EA" w:rsidR="00BB5054" w:rsidRDefault="00BB5054" w:rsidP="003018D4">
            <w:pPr>
              <w:pStyle w:val="BodyText"/>
              <w:rPr>
                <w:rFonts w:eastAsia="Yu Mincho"/>
                <w:lang w:eastAsia="ja-JP"/>
              </w:rPr>
            </w:pPr>
            <w:r>
              <w:rPr>
                <w:rFonts w:eastAsia="Yu Mincho"/>
                <w:lang w:eastAsia="ja-JP"/>
              </w:rPr>
              <w:t>No</w:t>
            </w:r>
          </w:p>
        </w:tc>
        <w:tc>
          <w:tcPr>
            <w:tcW w:w="7020" w:type="dxa"/>
          </w:tcPr>
          <w:p w14:paraId="0880DA14" w14:textId="5BCEA90B" w:rsidR="00BB5054" w:rsidRDefault="00BB5054" w:rsidP="00082246">
            <w:pPr>
              <w:pStyle w:val="BodyText"/>
              <w:rPr>
                <w:rFonts w:eastAsia="Yu Mincho"/>
                <w:lang w:eastAsia="ja-JP"/>
              </w:rPr>
            </w:pPr>
            <w:r>
              <w:rPr>
                <w:rFonts w:eastAsia="Yu Mincho"/>
                <w:lang w:eastAsia="ja-JP"/>
              </w:rPr>
              <w:t xml:space="preserve">Agree with Samsung. </w:t>
            </w:r>
            <w:r w:rsidR="00617485">
              <w:rPr>
                <w:rFonts w:eastAsia="Yu Mincho"/>
                <w:lang w:eastAsia="ja-JP"/>
              </w:rPr>
              <w:t>In addition, our understanding is that lost of STATUS PDU is rare. In the worst case, even if RLC entities are stuck, we don’t see critical problems as there are only a few stuck RLC PDUs. The memory consumption is negligible compared with the requirement of L2 buffer size.</w:t>
            </w: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561A5B">
      <w:pPr>
        <w:pStyle w:val="Doc-title"/>
      </w:pPr>
      <w:hyperlink r:id="rId14" w:history="1">
        <w:r w:rsidR="00A12C9A" w:rsidRPr="00FF1691">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lastRenderedPageBreak/>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8" w:author="Benoist" w:date="2020-06-03T12:44:00Z">
              <w:r>
                <w:rPr>
                  <w:lang w:val="en-GB"/>
                </w:rPr>
                <w:t>Nokia</w:t>
              </w:r>
            </w:ins>
          </w:p>
        </w:tc>
        <w:tc>
          <w:tcPr>
            <w:tcW w:w="7920" w:type="dxa"/>
          </w:tcPr>
          <w:p w14:paraId="7D980D3B" w14:textId="77777777" w:rsidR="003A74B6" w:rsidRDefault="00A12C9A">
            <w:pPr>
              <w:pStyle w:val="BodyText"/>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BodyText"/>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BodyText"/>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BodyText"/>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BodyText"/>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BodyText"/>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BodyText"/>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BodyText"/>
              <w:rPr>
                <w:ins w:id="96" w:author="Xuelong Wang (王学龙)" w:date="2020-06-04T16:43:00Z"/>
                <w:rFonts w:eastAsiaTheme="minorEastAsia"/>
                <w:lang w:eastAsia="zh-TW"/>
              </w:rPr>
            </w:pPr>
            <w:ins w:id="97" w:author="Xuelong Wang (王学龙)" w:date="2020-06-04T16:44:00Z">
              <w:r>
                <w:lastRenderedPageBreak/>
                <w:t>MediaTek</w:t>
              </w:r>
            </w:ins>
          </w:p>
        </w:tc>
        <w:tc>
          <w:tcPr>
            <w:tcW w:w="7920" w:type="dxa"/>
          </w:tcPr>
          <w:p w14:paraId="785028FA" w14:textId="2856B7BF" w:rsidR="00917B33" w:rsidRDefault="00917B33" w:rsidP="00917B33">
            <w:pPr>
              <w:pStyle w:val="BodyText"/>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BodyText"/>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BodyText"/>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BodyText"/>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BodyText"/>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BodyText"/>
              <w:rPr>
                <w:ins w:id="112" w:author="CATT" w:date="2020-06-05T10:08:00Z"/>
                <w:rFonts w:eastAsia="宋体"/>
                <w:lang w:val="en-US"/>
                <w:rPrChange w:id="113" w:author="CATT" w:date="2020-06-05T10:08:00Z">
                  <w:rPr>
                    <w:ins w:id="114" w:author="CATT" w:date="2020-06-05T10:08:00Z"/>
                    <w:lang w:val="en-US"/>
                  </w:rPr>
                </w:rPrChange>
              </w:rPr>
            </w:pPr>
            <w:ins w:id="115" w:author="CATT" w:date="2020-06-05T10:08:00Z">
              <w:r>
                <w:rPr>
                  <w:rFonts w:eastAsia="宋体" w:hint="eastAsia"/>
                  <w:lang w:val="en-US"/>
                </w:rPr>
                <w:t>CATT</w:t>
              </w:r>
            </w:ins>
          </w:p>
        </w:tc>
        <w:tc>
          <w:tcPr>
            <w:tcW w:w="7920" w:type="dxa"/>
          </w:tcPr>
          <w:p w14:paraId="6BB2F6D9" w14:textId="0DF32869" w:rsidR="0056637F" w:rsidRDefault="0056637F" w:rsidP="00917B33">
            <w:pPr>
              <w:pStyle w:val="BodyText"/>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宋体"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BodyText"/>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BodyText"/>
              <w:rPr>
                <w:ins w:id="128" w:author="NTT DOCOMO, INC." w:date="2020-06-05T15:25:00Z"/>
                <w:rFonts w:eastAsia="Yu Mincho"/>
                <w:lang w:eastAsia="ja-JP"/>
              </w:rPr>
            </w:pPr>
            <w:ins w:id="129" w:author="NTT DOCOMO, INC." w:date="2020-06-05T15:25:00Z">
              <w:r>
                <w:rPr>
                  <w:rFonts w:eastAsia="Yu Mincho" w:hint="eastAsia"/>
                  <w:lang w:eastAsia="ja-JP"/>
                </w:rPr>
                <w:t>N</w:t>
              </w:r>
              <w:r>
                <w:rPr>
                  <w:rFonts w:eastAsia="Yu Mincho"/>
                  <w:lang w:eastAsia="ja-JP"/>
                </w:rPr>
                <w:t>TT DOCOMO</w:t>
              </w:r>
            </w:ins>
          </w:p>
        </w:tc>
        <w:tc>
          <w:tcPr>
            <w:tcW w:w="7920" w:type="dxa"/>
          </w:tcPr>
          <w:p w14:paraId="56D13444" w14:textId="61A0ED92" w:rsidR="00281554" w:rsidRDefault="00281554" w:rsidP="00281554">
            <w:pPr>
              <w:pStyle w:val="BodyText"/>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lastRenderedPageBreak/>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lastRenderedPageBreak/>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BodyText"/>
            </w:pPr>
            <w:r>
              <w:t>Qualcomm</w:t>
            </w:r>
          </w:p>
        </w:tc>
        <w:tc>
          <w:tcPr>
            <w:tcW w:w="7920" w:type="dxa"/>
          </w:tcPr>
          <w:p w14:paraId="3772EE23" w14:textId="77777777" w:rsidR="005F35A1" w:rsidRDefault="00A43BCD" w:rsidP="005F35A1">
            <w:pPr>
              <w:pStyle w:val="BodyText"/>
              <w:rPr>
                <w:iCs/>
              </w:rPr>
            </w:pPr>
            <w:r>
              <w:rPr>
                <w:iCs/>
              </w:rPr>
              <w:t xml:space="preserve">Support. </w:t>
            </w:r>
          </w:p>
          <w:p w14:paraId="56C1E545" w14:textId="3D09C9EF" w:rsidR="0075777E" w:rsidRPr="007A6869" w:rsidRDefault="0075777E" w:rsidP="005F35A1">
            <w:pPr>
              <w:pStyle w:val="BodyText"/>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BodyText"/>
            </w:pPr>
            <w:r>
              <w:t>ZTE</w:t>
            </w:r>
          </w:p>
        </w:tc>
        <w:tc>
          <w:tcPr>
            <w:tcW w:w="7920" w:type="dxa"/>
          </w:tcPr>
          <w:p w14:paraId="35709D4E" w14:textId="24A30C5B" w:rsidR="00FF1691" w:rsidRDefault="00FF1691" w:rsidP="005F35A1">
            <w:pPr>
              <w:pStyle w:val="BodyText"/>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BodyText"/>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BodyText"/>
            </w:pPr>
            <w:r>
              <w:rPr>
                <w:rFonts w:eastAsia="DengXian" w:hint="eastAsia"/>
              </w:rPr>
              <w:t>H</w:t>
            </w:r>
            <w:r>
              <w:rPr>
                <w:rFonts w:eastAsia="DengXian"/>
              </w:rPr>
              <w:t>W</w:t>
            </w:r>
          </w:p>
        </w:tc>
        <w:tc>
          <w:tcPr>
            <w:tcW w:w="7920" w:type="dxa"/>
          </w:tcPr>
          <w:p w14:paraId="598FB847" w14:textId="1385592B" w:rsidR="003018D4" w:rsidRDefault="003018D4" w:rsidP="003018D4">
            <w:pPr>
              <w:pStyle w:val="BodyText"/>
              <w:rPr>
                <w:i/>
              </w:rPr>
            </w:pPr>
            <w:r>
              <w:rPr>
                <w:rFonts w:eastAsia="DengXian"/>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BodyText"/>
            </w:pPr>
            <w:r>
              <w:t>MediaTek</w:t>
            </w:r>
          </w:p>
        </w:tc>
        <w:tc>
          <w:tcPr>
            <w:tcW w:w="7920" w:type="dxa"/>
          </w:tcPr>
          <w:p w14:paraId="2B7AA1C5" w14:textId="77777777" w:rsidR="00007505" w:rsidRPr="00007505" w:rsidRDefault="00007505" w:rsidP="00007505">
            <w:pPr>
              <w:pStyle w:val="BodyText"/>
            </w:pPr>
            <w:r w:rsidRPr="00007505">
              <w:t>Can support.</w:t>
            </w:r>
          </w:p>
          <w:p w14:paraId="4E7AA3EB" w14:textId="1A9CBF7C" w:rsidR="003018D4" w:rsidRDefault="00007505" w:rsidP="00007505">
            <w:pPr>
              <w:pStyle w:val="BodyText"/>
              <w:rPr>
                <w:i/>
              </w:rPr>
            </w:pPr>
            <w:r w:rsidRPr="00007505">
              <w:t>We agree this is a corner case, but we can accept the majority view to use the Absolute TAC MAC CE, which has limited spec impact and can reduce the latency coming from PDCCH triggered CFRA before CFRA BFR.</w:t>
            </w:r>
          </w:p>
        </w:tc>
      </w:tr>
      <w:tr w:rsidR="0066417D" w14:paraId="3CBDC21F" w14:textId="77777777" w:rsidTr="008E0A14">
        <w:tc>
          <w:tcPr>
            <w:tcW w:w="1345" w:type="dxa"/>
          </w:tcPr>
          <w:p w14:paraId="4019A32E" w14:textId="3EA36C7D" w:rsidR="0066417D" w:rsidRPr="0066417D" w:rsidRDefault="0066417D" w:rsidP="003018D4">
            <w:pPr>
              <w:pStyle w:val="BodyText"/>
              <w:rPr>
                <w:rFonts w:eastAsia="Yu Mincho"/>
                <w:lang w:eastAsia="ja-JP"/>
              </w:rPr>
            </w:pPr>
            <w:r>
              <w:rPr>
                <w:rFonts w:eastAsia="Yu Mincho" w:hint="eastAsia"/>
                <w:lang w:eastAsia="ja-JP"/>
              </w:rPr>
              <w:t>F</w:t>
            </w:r>
            <w:r>
              <w:rPr>
                <w:rFonts w:eastAsia="Yu Mincho"/>
                <w:lang w:eastAsia="ja-JP"/>
              </w:rPr>
              <w:t>ujitsu</w:t>
            </w:r>
          </w:p>
        </w:tc>
        <w:tc>
          <w:tcPr>
            <w:tcW w:w="7920" w:type="dxa"/>
          </w:tcPr>
          <w:p w14:paraId="3295ED4F" w14:textId="1ED62B02" w:rsidR="0066417D" w:rsidRPr="0066417D" w:rsidRDefault="00A61E29" w:rsidP="00007505">
            <w:pPr>
              <w:pStyle w:val="BodyText"/>
              <w:rPr>
                <w:rFonts w:eastAsia="DengXian"/>
              </w:rPr>
            </w:pPr>
            <w:r>
              <w:rPr>
                <w:rFonts w:eastAsia="Yu Mincho"/>
                <w:lang w:eastAsia="ja-JP"/>
              </w:rPr>
              <w:t>This is not our assumption</w:t>
            </w:r>
            <w:r w:rsidR="003C5D22">
              <w:rPr>
                <w:rFonts w:eastAsia="Yu Mincho"/>
                <w:lang w:eastAsia="ja-JP"/>
              </w:rPr>
              <w:t xml:space="preserve"> on BFR</w:t>
            </w:r>
            <w:r>
              <w:rPr>
                <w:rFonts w:eastAsia="Yu Mincho"/>
                <w:lang w:eastAsia="ja-JP"/>
              </w:rPr>
              <w:t>. We have assume that t</w:t>
            </w:r>
            <w:r w:rsidRPr="00A61E29">
              <w:rPr>
                <w:rFonts w:eastAsia="Yu Mincho"/>
                <w:lang w:eastAsia="ja-JP"/>
              </w:rPr>
              <w:t xml:space="preserve">he </w:t>
            </w:r>
            <w:r>
              <w:rPr>
                <w:rFonts w:eastAsia="Yu Mincho"/>
                <w:lang w:eastAsia="ja-JP"/>
              </w:rPr>
              <w:t xml:space="preserve">TAT would not be expired during </w:t>
            </w:r>
            <w:r w:rsidRPr="00A61E29">
              <w:rPr>
                <w:rFonts w:eastAsia="Yu Mincho"/>
                <w:lang w:eastAsia="ja-JP"/>
              </w:rPr>
              <w:t>CFRA based BFR</w:t>
            </w:r>
            <w:r>
              <w:rPr>
                <w:rFonts w:eastAsia="Yu Mincho"/>
                <w:lang w:eastAsia="ja-JP"/>
              </w:rPr>
              <w:t xml:space="preserve">, meaning that </w:t>
            </w:r>
            <w:r w:rsidRPr="00A61E29">
              <w:rPr>
                <w:rFonts w:eastAsia="Yu Mincho"/>
                <w:lang w:eastAsia="ja-JP"/>
              </w:rPr>
              <w:t>the UE would be UL time aligned.</w:t>
            </w:r>
            <w:r>
              <w:rPr>
                <w:rFonts w:eastAsia="Yu Mincho"/>
                <w:lang w:eastAsia="ja-JP"/>
              </w:rPr>
              <w:t xml:space="preserve"> As such, network would carefully configured the value of TA</w:t>
            </w:r>
            <w:r w:rsidR="00625AB6">
              <w:rPr>
                <w:rFonts w:eastAsia="Yu Mincho"/>
                <w:lang w:eastAsia="ja-JP"/>
              </w:rPr>
              <w:t>T</w:t>
            </w:r>
            <w:r>
              <w:rPr>
                <w:rFonts w:eastAsia="Yu Mincho"/>
                <w:lang w:eastAsia="ja-JP"/>
              </w:rPr>
              <w:t>.</w:t>
            </w:r>
          </w:p>
        </w:tc>
      </w:tr>
      <w:tr w:rsidR="007E6A51" w14:paraId="20725F45" w14:textId="77777777" w:rsidTr="008E0A14">
        <w:tc>
          <w:tcPr>
            <w:tcW w:w="1345" w:type="dxa"/>
          </w:tcPr>
          <w:p w14:paraId="5FDE1C8C" w14:textId="0D351037" w:rsidR="007E6A51" w:rsidRDefault="007E6A51" w:rsidP="003018D4">
            <w:pPr>
              <w:pStyle w:val="BodyText"/>
              <w:rPr>
                <w:rFonts w:eastAsia="Yu Mincho"/>
                <w:lang w:eastAsia="ja-JP"/>
              </w:rPr>
            </w:pPr>
            <w:r>
              <w:rPr>
                <w:rFonts w:eastAsia="Yu Mincho"/>
                <w:lang w:eastAsia="ja-JP"/>
              </w:rPr>
              <w:t>Intel</w:t>
            </w:r>
          </w:p>
        </w:tc>
        <w:tc>
          <w:tcPr>
            <w:tcW w:w="7920" w:type="dxa"/>
          </w:tcPr>
          <w:p w14:paraId="66FA03D8" w14:textId="4400C74A" w:rsidR="007E6A51" w:rsidRDefault="007E6A51" w:rsidP="00007505">
            <w:pPr>
              <w:pStyle w:val="BodyText"/>
              <w:rPr>
                <w:rFonts w:eastAsia="Yu Mincho"/>
                <w:lang w:eastAsia="ja-JP"/>
              </w:rPr>
            </w:pPr>
            <w:r>
              <w:rPr>
                <w:rFonts w:eastAsia="Yu Mincho"/>
                <w:lang w:eastAsia="ja-JP"/>
              </w:rPr>
              <w:t>As in our reply in Phase 1, we thin</w:t>
            </w:r>
            <w:r w:rsidR="00065C6D">
              <w:rPr>
                <w:rFonts w:eastAsia="Yu Mincho"/>
                <w:lang w:eastAsia="ja-JP"/>
              </w:rPr>
              <w:t>k</w:t>
            </w:r>
            <w:bookmarkStart w:id="135" w:name="_GoBack"/>
            <w:bookmarkEnd w:id="135"/>
            <w:r>
              <w:rPr>
                <w:rFonts w:eastAsia="Yu Mincho"/>
                <w:lang w:eastAsia="ja-JP"/>
              </w:rPr>
              <w:t xml:space="preserve"> this is corner case</w:t>
            </w:r>
            <w:r w:rsidRPr="007E6A51">
              <w:rPr>
                <w:rFonts w:eastAsia="Yu Mincho"/>
                <w:lang w:eastAsia="ja-JP"/>
              </w:rPr>
              <w:t xml:space="preserve">. If RAN2 agrees to solve the issue, we’re OK with </w:t>
            </w:r>
            <w:r>
              <w:rPr>
                <w:rFonts w:eastAsia="Yu Mincho"/>
                <w:lang w:eastAsia="ja-JP"/>
              </w:rPr>
              <w:t xml:space="preserve">using </w:t>
            </w:r>
            <w:r w:rsidRPr="007E6A51">
              <w:rPr>
                <w:rFonts w:eastAsia="Yu Mincho"/>
                <w:lang w:eastAsia="ja-JP"/>
              </w:rPr>
              <w:t xml:space="preserve">the new R16 TAC MAC CE for BFR </w:t>
            </w:r>
            <w:r>
              <w:rPr>
                <w:rFonts w:eastAsia="Yu Mincho"/>
                <w:lang w:eastAsia="ja-JP"/>
              </w:rPr>
              <w:t>(with the spec change as discussed by LG)</w:t>
            </w:r>
            <w:r w:rsidRPr="007E6A51">
              <w:rPr>
                <w:rFonts w:eastAsia="Yu Mincho"/>
                <w:lang w:eastAsia="ja-JP"/>
              </w:rPr>
              <w:t>.</w:t>
            </w: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AD103" w14:textId="77777777" w:rsidR="00561A5B" w:rsidRDefault="00561A5B">
      <w:r>
        <w:separator/>
      </w:r>
    </w:p>
  </w:endnote>
  <w:endnote w:type="continuationSeparator" w:id="0">
    <w:p w14:paraId="038D5FB2" w14:textId="77777777" w:rsidR="00561A5B" w:rsidRDefault="00561A5B">
      <w:r>
        <w:continuationSeparator/>
      </w:r>
    </w:p>
  </w:endnote>
  <w:endnote w:type="continuationNotice" w:id="1">
    <w:p w14:paraId="58CE8440" w14:textId="77777777" w:rsidR="00561A5B" w:rsidRDefault="00561A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40EEC843"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8224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2246">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E88D0" w14:textId="77777777" w:rsidR="00561A5B" w:rsidRDefault="00561A5B">
      <w:r>
        <w:separator/>
      </w:r>
    </w:p>
  </w:footnote>
  <w:footnote w:type="continuationSeparator" w:id="0">
    <w:p w14:paraId="33C19F10" w14:textId="77777777" w:rsidR="00561A5B" w:rsidRDefault="00561A5B">
      <w:r>
        <w:continuationSeparator/>
      </w:r>
    </w:p>
  </w:footnote>
  <w:footnote w:type="continuationNotice" w:id="1">
    <w:p w14:paraId="66CC30DC" w14:textId="77777777" w:rsidR="00561A5B" w:rsidRDefault="00561A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07505"/>
    <w:rsid w:val="00023A98"/>
    <w:rsid w:val="00033977"/>
    <w:rsid w:val="00035243"/>
    <w:rsid w:val="0004122E"/>
    <w:rsid w:val="00041B51"/>
    <w:rsid w:val="00051FD6"/>
    <w:rsid w:val="00057DE8"/>
    <w:rsid w:val="00065C6D"/>
    <w:rsid w:val="00080A8C"/>
    <w:rsid w:val="00082246"/>
    <w:rsid w:val="00091DBE"/>
    <w:rsid w:val="00095B05"/>
    <w:rsid w:val="000C0625"/>
    <w:rsid w:val="000F394F"/>
    <w:rsid w:val="000F6A82"/>
    <w:rsid w:val="00113520"/>
    <w:rsid w:val="0012251B"/>
    <w:rsid w:val="00122E79"/>
    <w:rsid w:val="00137B64"/>
    <w:rsid w:val="00147155"/>
    <w:rsid w:val="001A3A81"/>
    <w:rsid w:val="001A6C5D"/>
    <w:rsid w:val="001B5D81"/>
    <w:rsid w:val="001F4FC0"/>
    <w:rsid w:val="001F5B6F"/>
    <w:rsid w:val="00213FB8"/>
    <w:rsid w:val="00235CFD"/>
    <w:rsid w:val="00247740"/>
    <w:rsid w:val="0025157F"/>
    <w:rsid w:val="002709AC"/>
    <w:rsid w:val="00281554"/>
    <w:rsid w:val="002A3343"/>
    <w:rsid w:val="002B2394"/>
    <w:rsid w:val="002B744C"/>
    <w:rsid w:val="002C5877"/>
    <w:rsid w:val="002E112A"/>
    <w:rsid w:val="002E28EF"/>
    <w:rsid w:val="002E73C4"/>
    <w:rsid w:val="003018D4"/>
    <w:rsid w:val="00332CEA"/>
    <w:rsid w:val="00340CAE"/>
    <w:rsid w:val="00340F16"/>
    <w:rsid w:val="00341173"/>
    <w:rsid w:val="003458A0"/>
    <w:rsid w:val="003556E1"/>
    <w:rsid w:val="003661CE"/>
    <w:rsid w:val="003815B5"/>
    <w:rsid w:val="003A66C5"/>
    <w:rsid w:val="003A74B6"/>
    <w:rsid w:val="003B10F9"/>
    <w:rsid w:val="003B5055"/>
    <w:rsid w:val="003C1D01"/>
    <w:rsid w:val="003C5D22"/>
    <w:rsid w:val="003C71CD"/>
    <w:rsid w:val="003D4EDD"/>
    <w:rsid w:val="00401B3B"/>
    <w:rsid w:val="00402897"/>
    <w:rsid w:val="0040307F"/>
    <w:rsid w:val="0040376D"/>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1A5B"/>
    <w:rsid w:val="0056490E"/>
    <w:rsid w:val="0056637F"/>
    <w:rsid w:val="00587F60"/>
    <w:rsid w:val="00587FFB"/>
    <w:rsid w:val="005904E5"/>
    <w:rsid w:val="00593E80"/>
    <w:rsid w:val="005B5FA6"/>
    <w:rsid w:val="005B6D99"/>
    <w:rsid w:val="005C2E9C"/>
    <w:rsid w:val="005D41BA"/>
    <w:rsid w:val="005E494C"/>
    <w:rsid w:val="005F35A1"/>
    <w:rsid w:val="005F5939"/>
    <w:rsid w:val="00601C14"/>
    <w:rsid w:val="006058A7"/>
    <w:rsid w:val="00617485"/>
    <w:rsid w:val="006233DC"/>
    <w:rsid w:val="00625AB6"/>
    <w:rsid w:val="00633FAD"/>
    <w:rsid w:val="0064369C"/>
    <w:rsid w:val="0064388D"/>
    <w:rsid w:val="00646371"/>
    <w:rsid w:val="0066417D"/>
    <w:rsid w:val="006719F2"/>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6A51"/>
    <w:rsid w:val="007E7DC9"/>
    <w:rsid w:val="007F3845"/>
    <w:rsid w:val="00801D22"/>
    <w:rsid w:val="00803BE8"/>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432"/>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D4BF2"/>
    <w:rsid w:val="009E4152"/>
    <w:rsid w:val="00A12C9A"/>
    <w:rsid w:val="00A13BA5"/>
    <w:rsid w:val="00A21D98"/>
    <w:rsid w:val="00A25047"/>
    <w:rsid w:val="00A34765"/>
    <w:rsid w:val="00A43BCD"/>
    <w:rsid w:val="00A55A64"/>
    <w:rsid w:val="00A614FA"/>
    <w:rsid w:val="00A61E29"/>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B5054"/>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36C13"/>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 w:type="character" w:customStyle="1" w:styleId="1">
    <w:name w:val="未解決のメンション1"/>
    <w:basedOn w:val="DefaultParagraphFont"/>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0A12-6B12-43A5-A396-62653AD2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3477</Words>
  <Characters>19825</Characters>
  <Application>Microsoft Office Word</Application>
  <DocSecurity>0</DocSecurity>
  <Lines>165</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23256</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 CTPClassification=CTP_NT</cp:keywords>
  <dc:description/>
  <cp:lastModifiedBy>Zhang, Yujian</cp:lastModifiedBy>
  <cp:revision>4</cp:revision>
  <cp:lastPrinted>2008-02-01T09:09:00Z</cp:lastPrinted>
  <dcterms:created xsi:type="dcterms:W3CDTF">2020-06-10T14:24:00Z</dcterms:created>
  <dcterms:modified xsi:type="dcterms:W3CDTF">2020-06-10T14:42:00Z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NewReviewCycle">
    <vt:lpwstr/>
  </property>
  <property fmtid="{D5CDD505-2E9C-101B-9397-08002B2CF9AE}" pid="7" name="TitusGUID">
    <vt:lpwstr>1a29f7f0-921c-4e3c-9132-80bdfac3ba41</vt:lpwstr>
  </property>
  <property fmtid="{D5CDD505-2E9C-101B-9397-08002B2CF9AE}" pid="8" name="CTP_TimeStamp">
    <vt:lpwstr>2020-06-10 14:24:58Z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