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C4FE10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B37489">
        <w:rPr>
          <w:rFonts w:ascii="Arial" w:hAnsi="Arial" w:cs="Arial"/>
          <w:b/>
          <w:bCs/>
          <w:sz w:val="22"/>
        </w:rPr>
        <w:t>9</w:t>
      </w:r>
      <w:r w:rsidR="000E31F7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5C56EF" w:rsidRPr="005C56EF">
        <w:rPr>
          <w:rFonts w:ascii="Arial" w:hAnsi="Arial" w:cs="Arial"/>
          <w:b/>
          <w:bCs/>
          <w:sz w:val="22"/>
        </w:rPr>
        <w:t>R2-</w:t>
      </w:r>
      <w:r w:rsidR="00222B66">
        <w:rPr>
          <w:rFonts w:ascii="Arial" w:hAnsi="Arial" w:cs="Arial"/>
          <w:b/>
          <w:bCs/>
          <w:sz w:val="22"/>
        </w:rPr>
        <w:t>20</w:t>
      </w:r>
      <w:r w:rsidR="00950890">
        <w:rPr>
          <w:rFonts w:ascii="Arial" w:hAnsi="Arial" w:cs="Arial"/>
          <w:b/>
          <w:bCs/>
          <w:sz w:val="22"/>
        </w:rPr>
        <w:t>01110</w:t>
      </w:r>
    </w:p>
    <w:p w14:paraId="619B785A" w14:textId="331F43FD" w:rsidR="00463675" w:rsidRDefault="000E31F7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9867A3">
        <w:rPr>
          <w:rFonts w:ascii="Arial" w:hAnsi="Arial" w:cs="Arial"/>
          <w:b/>
          <w:bCs/>
          <w:sz w:val="22"/>
        </w:rPr>
        <w:t>24</w:t>
      </w:r>
      <w:r w:rsidRPr="000E31F7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6</w:t>
      </w:r>
      <w:r w:rsidRPr="000E31F7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Mar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9867A3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9A49E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973EE5">
        <w:rPr>
          <w:rFonts w:ascii="Arial" w:hAnsi="Arial" w:cs="Arial"/>
          <w:bCs/>
        </w:rPr>
        <w:t xml:space="preserve">throughput measurement in </w:t>
      </w:r>
      <w:r w:rsidR="009E0443">
        <w:rPr>
          <w:rFonts w:ascii="Arial" w:hAnsi="Arial" w:cs="Arial"/>
          <w:bCs/>
        </w:rPr>
        <w:t xml:space="preserve">DC based </w:t>
      </w:r>
      <w:r w:rsidR="00973EE5">
        <w:rPr>
          <w:rFonts w:ascii="Arial" w:hAnsi="Arial" w:cs="Arial"/>
          <w:bCs/>
        </w:rPr>
        <w:t>PDCP duplication scenario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711A9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73EE5">
        <w:rPr>
          <w:rFonts w:ascii="Arial" w:hAnsi="Arial" w:cs="Arial"/>
          <w:bCs/>
        </w:rPr>
        <w:t>6</w:t>
      </w:r>
    </w:p>
    <w:p w14:paraId="6AC83482" w14:textId="39F6540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73EE5" w:rsidRPr="00973EE5">
        <w:rPr>
          <w:rFonts w:ascii="Arial" w:hAnsi="Arial" w:cs="Arial"/>
          <w:bCs/>
        </w:rPr>
        <w:t>NR_SON_MDT-Core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867B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973EE5">
        <w:rPr>
          <w:rFonts w:ascii="Arial" w:hAnsi="Arial" w:cs="Arial"/>
          <w:bCs/>
        </w:rPr>
        <w:t>Ericsson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AA0310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6B39DB">
        <w:rPr>
          <w:rFonts w:ascii="Arial" w:hAnsi="Arial" w:cs="Arial"/>
          <w:bCs/>
        </w:rPr>
        <w:t>RAN</w:t>
      </w:r>
      <w:r w:rsidR="00973EE5">
        <w:rPr>
          <w:rFonts w:ascii="Arial" w:hAnsi="Arial" w:cs="Arial"/>
          <w:bCs/>
        </w:rPr>
        <w:t>3</w:t>
      </w:r>
      <w:r w:rsidR="00DC2FF4">
        <w:rPr>
          <w:rFonts w:ascii="Arial" w:hAnsi="Arial" w:cs="Arial"/>
          <w:bCs/>
        </w:rPr>
        <w:t>, SA5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DC38F57" w:rsidR="00463675" w:rsidRPr="00BA785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BA7857">
        <w:rPr>
          <w:rFonts w:cs="Arial"/>
          <w:lang w:val="fi-FI"/>
        </w:rPr>
        <w:t>Name:</w:t>
      </w:r>
      <w:r w:rsidRPr="00BA7857">
        <w:rPr>
          <w:rFonts w:cs="Arial"/>
          <w:b w:val="0"/>
          <w:bCs/>
          <w:lang w:val="fi-FI"/>
        </w:rPr>
        <w:tab/>
      </w:r>
      <w:r w:rsidR="00CA7B48" w:rsidRPr="00CA7B48">
        <w:rPr>
          <w:rFonts w:cs="Arial"/>
          <w:b w:val="0"/>
          <w:bCs/>
          <w:lang w:val="fi-FI"/>
        </w:rPr>
        <w:t>Pradeepa Ramachandra</w:t>
      </w:r>
    </w:p>
    <w:p w14:paraId="2748A78E" w14:textId="06178D72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</w:t>
      </w:r>
      <w:r w:rsidR="00CA7B48">
        <w:rPr>
          <w:rFonts w:cs="Arial"/>
          <w:lang w:val="fr-FR"/>
        </w:rPr>
        <w:t>d</w:t>
      </w:r>
      <w:r w:rsidRPr="00320C11">
        <w:rPr>
          <w:rFonts w:cs="Arial"/>
          <w:lang w:val="fr-FR"/>
        </w:rPr>
        <w:t>dress:</w:t>
      </w:r>
      <w:r w:rsidRPr="00320C11">
        <w:rPr>
          <w:rFonts w:cs="Arial"/>
          <w:b w:val="0"/>
          <w:bCs/>
          <w:lang w:val="fr-FR"/>
        </w:rPr>
        <w:tab/>
      </w:r>
      <w:r w:rsidR="00CA7B48">
        <w:rPr>
          <w:rFonts w:cs="Arial"/>
          <w:b w:val="0"/>
          <w:bCs/>
          <w:lang w:val="fr-FR"/>
        </w:rPr>
        <w:t>pradeepa.ramachandra@ericsson.com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C0357C" w14:textId="5061F2EE" w:rsidR="00436347" w:rsidRDefault="00436347" w:rsidP="003A7EF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part of immediate MDT throughput measurements, it has been agreed to use the throughput measurement performed at the RLC level. </w:t>
      </w:r>
      <w:r w:rsidRPr="00436347">
        <w:rPr>
          <w:rFonts w:ascii="Arial" w:hAnsi="Arial" w:cs="Arial"/>
          <w:bCs/>
        </w:rPr>
        <w:t>If an immediate MDT session associated to throughput measurement in both MCG and SCG is activated for a given UE by the OAM, then the M</w:t>
      </w:r>
      <w:r w:rsidR="002D715C">
        <w:rPr>
          <w:rFonts w:ascii="Arial" w:hAnsi="Arial" w:cs="Arial"/>
          <w:bCs/>
        </w:rPr>
        <w:t>N</w:t>
      </w:r>
      <w:r w:rsidRPr="00436347">
        <w:rPr>
          <w:rFonts w:ascii="Arial" w:hAnsi="Arial" w:cs="Arial"/>
          <w:bCs/>
        </w:rPr>
        <w:t xml:space="preserve"> and the S</w:t>
      </w:r>
      <w:r w:rsidR="002D715C">
        <w:rPr>
          <w:rFonts w:ascii="Arial" w:hAnsi="Arial" w:cs="Arial"/>
          <w:bCs/>
        </w:rPr>
        <w:t>N</w:t>
      </w:r>
      <w:r w:rsidRPr="00436347">
        <w:rPr>
          <w:rFonts w:ascii="Arial" w:hAnsi="Arial" w:cs="Arial"/>
          <w:bCs/>
        </w:rPr>
        <w:t xml:space="preserve"> sends the respective RLC throughput measurements to the TCE</w:t>
      </w:r>
      <w:r>
        <w:rPr>
          <w:rFonts w:ascii="Arial" w:hAnsi="Arial" w:cs="Arial"/>
          <w:bCs/>
        </w:rPr>
        <w:t>.</w:t>
      </w:r>
    </w:p>
    <w:p w14:paraId="7D9EC78D" w14:textId="035899BA" w:rsidR="00A27684" w:rsidRDefault="00436347" w:rsidP="003A7EF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the dual connectivity (DC) scenario, the </w:t>
      </w:r>
      <w:r w:rsidR="00143281">
        <w:rPr>
          <w:rFonts w:ascii="Arial" w:hAnsi="Arial" w:cs="Arial"/>
          <w:bCs/>
        </w:rPr>
        <w:t xml:space="preserve">DC based DL </w:t>
      </w:r>
      <w:r>
        <w:rPr>
          <w:rFonts w:ascii="Arial" w:hAnsi="Arial" w:cs="Arial"/>
          <w:bCs/>
        </w:rPr>
        <w:t xml:space="preserve">PDCP duplication can be performed in the split bearer scenario. </w:t>
      </w:r>
      <w:r w:rsidRPr="00436347">
        <w:rPr>
          <w:rFonts w:ascii="Arial" w:hAnsi="Arial" w:cs="Arial"/>
          <w:bCs/>
        </w:rPr>
        <w:t xml:space="preserve">If an immediate MDT session associated to throughput measurement in both MCG and SCG is activated for a given UE </w:t>
      </w:r>
      <w:r>
        <w:rPr>
          <w:rFonts w:ascii="Arial" w:hAnsi="Arial" w:cs="Arial"/>
          <w:bCs/>
        </w:rPr>
        <w:t xml:space="preserve">which is configured with </w:t>
      </w:r>
      <w:r w:rsidR="00826F78">
        <w:rPr>
          <w:rFonts w:ascii="Arial" w:hAnsi="Arial" w:cs="Arial"/>
          <w:bCs/>
        </w:rPr>
        <w:t xml:space="preserve">DC based </w:t>
      </w:r>
      <w:r w:rsidR="004C1A2B">
        <w:rPr>
          <w:rFonts w:ascii="Arial" w:hAnsi="Arial" w:cs="Arial"/>
          <w:bCs/>
        </w:rPr>
        <w:t xml:space="preserve">DL </w:t>
      </w:r>
      <w:r>
        <w:rPr>
          <w:rFonts w:ascii="Arial" w:hAnsi="Arial" w:cs="Arial"/>
          <w:bCs/>
        </w:rPr>
        <w:t>PDCP duplication</w:t>
      </w:r>
      <w:r w:rsidRPr="0043634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then the TCE is unaware of this duplication activation.</w:t>
      </w:r>
    </w:p>
    <w:p w14:paraId="39C7EF2B" w14:textId="0EF79C5E" w:rsidR="00436347" w:rsidRPr="00436347" w:rsidRDefault="00436347" w:rsidP="003A7EF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To enable TCE to be aware of the </w:t>
      </w:r>
      <w:r w:rsidR="002C63E6">
        <w:rPr>
          <w:rFonts w:ascii="Arial" w:hAnsi="Arial" w:cs="Arial"/>
          <w:bCs/>
        </w:rPr>
        <w:t xml:space="preserve">DC based DL </w:t>
      </w:r>
      <w:r>
        <w:rPr>
          <w:rFonts w:ascii="Arial" w:hAnsi="Arial" w:cs="Arial"/>
          <w:bCs/>
        </w:rPr>
        <w:t>PDCP duplication in the DC scenario</w:t>
      </w:r>
      <w:r w:rsidR="00D54455">
        <w:rPr>
          <w:rFonts w:ascii="Arial" w:hAnsi="Arial" w:cs="Arial"/>
          <w:bCs/>
        </w:rPr>
        <w:t xml:space="preserve"> for a UE configured with signalling based immediate MDT</w:t>
      </w:r>
      <w:r>
        <w:rPr>
          <w:rFonts w:ascii="Arial" w:hAnsi="Arial" w:cs="Arial"/>
          <w:bCs/>
        </w:rPr>
        <w:t xml:space="preserve">, the </w:t>
      </w:r>
      <w:r w:rsidR="003C79F2">
        <w:rPr>
          <w:rFonts w:ascii="Arial" w:hAnsi="Arial" w:cs="Arial"/>
          <w:bCs/>
        </w:rPr>
        <w:t xml:space="preserve">RAN node can send an indication to the </w:t>
      </w:r>
      <w:r w:rsidR="00753455">
        <w:rPr>
          <w:rFonts w:ascii="Arial" w:hAnsi="Arial" w:cs="Arial"/>
          <w:bCs/>
        </w:rPr>
        <w:t xml:space="preserve">TCE </w:t>
      </w:r>
      <w:r w:rsidR="00C21EFA">
        <w:rPr>
          <w:rFonts w:ascii="Arial" w:hAnsi="Arial" w:cs="Arial"/>
          <w:bCs/>
        </w:rPr>
        <w:t xml:space="preserve">about </w:t>
      </w:r>
      <w:r w:rsidR="006C26C4">
        <w:rPr>
          <w:rFonts w:ascii="Arial" w:hAnsi="Arial" w:cs="Arial"/>
          <w:bCs/>
        </w:rPr>
        <w:t>whether the</w:t>
      </w:r>
      <w:r w:rsidR="00C21EFA">
        <w:rPr>
          <w:rFonts w:ascii="Arial" w:hAnsi="Arial" w:cs="Arial"/>
          <w:bCs/>
        </w:rPr>
        <w:t xml:space="preserve"> DC based DL PDCP duplication</w:t>
      </w:r>
      <w:r w:rsidR="006C26C4">
        <w:rPr>
          <w:rFonts w:ascii="Arial" w:hAnsi="Arial" w:cs="Arial"/>
          <w:bCs/>
        </w:rPr>
        <w:t xml:space="preserve"> is enabled or not for the respective DRB</w:t>
      </w:r>
      <w:r w:rsidR="00D54455">
        <w:rPr>
          <w:rFonts w:ascii="Arial" w:hAnsi="Arial" w:cs="Arial"/>
          <w:bCs/>
        </w:rPr>
        <w:t>.</w:t>
      </w:r>
    </w:p>
    <w:p w14:paraId="4036F2DA" w14:textId="77777777" w:rsidR="00AA56E7" w:rsidRDefault="00AA56E7" w:rsidP="003A7EFB">
      <w:pPr>
        <w:spacing w:after="120"/>
        <w:rPr>
          <w:rFonts w:ascii="Arial" w:hAnsi="Arial" w:cs="Arial"/>
          <w:b/>
        </w:rPr>
      </w:pPr>
    </w:p>
    <w:p w14:paraId="27747B2B" w14:textId="5BEE701B" w:rsidR="00463675" w:rsidRDefault="00463675" w:rsidP="003A7E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3A7EFB">
        <w:rPr>
          <w:rFonts w:ascii="Arial" w:hAnsi="Arial" w:cs="Arial"/>
          <w:b/>
        </w:rPr>
        <w:t xml:space="preserve"> To </w:t>
      </w:r>
      <w:r w:rsidR="004F2C86">
        <w:rPr>
          <w:rFonts w:ascii="Arial" w:hAnsi="Arial" w:cs="Arial"/>
          <w:b/>
        </w:rPr>
        <w:t>RAN</w:t>
      </w:r>
      <w:r w:rsidR="006D74C2">
        <w:rPr>
          <w:rFonts w:ascii="Arial" w:hAnsi="Arial" w:cs="Arial"/>
          <w:b/>
        </w:rPr>
        <w:t>3</w:t>
      </w:r>
      <w:r w:rsidR="0063503D">
        <w:rPr>
          <w:rFonts w:ascii="Arial" w:hAnsi="Arial" w:cs="Arial"/>
          <w:b/>
        </w:rPr>
        <w:t>, SA5</w:t>
      </w:r>
      <w:r>
        <w:rPr>
          <w:rFonts w:ascii="Arial" w:hAnsi="Arial" w:cs="Arial"/>
          <w:b/>
        </w:rPr>
        <w:t>.</w:t>
      </w:r>
    </w:p>
    <w:p w14:paraId="5769BE1B" w14:textId="77777777" w:rsidR="00070B8E" w:rsidRDefault="00463675" w:rsidP="00E57BA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1BB3C70" w14:textId="1C43BF54" w:rsidR="00463675" w:rsidRDefault="00070B8E" w:rsidP="00E57BA2">
      <w:pPr>
        <w:spacing w:after="120"/>
        <w:ind w:left="993" w:hanging="993"/>
        <w:rPr>
          <w:rFonts w:ascii="Arial" w:hAnsi="Arial" w:cs="Arial"/>
        </w:rPr>
      </w:pPr>
      <w:r w:rsidRPr="00070B8E">
        <w:rPr>
          <w:rFonts w:ascii="Arial" w:hAnsi="Arial" w:cs="Arial"/>
          <w:bCs/>
        </w:rPr>
        <w:t>RAN2 kindly re</w:t>
      </w:r>
      <w:r>
        <w:rPr>
          <w:rFonts w:ascii="Arial" w:hAnsi="Arial" w:cs="Arial"/>
          <w:bCs/>
        </w:rPr>
        <w:t>quests RAN3</w:t>
      </w:r>
      <w:r w:rsidR="003A0D37">
        <w:rPr>
          <w:rFonts w:ascii="Arial" w:hAnsi="Arial" w:cs="Arial"/>
          <w:bCs/>
        </w:rPr>
        <w:t xml:space="preserve"> and SA5</w:t>
      </w:r>
      <w:r>
        <w:rPr>
          <w:rFonts w:ascii="Arial" w:hAnsi="Arial" w:cs="Arial"/>
          <w:bCs/>
        </w:rPr>
        <w:t xml:space="preserve"> to consider the above agreements in their work</w:t>
      </w:r>
      <w:r w:rsidR="00BB5BCF" w:rsidRPr="00894197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0E87DA" w14:textId="59A2E1B7" w:rsidR="00892B0D" w:rsidRPr="007C366A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C366A">
        <w:rPr>
          <w:rFonts w:ascii="Arial" w:hAnsi="Arial" w:cs="Arial"/>
          <w:bCs/>
          <w:lang w:val="en-US"/>
        </w:rPr>
        <w:t>3GPP RAN2#109bis</w:t>
      </w:r>
      <w:r w:rsidRPr="007C366A">
        <w:rPr>
          <w:rFonts w:ascii="Arial" w:hAnsi="Arial" w:cs="Arial"/>
          <w:bCs/>
          <w:lang w:val="en-US"/>
        </w:rPr>
        <w:tab/>
      </w:r>
      <w:r w:rsidRPr="007C366A">
        <w:rPr>
          <w:rFonts w:ascii="Arial" w:hAnsi="Arial" w:cs="Arial"/>
          <w:bCs/>
          <w:lang w:val="en-US"/>
        </w:rPr>
        <w:tab/>
      </w:r>
      <w:r w:rsidR="007C366A" w:rsidRPr="007C366A">
        <w:rPr>
          <w:rFonts w:ascii="Arial" w:hAnsi="Arial" w:cs="Arial"/>
          <w:bCs/>
          <w:lang w:val="en-US"/>
        </w:rPr>
        <w:t>20</w:t>
      </w:r>
      <w:r w:rsidR="00126CCE" w:rsidRPr="007C366A">
        <w:rPr>
          <w:rFonts w:ascii="Arial" w:hAnsi="Arial" w:cs="Arial"/>
          <w:bCs/>
          <w:lang w:val="en-US"/>
        </w:rPr>
        <w:t xml:space="preserve"> – 2</w:t>
      </w:r>
      <w:r w:rsidR="007C366A" w:rsidRPr="007C366A">
        <w:rPr>
          <w:rFonts w:ascii="Arial" w:hAnsi="Arial" w:cs="Arial"/>
          <w:bCs/>
          <w:lang w:val="en-US"/>
        </w:rPr>
        <w:t>4</w:t>
      </w:r>
      <w:r w:rsidR="00126CCE" w:rsidRPr="007C366A">
        <w:rPr>
          <w:rFonts w:ascii="Arial" w:hAnsi="Arial" w:cs="Arial"/>
          <w:bCs/>
          <w:lang w:val="en-US"/>
        </w:rPr>
        <w:t xml:space="preserve"> April 2020</w:t>
      </w:r>
      <w:r w:rsidR="00126CCE" w:rsidRPr="007C366A">
        <w:rPr>
          <w:rFonts w:ascii="Arial" w:hAnsi="Arial" w:cs="Arial"/>
          <w:bCs/>
          <w:lang w:val="en-US"/>
        </w:rPr>
        <w:tab/>
      </w:r>
      <w:r w:rsidR="00126CCE" w:rsidRPr="007C366A">
        <w:rPr>
          <w:rFonts w:ascii="Arial" w:hAnsi="Arial" w:cs="Arial"/>
          <w:bCs/>
          <w:lang w:val="en-US"/>
        </w:rPr>
        <w:tab/>
      </w:r>
      <w:r w:rsidR="00126CCE" w:rsidRPr="007C366A">
        <w:rPr>
          <w:rFonts w:ascii="Arial" w:hAnsi="Arial" w:cs="Arial"/>
          <w:bCs/>
          <w:lang w:val="en-US"/>
        </w:rPr>
        <w:tab/>
      </w:r>
      <w:r w:rsidR="007C366A" w:rsidRPr="007C366A">
        <w:rPr>
          <w:rFonts w:ascii="Arial" w:hAnsi="Arial" w:cs="Arial"/>
          <w:bCs/>
          <w:lang w:val="en-US"/>
        </w:rPr>
        <w:t xml:space="preserve">Sapporo, </w:t>
      </w:r>
      <w:r w:rsidR="00126CCE" w:rsidRPr="007C366A">
        <w:rPr>
          <w:rFonts w:ascii="Arial" w:hAnsi="Arial" w:cs="Arial"/>
          <w:bCs/>
          <w:lang w:val="en-US"/>
        </w:rPr>
        <w:t>Japan</w:t>
      </w:r>
    </w:p>
    <w:p w14:paraId="0DCC88FD" w14:textId="3AB37049" w:rsidR="007C366A" w:rsidRPr="007C366A" w:rsidRDefault="007C366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C366A">
        <w:rPr>
          <w:rFonts w:ascii="Arial" w:hAnsi="Arial" w:cs="Arial"/>
          <w:bCs/>
          <w:lang w:val="en-US"/>
        </w:rPr>
        <w:t>3GPP RAN2#110</w:t>
      </w:r>
      <w:r w:rsidRPr="007C366A">
        <w:rPr>
          <w:rFonts w:ascii="Arial" w:hAnsi="Arial" w:cs="Arial"/>
          <w:bCs/>
          <w:lang w:val="en-US"/>
        </w:rPr>
        <w:tab/>
      </w:r>
      <w:r w:rsidRPr="007C366A">
        <w:rPr>
          <w:rFonts w:ascii="Arial" w:hAnsi="Arial" w:cs="Arial"/>
          <w:bCs/>
          <w:lang w:val="en-US"/>
        </w:rPr>
        <w:tab/>
        <w:t>25 – 29 May 2020</w:t>
      </w:r>
      <w:r w:rsidRPr="007C366A">
        <w:rPr>
          <w:rFonts w:ascii="Arial" w:hAnsi="Arial" w:cs="Arial"/>
          <w:bCs/>
          <w:lang w:val="en-US"/>
        </w:rPr>
        <w:tab/>
      </w:r>
      <w:r w:rsidRPr="007C366A">
        <w:rPr>
          <w:rFonts w:ascii="Arial" w:hAnsi="Arial" w:cs="Arial"/>
          <w:bCs/>
          <w:lang w:val="en-US"/>
        </w:rPr>
        <w:tab/>
      </w:r>
      <w:r w:rsidRPr="007C366A">
        <w:rPr>
          <w:rFonts w:ascii="Arial" w:hAnsi="Arial" w:cs="Arial"/>
          <w:bCs/>
          <w:lang w:val="en-US"/>
        </w:rPr>
        <w:tab/>
      </w:r>
      <w:r w:rsidR="007E0034">
        <w:rPr>
          <w:rFonts w:ascii="Arial" w:hAnsi="Arial" w:cs="Arial"/>
          <w:bCs/>
          <w:lang w:val="en-US"/>
        </w:rPr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7E0034">
        <w:rPr>
          <w:rFonts w:ascii="Arial" w:hAnsi="Arial" w:cs="Arial"/>
          <w:bCs/>
          <w:lang w:val="en-US"/>
        </w:rPr>
        <w:t>Greece</w:t>
      </w:r>
    </w:p>
    <w:bookmarkEnd w:id="0"/>
    <w:p w14:paraId="1EBB9015" w14:textId="77777777" w:rsidR="009E0233" w:rsidRPr="007C366A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E0233" w:rsidRPr="007C36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EC84A" w14:textId="77777777" w:rsidR="00B52377" w:rsidRDefault="00B52377">
      <w:r>
        <w:separator/>
      </w:r>
    </w:p>
  </w:endnote>
  <w:endnote w:type="continuationSeparator" w:id="0">
    <w:p w14:paraId="31DFFADD" w14:textId="77777777" w:rsidR="00B52377" w:rsidRDefault="00B52377">
      <w:r>
        <w:continuationSeparator/>
      </w:r>
    </w:p>
  </w:endnote>
  <w:endnote w:type="continuationNotice" w:id="1">
    <w:p w14:paraId="54252BC9" w14:textId="77777777" w:rsidR="00B52377" w:rsidRDefault="00B523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B642C" w14:textId="77777777" w:rsidR="00B52377" w:rsidRDefault="00B52377">
      <w:r>
        <w:separator/>
      </w:r>
    </w:p>
  </w:footnote>
  <w:footnote w:type="continuationSeparator" w:id="0">
    <w:p w14:paraId="53DC2692" w14:textId="77777777" w:rsidR="00B52377" w:rsidRDefault="00B52377">
      <w:r>
        <w:continuationSeparator/>
      </w:r>
    </w:p>
  </w:footnote>
  <w:footnote w:type="continuationNotice" w:id="1">
    <w:p w14:paraId="57E2B653" w14:textId="77777777" w:rsidR="00B52377" w:rsidRDefault="00B523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13D2B"/>
    <w:rsid w:val="0003565A"/>
    <w:rsid w:val="0003719B"/>
    <w:rsid w:val="00045511"/>
    <w:rsid w:val="00045F31"/>
    <w:rsid w:val="00070B8E"/>
    <w:rsid w:val="00086D22"/>
    <w:rsid w:val="000D113A"/>
    <w:rsid w:val="000E31F7"/>
    <w:rsid w:val="000F12FD"/>
    <w:rsid w:val="001063EA"/>
    <w:rsid w:val="001138DD"/>
    <w:rsid w:val="00126CCE"/>
    <w:rsid w:val="00143281"/>
    <w:rsid w:val="001576BB"/>
    <w:rsid w:val="00163412"/>
    <w:rsid w:val="00177DA3"/>
    <w:rsid w:val="00193164"/>
    <w:rsid w:val="001A7080"/>
    <w:rsid w:val="001B008D"/>
    <w:rsid w:val="001D2108"/>
    <w:rsid w:val="00215097"/>
    <w:rsid w:val="00220708"/>
    <w:rsid w:val="00222A4F"/>
    <w:rsid w:val="00222B66"/>
    <w:rsid w:val="0024067D"/>
    <w:rsid w:val="00243E45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542F"/>
    <w:rsid w:val="002A6E4C"/>
    <w:rsid w:val="002C63E6"/>
    <w:rsid w:val="002D095E"/>
    <w:rsid w:val="002D715C"/>
    <w:rsid w:val="002D7EAD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2461"/>
    <w:rsid w:val="00353FB7"/>
    <w:rsid w:val="003632EE"/>
    <w:rsid w:val="00380437"/>
    <w:rsid w:val="003807F6"/>
    <w:rsid w:val="00385529"/>
    <w:rsid w:val="00390712"/>
    <w:rsid w:val="003945F8"/>
    <w:rsid w:val="003946BE"/>
    <w:rsid w:val="003A0D37"/>
    <w:rsid w:val="003A25E7"/>
    <w:rsid w:val="003A7EFB"/>
    <w:rsid w:val="003B117D"/>
    <w:rsid w:val="003C3065"/>
    <w:rsid w:val="003C44A3"/>
    <w:rsid w:val="003C79F2"/>
    <w:rsid w:val="003E0EE0"/>
    <w:rsid w:val="003F0A6A"/>
    <w:rsid w:val="004120BA"/>
    <w:rsid w:val="004147C2"/>
    <w:rsid w:val="00417F6D"/>
    <w:rsid w:val="00436347"/>
    <w:rsid w:val="00437F70"/>
    <w:rsid w:val="00452B0D"/>
    <w:rsid w:val="00463675"/>
    <w:rsid w:val="00496D50"/>
    <w:rsid w:val="004A03EC"/>
    <w:rsid w:val="004C1A2B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231CB"/>
    <w:rsid w:val="00557D6F"/>
    <w:rsid w:val="00591547"/>
    <w:rsid w:val="005921A6"/>
    <w:rsid w:val="00594DA5"/>
    <w:rsid w:val="005C373E"/>
    <w:rsid w:val="005C56EF"/>
    <w:rsid w:val="005C7689"/>
    <w:rsid w:val="005D1733"/>
    <w:rsid w:val="005D558D"/>
    <w:rsid w:val="005D5906"/>
    <w:rsid w:val="005E3A75"/>
    <w:rsid w:val="005E5DB4"/>
    <w:rsid w:val="005F1731"/>
    <w:rsid w:val="005F7506"/>
    <w:rsid w:val="005F7637"/>
    <w:rsid w:val="00620485"/>
    <w:rsid w:val="006249D2"/>
    <w:rsid w:val="00633743"/>
    <w:rsid w:val="0063503D"/>
    <w:rsid w:val="00642CAC"/>
    <w:rsid w:val="006431E6"/>
    <w:rsid w:val="00667F66"/>
    <w:rsid w:val="0067303B"/>
    <w:rsid w:val="006775AB"/>
    <w:rsid w:val="006A473B"/>
    <w:rsid w:val="006A6FB2"/>
    <w:rsid w:val="006B2129"/>
    <w:rsid w:val="006B39DB"/>
    <w:rsid w:val="006C26C4"/>
    <w:rsid w:val="006C42A5"/>
    <w:rsid w:val="006D1114"/>
    <w:rsid w:val="006D74C2"/>
    <w:rsid w:val="006E79C0"/>
    <w:rsid w:val="006F7688"/>
    <w:rsid w:val="00701A2B"/>
    <w:rsid w:val="007059EC"/>
    <w:rsid w:val="00717015"/>
    <w:rsid w:val="007261FF"/>
    <w:rsid w:val="0074730F"/>
    <w:rsid w:val="007518C5"/>
    <w:rsid w:val="00753455"/>
    <w:rsid w:val="007822EF"/>
    <w:rsid w:val="00787EAC"/>
    <w:rsid w:val="007A671D"/>
    <w:rsid w:val="007C366A"/>
    <w:rsid w:val="007E0034"/>
    <w:rsid w:val="00806E3A"/>
    <w:rsid w:val="00812046"/>
    <w:rsid w:val="00826F78"/>
    <w:rsid w:val="0084501F"/>
    <w:rsid w:val="00845F63"/>
    <w:rsid w:val="0084604E"/>
    <w:rsid w:val="00847D17"/>
    <w:rsid w:val="008612CD"/>
    <w:rsid w:val="0086432A"/>
    <w:rsid w:val="00865ED7"/>
    <w:rsid w:val="00876787"/>
    <w:rsid w:val="00881F64"/>
    <w:rsid w:val="008831D9"/>
    <w:rsid w:val="00883DB4"/>
    <w:rsid w:val="00892B0D"/>
    <w:rsid w:val="00894197"/>
    <w:rsid w:val="00896B2B"/>
    <w:rsid w:val="008D1B54"/>
    <w:rsid w:val="008F358E"/>
    <w:rsid w:val="008F581B"/>
    <w:rsid w:val="00907392"/>
    <w:rsid w:val="00916145"/>
    <w:rsid w:val="00923E7C"/>
    <w:rsid w:val="00941A45"/>
    <w:rsid w:val="00950890"/>
    <w:rsid w:val="00950DE4"/>
    <w:rsid w:val="009522C3"/>
    <w:rsid w:val="00952417"/>
    <w:rsid w:val="00955602"/>
    <w:rsid w:val="0096221E"/>
    <w:rsid w:val="00973EE5"/>
    <w:rsid w:val="009778A3"/>
    <w:rsid w:val="00984727"/>
    <w:rsid w:val="009867A3"/>
    <w:rsid w:val="009B2EB9"/>
    <w:rsid w:val="009B3743"/>
    <w:rsid w:val="009D594E"/>
    <w:rsid w:val="009D62E7"/>
    <w:rsid w:val="009E0233"/>
    <w:rsid w:val="009E0443"/>
    <w:rsid w:val="009E27E2"/>
    <w:rsid w:val="009E5C7E"/>
    <w:rsid w:val="00A1282E"/>
    <w:rsid w:val="00A12ABA"/>
    <w:rsid w:val="00A1443B"/>
    <w:rsid w:val="00A151A0"/>
    <w:rsid w:val="00A245CA"/>
    <w:rsid w:val="00A27684"/>
    <w:rsid w:val="00A3454C"/>
    <w:rsid w:val="00A40236"/>
    <w:rsid w:val="00A45BD7"/>
    <w:rsid w:val="00A56D45"/>
    <w:rsid w:val="00A6412A"/>
    <w:rsid w:val="00A64F79"/>
    <w:rsid w:val="00A8524C"/>
    <w:rsid w:val="00A87B43"/>
    <w:rsid w:val="00AA56E7"/>
    <w:rsid w:val="00AA637B"/>
    <w:rsid w:val="00AD35B0"/>
    <w:rsid w:val="00AE5661"/>
    <w:rsid w:val="00AF3FA4"/>
    <w:rsid w:val="00B218A7"/>
    <w:rsid w:val="00B255A7"/>
    <w:rsid w:val="00B33A9B"/>
    <w:rsid w:val="00B37489"/>
    <w:rsid w:val="00B52377"/>
    <w:rsid w:val="00B544D2"/>
    <w:rsid w:val="00B5648B"/>
    <w:rsid w:val="00B66CC7"/>
    <w:rsid w:val="00B70E77"/>
    <w:rsid w:val="00BA17C9"/>
    <w:rsid w:val="00BA7857"/>
    <w:rsid w:val="00BB01AC"/>
    <w:rsid w:val="00BB0CAD"/>
    <w:rsid w:val="00BB5BCF"/>
    <w:rsid w:val="00BC2519"/>
    <w:rsid w:val="00BD604A"/>
    <w:rsid w:val="00BD686C"/>
    <w:rsid w:val="00BE1F84"/>
    <w:rsid w:val="00BE7CC9"/>
    <w:rsid w:val="00BF32CE"/>
    <w:rsid w:val="00C021DE"/>
    <w:rsid w:val="00C0661A"/>
    <w:rsid w:val="00C21EFA"/>
    <w:rsid w:val="00C231ED"/>
    <w:rsid w:val="00C2354D"/>
    <w:rsid w:val="00C472C1"/>
    <w:rsid w:val="00C51C0C"/>
    <w:rsid w:val="00C52AEB"/>
    <w:rsid w:val="00C6598E"/>
    <w:rsid w:val="00C750D8"/>
    <w:rsid w:val="00CA0491"/>
    <w:rsid w:val="00CA1BE4"/>
    <w:rsid w:val="00CA7B48"/>
    <w:rsid w:val="00CB2DDF"/>
    <w:rsid w:val="00CE1C87"/>
    <w:rsid w:val="00CF3F9C"/>
    <w:rsid w:val="00D24338"/>
    <w:rsid w:val="00D36746"/>
    <w:rsid w:val="00D40BEF"/>
    <w:rsid w:val="00D42DF3"/>
    <w:rsid w:val="00D54455"/>
    <w:rsid w:val="00D65530"/>
    <w:rsid w:val="00D74A1C"/>
    <w:rsid w:val="00D75660"/>
    <w:rsid w:val="00D876BF"/>
    <w:rsid w:val="00DB1E59"/>
    <w:rsid w:val="00DC2FF4"/>
    <w:rsid w:val="00DC6C67"/>
    <w:rsid w:val="00DF7F04"/>
    <w:rsid w:val="00E14799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F11820"/>
    <w:rsid w:val="00F17587"/>
    <w:rsid w:val="00F20C7E"/>
    <w:rsid w:val="00F23FFC"/>
    <w:rsid w:val="00F32CDF"/>
    <w:rsid w:val="00F54C66"/>
    <w:rsid w:val="00FD3596"/>
    <w:rsid w:val="00FE7C70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table" w:styleId="TableGrid">
    <w:name w:val="Table Grid"/>
    <w:basedOn w:val="TableNormal"/>
    <w:uiPriority w:val="59"/>
    <w:rsid w:val="00864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86432A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2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C42A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42A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F29EC-E9D1-48E4-A03F-C64A6523F82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E113DE-BA4F-46AA-81DF-79CF71784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2BAB49-E7ED-46AD-9666-C1652517BA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2020-01-29T07:43:00Z</dcterms:created>
  <dcterms:modified xsi:type="dcterms:W3CDTF">2020-02-13T17:54:00Z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