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E8832" w14:textId="05E66C07" w:rsidR="00A91CA7" w:rsidRDefault="00A91CA7" w:rsidP="00A91CA7">
      <w:pPr>
        <w:tabs>
          <w:tab w:val="left" w:pos="1985"/>
        </w:tabs>
        <w:rPr>
          <w:rFonts w:ascii="Arial" w:hAnsi="Arial" w:cs="Arial"/>
          <w:b/>
          <w:sz w:val="24"/>
        </w:rPr>
      </w:pPr>
      <w:r>
        <w:rPr>
          <w:rFonts w:ascii="Arial" w:hAnsi="Arial" w:cs="Arial"/>
          <w:b/>
          <w:sz w:val="24"/>
        </w:rPr>
        <w:t>3GPP TSG RAN WG2 Meeting #10</w:t>
      </w:r>
      <w:r w:rsidR="006D313B">
        <w:rPr>
          <w:rFonts w:ascii="Arial" w:hAnsi="Arial" w:cs="Arial"/>
          <w:b/>
          <w:sz w:val="24"/>
        </w:rPr>
        <w:t>9</w:t>
      </w:r>
      <w:r w:rsidR="001061AF">
        <w:rPr>
          <w:rFonts w:ascii="Arial" w:hAnsi="Arial" w:cs="Arial"/>
          <w:b/>
          <w:sz w:val="24"/>
        </w:rPr>
        <w:t>-</w:t>
      </w:r>
      <w:r w:rsidR="00014C6D">
        <w:rPr>
          <w:rFonts w:ascii="Arial" w:hAnsi="Arial" w:cs="Arial"/>
          <w:b/>
          <w:sz w:val="24"/>
        </w:rPr>
        <w:t>e</w:t>
      </w:r>
      <w:r>
        <w:rPr>
          <w:rFonts w:ascii="Arial" w:hAnsi="Arial" w:cs="Arial"/>
          <w:b/>
          <w:sz w:val="24"/>
        </w:rPr>
        <w:t xml:space="preserve">     </w:t>
      </w:r>
      <w:r>
        <w:rPr>
          <w:rFonts w:ascii="Arial" w:hAnsi="Arial" w:cs="Arial"/>
          <w:b/>
          <w:sz w:val="24"/>
        </w:rPr>
        <w:tab/>
        <w:t xml:space="preserve">                       </w:t>
      </w:r>
      <w:r w:rsidR="006D313B">
        <w:rPr>
          <w:rFonts w:ascii="Arial" w:hAnsi="Arial" w:cs="Arial"/>
          <w:b/>
          <w:sz w:val="24"/>
        </w:rPr>
        <w:t xml:space="preserve">                     </w:t>
      </w:r>
      <w:r w:rsidR="00B07CB2">
        <w:rPr>
          <w:rFonts w:ascii="Arial" w:hAnsi="Arial" w:cs="Arial"/>
          <w:b/>
          <w:sz w:val="24"/>
        </w:rPr>
        <w:t xml:space="preserve">          </w:t>
      </w:r>
      <w:r w:rsidR="00667135" w:rsidRPr="00667135">
        <w:rPr>
          <w:rFonts w:ascii="Arial" w:hAnsi="Arial" w:cs="Arial"/>
          <w:b/>
          <w:sz w:val="24"/>
        </w:rPr>
        <w:t>R2-</w:t>
      </w:r>
      <w:r w:rsidR="00B07CB2" w:rsidRPr="00B07CB2">
        <w:t xml:space="preserve"> </w:t>
      </w:r>
      <w:r w:rsidR="00B07CB2" w:rsidRPr="00B07CB2">
        <w:rPr>
          <w:rFonts w:ascii="Arial" w:hAnsi="Arial" w:cs="Arial"/>
          <w:b/>
          <w:sz w:val="24"/>
        </w:rPr>
        <w:t>2000991</w:t>
      </w:r>
      <w:r>
        <w:rPr>
          <w:rFonts w:ascii="Arial" w:hAnsi="Arial" w:cs="Arial"/>
          <w:b/>
          <w:sz w:val="24"/>
        </w:rPr>
        <w:br/>
      </w:r>
      <w:r w:rsidR="00F0739E">
        <w:rPr>
          <w:rFonts w:ascii="Arial" w:hAnsi="Arial" w:cs="Arial"/>
          <w:b/>
          <w:sz w:val="24"/>
        </w:rPr>
        <w:t xml:space="preserve">Online, </w:t>
      </w:r>
      <w:r w:rsidR="006D313B">
        <w:rPr>
          <w:rFonts w:ascii="Arial" w:hAnsi="Arial" w:cs="Arial"/>
          <w:b/>
          <w:sz w:val="24"/>
        </w:rPr>
        <w:t>24 February</w:t>
      </w:r>
      <w:r w:rsidR="00AF1B78">
        <w:rPr>
          <w:rFonts w:ascii="Arial" w:hAnsi="Arial" w:cs="Arial"/>
          <w:b/>
          <w:sz w:val="24"/>
        </w:rPr>
        <w:t xml:space="preserve"> </w:t>
      </w:r>
      <w:r>
        <w:rPr>
          <w:rFonts w:ascii="Arial" w:hAnsi="Arial" w:cs="Arial"/>
          <w:b/>
          <w:sz w:val="24"/>
        </w:rPr>
        <w:t>–</w:t>
      </w:r>
      <w:r w:rsidR="006D313B">
        <w:rPr>
          <w:rFonts w:ascii="Arial" w:hAnsi="Arial" w:cs="Arial"/>
          <w:b/>
          <w:sz w:val="24"/>
        </w:rPr>
        <w:t>6</w:t>
      </w:r>
      <w:r w:rsidR="00C15F4E">
        <w:rPr>
          <w:rFonts w:ascii="Arial" w:hAnsi="Arial" w:cs="Arial"/>
          <w:b/>
          <w:sz w:val="24"/>
        </w:rPr>
        <w:t xml:space="preserve"> </w:t>
      </w:r>
      <w:r w:rsidR="006D313B">
        <w:rPr>
          <w:rFonts w:ascii="Arial" w:hAnsi="Arial" w:cs="Arial"/>
          <w:b/>
          <w:sz w:val="24"/>
        </w:rPr>
        <w:t>March</w:t>
      </w:r>
      <w:r w:rsidRPr="00AE00B7">
        <w:rPr>
          <w:rFonts w:ascii="Arial" w:hAnsi="Arial" w:cs="Arial"/>
          <w:b/>
          <w:sz w:val="24"/>
        </w:rPr>
        <w:t xml:space="preserve"> 20</w:t>
      </w:r>
      <w:r w:rsidR="006D313B">
        <w:rPr>
          <w:rFonts w:ascii="Arial" w:hAnsi="Arial" w:cs="Arial"/>
          <w:b/>
          <w:sz w:val="24"/>
        </w:rPr>
        <w:t>20</w:t>
      </w:r>
      <w:r w:rsidR="00D71888">
        <w:rPr>
          <w:rFonts w:ascii="Arial" w:hAnsi="Arial" w:cs="Arial"/>
          <w:b/>
          <w:sz w:val="24"/>
        </w:rPr>
        <w:tab/>
      </w:r>
      <w:r w:rsidR="00D71888">
        <w:rPr>
          <w:rFonts w:ascii="Arial" w:hAnsi="Arial" w:cs="Arial"/>
          <w:b/>
          <w:sz w:val="24"/>
        </w:rPr>
        <w:tab/>
      </w:r>
      <w:r w:rsidR="00D71888">
        <w:rPr>
          <w:rFonts w:ascii="Arial" w:hAnsi="Arial" w:cs="Arial"/>
          <w:b/>
          <w:sz w:val="24"/>
        </w:rPr>
        <w:tab/>
        <w:t xml:space="preserve">    </w:t>
      </w:r>
      <w:r w:rsidR="00C15F4E">
        <w:rPr>
          <w:rFonts w:ascii="Arial" w:hAnsi="Arial" w:cs="Arial"/>
          <w:b/>
          <w:sz w:val="24"/>
        </w:rPr>
        <w:tab/>
      </w:r>
      <w:r w:rsidR="00C15F4E">
        <w:rPr>
          <w:rFonts w:ascii="Arial" w:hAnsi="Arial" w:cs="Arial"/>
          <w:b/>
          <w:sz w:val="24"/>
        </w:rPr>
        <w:tab/>
        <w:t xml:space="preserve">        </w:t>
      </w:r>
    </w:p>
    <w:p w14:paraId="66EBE6D0" w14:textId="77777777" w:rsidR="00A91CA7" w:rsidRPr="00D71888" w:rsidRDefault="00A91CA7" w:rsidP="00A91CA7">
      <w:pPr>
        <w:spacing w:after="0"/>
        <w:ind w:left="1988" w:hanging="1988"/>
        <w:rPr>
          <w:rFonts w:ascii="Arial" w:hAnsi="Arial" w:cs="Arial"/>
          <w:b/>
          <w:sz w:val="22"/>
        </w:rPr>
      </w:pPr>
    </w:p>
    <w:p w14:paraId="0302B520" w14:textId="178CA3BE"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F39C1">
        <w:rPr>
          <w:rFonts w:ascii="Arial" w:hAnsi="Arial" w:cs="Arial"/>
          <w:b/>
          <w:sz w:val="24"/>
          <w:lang w:val="en-US"/>
        </w:rPr>
        <w:t>6</w:t>
      </w:r>
      <w:r w:rsidRPr="00543352">
        <w:rPr>
          <w:rFonts w:ascii="Arial" w:hAnsi="Arial" w:cs="Arial"/>
          <w:b/>
          <w:sz w:val="24"/>
          <w:lang w:val="en-US"/>
        </w:rPr>
        <w:t>.</w:t>
      </w:r>
      <w:r>
        <w:rPr>
          <w:rFonts w:ascii="Arial" w:hAnsi="Arial" w:cs="Arial"/>
          <w:b/>
          <w:sz w:val="24"/>
          <w:lang w:val="en-US"/>
        </w:rPr>
        <w:t>8.</w:t>
      </w:r>
      <w:r w:rsidR="006311C9">
        <w:rPr>
          <w:rFonts w:ascii="Arial" w:hAnsi="Arial" w:cs="Arial"/>
          <w:b/>
          <w:sz w:val="24"/>
          <w:lang w:val="en-US"/>
        </w:rPr>
        <w:t>2.</w:t>
      </w:r>
      <w:r w:rsidR="001061AF">
        <w:rPr>
          <w:rFonts w:ascii="Arial" w:hAnsi="Arial" w:cs="Arial"/>
          <w:b/>
          <w:sz w:val="24"/>
          <w:lang w:val="en-US"/>
        </w:rPr>
        <w:t>3</w:t>
      </w:r>
    </w:p>
    <w:p w14:paraId="19EB2DE5" w14:textId="7777777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6E4C768B" w14:textId="16362316"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6D313B">
        <w:rPr>
          <w:rFonts w:ascii="Arial" w:hAnsi="Arial" w:cs="Arial"/>
          <w:b/>
          <w:sz w:val="24"/>
          <w:lang w:val="en-US"/>
        </w:rPr>
        <w:t>SSB Configuration for UL-PRS and DL-PRS</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7477CD0B" w14:textId="110C788A" w:rsidR="00A91CA7" w:rsidRDefault="00BF3D10" w:rsidP="00A91CA7">
      <w:pPr>
        <w:pStyle w:val="3GPPText"/>
        <w:spacing w:before="0" w:after="0"/>
      </w:pPr>
      <w:r>
        <w:t>T</w:t>
      </w:r>
      <w:r w:rsidR="00A91CA7">
        <w:t xml:space="preserve">his contribution </w:t>
      </w:r>
      <w:r w:rsidR="008B2E73">
        <w:t xml:space="preserve">provides a discussion </w:t>
      </w:r>
      <w:r w:rsidR="005F268A">
        <w:t>o</w:t>
      </w:r>
      <w:r w:rsidR="00C25A5C">
        <w:t>n</w:t>
      </w:r>
      <w:r w:rsidR="005F268A">
        <w:t xml:space="preserve"> the</w:t>
      </w:r>
      <w:r>
        <w:t xml:space="preserve"> </w:t>
      </w:r>
      <w:r w:rsidR="00A63325">
        <w:t xml:space="preserve">signaling </w:t>
      </w:r>
      <w:r>
        <w:t>design</w:t>
      </w:r>
      <w:r w:rsidR="006D313B">
        <w:t xml:space="preserve"> issue</w:t>
      </w:r>
      <w:r>
        <w:t xml:space="preserve"> </w:t>
      </w:r>
      <w:r w:rsidR="00753086">
        <w:t>related to the</w:t>
      </w:r>
      <w:r w:rsidR="00C25A5C">
        <w:t xml:space="preserve"> </w:t>
      </w:r>
      <w:r w:rsidR="006D313B">
        <w:t>duplicated SSB configuration</w:t>
      </w:r>
      <w:r w:rsidR="00A63325">
        <w:t xml:space="preserve"> </w:t>
      </w:r>
      <w:r w:rsidR="006D313B">
        <w:t>for the UL-PRS and DL-PRS configurations</w:t>
      </w:r>
      <w:r w:rsidR="00A91CA7">
        <w:t xml:space="preserve">. </w:t>
      </w:r>
      <w:r w:rsidR="006D313B">
        <w:t>D</w:t>
      </w:r>
      <w:r w:rsidR="00C310CA">
        <w:t>uring RAN2#10</w:t>
      </w:r>
      <w:r w:rsidR="003159D4">
        <w:t>8</w:t>
      </w:r>
      <w:r w:rsidR="00BF63A2">
        <w:t xml:space="preserve"> [</w:t>
      </w:r>
      <w:r w:rsidR="006D313B">
        <w:t>1</w:t>
      </w:r>
      <w:r w:rsidR="00BF63A2">
        <w:t>]</w:t>
      </w:r>
      <w:r w:rsidR="00C310CA">
        <w:t xml:space="preserve">, the following agreements were made </w:t>
      </w:r>
      <w:r w:rsidR="003159D4">
        <w:t xml:space="preserve">related to the </w:t>
      </w:r>
      <w:r w:rsidR="001061AF">
        <w:t>support of RAT-dependent positioning</w:t>
      </w:r>
      <w:r w:rsidR="00C310CA">
        <w:t>.</w:t>
      </w:r>
    </w:p>
    <w:p w14:paraId="7707BA60" w14:textId="77777777" w:rsidR="00BF63A2" w:rsidRDefault="00BF63A2" w:rsidP="00A91CA7">
      <w:pPr>
        <w:pStyle w:val="3GPPText"/>
        <w:spacing w:before="0" w:after="0"/>
      </w:pPr>
    </w:p>
    <w:tbl>
      <w:tblPr>
        <w:tblStyle w:val="TableGrid"/>
        <w:tblW w:w="0" w:type="auto"/>
        <w:tblLook w:val="04A0" w:firstRow="1" w:lastRow="0" w:firstColumn="1" w:lastColumn="0" w:noHBand="0" w:noVBand="1"/>
      </w:tblPr>
      <w:tblGrid>
        <w:gridCol w:w="9962"/>
      </w:tblGrid>
      <w:tr w:rsidR="00354D45" w14:paraId="585A63CF" w14:textId="77777777" w:rsidTr="00354D45">
        <w:tc>
          <w:tcPr>
            <w:tcW w:w="9962" w:type="dxa"/>
          </w:tcPr>
          <w:p w14:paraId="5D012E38" w14:textId="77777777" w:rsidR="001061AF" w:rsidRPr="001061AF" w:rsidRDefault="001061AF" w:rsidP="001061AF">
            <w:pPr>
              <w:pStyle w:val="3GPPText"/>
              <w:spacing w:after="0"/>
              <w:rPr>
                <w:rFonts w:ascii="Arial" w:hAnsi="Arial" w:cs="Arial"/>
                <w:b/>
                <w:lang w:val="en-GB"/>
              </w:rPr>
            </w:pPr>
            <w:r w:rsidRPr="001061AF">
              <w:rPr>
                <w:rFonts w:ascii="Arial" w:hAnsi="Arial" w:cs="Arial"/>
                <w:b/>
                <w:lang w:val="en-GB"/>
              </w:rPr>
              <w:t>RAN2#108 Agreements</w:t>
            </w:r>
          </w:p>
          <w:p w14:paraId="1157130E" w14:textId="3C5BF604" w:rsidR="001061AF" w:rsidRPr="001061AF" w:rsidRDefault="001061AF" w:rsidP="001061AF">
            <w:pPr>
              <w:pStyle w:val="3GPPText"/>
              <w:spacing w:after="0"/>
              <w:rPr>
                <w:rFonts w:ascii="Arial" w:hAnsi="Arial" w:cs="Arial"/>
                <w:lang w:val="en-GB"/>
              </w:rPr>
            </w:pPr>
            <w:r>
              <w:rPr>
                <w:rFonts w:ascii="Arial" w:hAnsi="Arial" w:cs="Arial"/>
                <w:lang w:val="en-GB"/>
              </w:rPr>
              <w:t xml:space="preserve">1. </w:t>
            </w:r>
            <w:r w:rsidRPr="001061AF">
              <w:rPr>
                <w:rFonts w:ascii="Arial" w:hAnsi="Arial" w:cs="Arial"/>
                <w:lang w:val="en-GB"/>
              </w:rPr>
              <w:t>For Multi-RTT positioning, the DL-PRS information for the candidate TRPs are provided by an LMF to the UE in an LPP Provide Assistance Data message.</w:t>
            </w:r>
          </w:p>
          <w:p w14:paraId="5482CB76" w14:textId="408E7F8A" w:rsidR="001061AF" w:rsidRPr="001061AF" w:rsidRDefault="001061AF" w:rsidP="001061AF">
            <w:pPr>
              <w:pStyle w:val="3GPPText"/>
              <w:spacing w:after="0"/>
              <w:rPr>
                <w:rFonts w:ascii="Arial" w:hAnsi="Arial" w:cs="Arial"/>
                <w:lang w:val="en-GB"/>
              </w:rPr>
            </w:pPr>
            <w:r>
              <w:rPr>
                <w:rFonts w:ascii="Arial" w:hAnsi="Arial" w:cs="Arial"/>
                <w:lang w:val="en-GB"/>
              </w:rPr>
              <w:t xml:space="preserve">2. </w:t>
            </w:r>
            <w:r w:rsidRPr="001061AF">
              <w:rPr>
                <w:rFonts w:ascii="Arial" w:hAnsi="Arial" w:cs="Arial"/>
                <w:lang w:val="en-GB"/>
              </w:rPr>
              <w:t>The time/frequency occupancy of the DL-PRS required in the UL-PRS (SRS) information is provided as part of the DL-PRS assistance data for Multi-RTT positioning. UL-PRS (SRS) information includes an index/pointer to the relevant information in the DL-PRS assistance data (e.g., DL-PRS Resource Set ID/Resource ID).</w:t>
            </w:r>
          </w:p>
          <w:p w14:paraId="38C463BB" w14:textId="15092464" w:rsidR="001061AF" w:rsidRPr="001061AF" w:rsidRDefault="001061AF" w:rsidP="001061AF">
            <w:pPr>
              <w:pStyle w:val="3GPPText"/>
              <w:spacing w:after="0"/>
              <w:rPr>
                <w:rFonts w:ascii="Arial" w:hAnsi="Arial" w:cs="Arial"/>
                <w:lang w:val="en-GB"/>
              </w:rPr>
            </w:pPr>
            <w:r>
              <w:rPr>
                <w:rFonts w:ascii="Arial" w:hAnsi="Arial" w:cs="Arial"/>
                <w:lang w:val="en-GB"/>
              </w:rPr>
              <w:t xml:space="preserve">3. </w:t>
            </w:r>
            <w:r w:rsidRPr="001061AF">
              <w:rPr>
                <w:rFonts w:ascii="Arial" w:hAnsi="Arial" w:cs="Arial"/>
                <w:lang w:val="en-GB"/>
              </w:rPr>
              <w:t>The time/frequency occupancy of the SSBs required in both, DL-PRS and UL-PRS is grouped in a single IE, and a pointer/index is used to reference the required information.</w:t>
            </w:r>
          </w:p>
          <w:p w14:paraId="6132CC0E" w14:textId="31207A0F" w:rsidR="001061AF" w:rsidRPr="001061AF" w:rsidRDefault="001061AF" w:rsidP="001061AF">
            <w:pPr>
              <w:pStyle w:val="3GPPText"/>
              <w:spacing w:after="0"/>
              <w:rPr>
                <w:rFonts w:ascii="Arial" w:hAnsi="Arial" w:cs="Arial"/>
                <w:lang w:val="en-GB"/>
              </w:rPr>
            </w:pPr>
            <w:r>
              <w:rPr>
                <w:rFonts w:ascii="Arial" w:hAnsi="Arial" w:cs="Arial"/>
                <w:lang w:val="en-GB"/>
              </w:rPr>
              <w:t xml:space="preserve">4. </w:t>
            </w:r>
            <w:r w:rsidRPr="001061AF">
              <w:rPr>
                <w:rFonts w:ascii="Arial" w:hAnsi="Arial" w:cs="Arial"/>
                <w:lang w:val="en-GB"/>
              </w:rPr>
              <w:t>UL-SRS (both Rel-15 and Rel-16) for positioning is configured by RRC.</w:t>
            </w:r>
          </w:p>
          <w:p w14:paraId="3A9DF204" w14:textId="3ECD93B6" w:rsidR="00354D45" w:rsidRDefault="001061AF" w:rsidP="001061AF">
            <w:pPr>
              <w:pStyle w:val="3GPPText"/>
              <w:spacing w:before="0" w:after="0"/>
              <w:rPr>
                <w:lang w:val="en-GB"/>
              </w:rPr>
            </w:pPr>
            <w:r w:rsidRPr="005F3857">
              <w:rPr>
                <w:rFonts w:ascii="Arial" w:hAnsi="Arial" w:cs="Arial"/>
                <w:highlight w:val="yellow"/>
                <w:lang w:val="en-GB"/>
              </w:rPr>
              <w:t>5. FFS if we take steps to reduce the duplicate configuration between RRC and LPP for methods involving both DL and UL measurements.</w:t>
            </w:r>
          </w:p>
        </w:tc>
      </w:tr>
    </w:tbl>
    <w:p w14:paraId="564C94BC" w14:textId="77777777" w:rsidR="00C310CA" w:rsidRPr="006D313B" w:rsidRDefault="00C310CA" w:rsidP="00A91CA7">
      <w:pPr>
        <w:pStyle w:val="3GPPText"/>
        <w:spacing w:before="0" w:after="0"/>
        <w:rPr>
          <w:lang w:val="en-GB"/>
        </w:rPr>
      </w:pPr>
    </w:p>
    <w:p w14:paraId="5E9658DB" w14:textId="1C7016E6" w:rsidR="00BE43A1" w:rsidRDefault="00DE084E" w:rsidP="00A91CA7">
      <w:pPr>
        <w:pStyle w:val="3GPPH1"/>
        <w:tabs>
          <w:tab w:val="clear" w:pos="425"/>
          <w:tab w:val="num" w:pos="426"/>
        </w:tabs>
      </w:pPr>
      <w:r>
        <w:t>Duplicated SSB Configurations</w:t>
      </w:r>
    </w:p>
    <w:p w14:paraId="01467696" w14:textId="69364EEA" w:rsidR="005F268A" w:rsidRPr="005F268A" w:rsidRDefault="00753086" w:rsidP="005F268A">
      <w:pPr>
        <w:pStyle w:val="3GPPText"/>
        <w:rPr>
          <w:lang w:val="en-GB"/>
        </w:rPr>
      </w:pPr>
      <w:r>
        <w:rPr>
          <w:lang w:val="en-GB"/>
        </w:rPr>
        <w:t>A notable outcome f</w:t>
      </w:r>
      <w:r w:rsidR="005F268A">
        <w:rPr>
          <w:lang w:val="en-GB"/>
        </w:rPr>
        <w:t>ollowing the agreements in [1], to provide the DL-PRS configuration via LPP and UL-PRS configuration via RRC signalling, is that</w:t>
      </w:r>
      <w:r w:rsidR="00E24EB5">
        <w:rPr>
          <w:lang w:val="en-GB"/>
        </w:rPr>
        <w:t xml:space="preserve"> the UE may receive a duplicated SSB configuration via both LPP a</w:t>
      </w:r>
      <w:r w:rsidR="004F0EEC">
        <w:rPr>
          <w:lang w:val="en-GB"/>
        </w:rPr>
        <w:t>n</w:t>
      </w:r>
      <w:r w:rsidR="00E24EB5">
        <w:rPr>
          <w:lang w:val="en-GB"/>
        </w:rPr>
        <w:t xml:space="preserve">d RRC signalling </w:t>
      </w:r>
      <w:r w:rsidR="009756F4">
        <w:rPr>
          <w:lang w:val="en-GB"/>
        </w:rPr>
        <w:t xml:space="preserve">delivery </w:t>
      </w:r>
      <w:r w:rsidR="00E24EB5">
        <w:rPr>
          <w:lang w:val="en-GB"/>
        </w:rPr>
        <w:t>mechanisms</w:t>
      </w:r>
      <w:r w:rsidR="00CA27C3">
        <w:rPr>
          <w:lang w:val="en-GB"/>
        </w:rPr>
        <w:t xml:space="preserve"> for</w:t>
      </w:r>
      <w:r w:rsidR="00694A0D">
        <w:rPr>
          <w:lang w:val="en-GB"/>
        </w:rPr>
        <w:t xml:space="preserve"> both </w:t>
      </w:r>
      <w:r w:rsidR="00CA27C3">
        <w:rPr>
          <w:lang w:val="en-GB"/>
        </w:rPr>
        <w:t>DL and UL measurements</w:t>
      </w:r>
      <w:r w:rsidR="00E24EB5">
        <w:rPr>
          <w:lang w:val="en-GB"/>
        </w:rPr>
        <w:t>.</w:t>
      </w:r>
      <w:r>
        <w:rPr>
          <w:lang w:val="en-GB"/>
        </w:rPr>
        <w:t xml:space="preserve"> </w:t>
      </w:r>
      <w:r w:rsidR="005F268A">
        <w:rPr>
          <w:lang w:val="en-GB"/>
        </w:rPr>
        <w:t xml:space="preserve"> </w:t>
      </w:r>
    </w:p>
    <w:p w14:paraId="66E52F0C" w14:textId="216E5E9B" w:rsidR="001A641D" w:rsidRDefault="00C8018B" w:rsidP="008E098F">
      <w:pPr>
        <w:pStyle w:val="Heading2"/>
      </w:pPr>
      <w:r>
        <w:t>UL-PRS and DL-PRS SSB Configurations</w:t>
      </w:r>
    </w:p>
    <w:p w14:paraId="06D54975" w14:textId="69812133" w:rsidR="00621B06" w:rsidRPr="008E098F" w:rsidRDefault="005501F8" w:rsidP="008E098F">
      <w:pPr>
        <w:rPr>
          <w:sz w:val="22"/>
          <w:szCs w:val="22"/>
        </w:rPr>
      </w:pPr>
      <w:r>
        <w:rPr>
          <w:sz w:val="22"/>
          <w:szCs w:val="22"/>
        </w:rPr>
        <w:t>Table</w:t>
      </w:r>
      <w:r w:rsidR="008E098F">
        <w:rPr>
          <w:sz w:val="22"/>
          <w:szCs w:val="22"/>
        </w:rPr>
        <w:t xml:space="preserve"> 1 represent</w:t>
      </w:r>
      <w:r w:rsidR="003159D4">
        <w:rPr>
          <w:sz w:val="22"/>
          <w:szCs w:val="22"/>
        </w:rPr>
        <w:t>s</w:t>
      </w:r>
      <w:r w:rsidR="008E098F">
        <w:rPr>
          <w:sz w:val="22"/>
          <w:szCs w:val="22"/>
        </w:rPr>
        <w:t xml:space="preserve"> the </w:t>
      </w:r>
      <w:r w:rsidR="003159D4">
        <w:rPr>
          <w:sz w:val="22"/>
          <w:szCs w:val="22"/>
        </w:rPr>
        <w:t>SSB parameters required</w:t>
      </w:r>
      <w:r w:rsidR="00BE1D13">
        <w:rPr>
          <w:sz w:val="22"/>
          <w:szCs w:val="22"/>
        </w:rPr>
        <w:t xml:space="preserve"> by the UE</w:t>
      </w:r>
      <w:r w:rsidR="003159D4">
        <w:rPr>
          <w:sz w:val="22"/>
          <w:szCs w:val="22"/>
        </w:rPr>
        <w:t xml:space="preserve"> </w:t>
      </w:r>
      <w:r w:rsidR="00517BEE">
        <w:rPr>
          <w:sz w:val="22"/>
          <w:szCs w:val="22"/>
        </w:rPr>
        <w:t>for both the</w:t>
      </w:r>
      <w:r w:rsidR="003159D4">
        <w:rPr>
          <w:sz w:val="22"/>
          <w:szCs w:val="22"/>
        </w:rPr>
        <w:t xml:space="preserve"> UL-PRS and DL-PRS configurations</w:t>
      </w:r>
      <w:r w:rsidR="00324EFB">
        <w:rPr>
          <w:sz w:val="22"/>
          <w:szCs w:val="22"/>
        </w:rPr>
        <w:t xml:space="preserve"> as specified by RAN1 [</w:t>
      </w:r>
      <w:r w:rsidR="00C8018B">
        <w:rPr>
          <w:sz w:val="22"/>
          <w:szCs w:val="22"/>
        </w:rPr>
        <w:t>2</w:t>
      </w:r>
      <w:r w:rsidR="00324EFB">
        <w:rPr>
          <w:sz w:val="22"/>
          <w:szCs w:val="22"/>
        </w:rPr>
        <w:t>]</w:t>
      </w:r>
      <w:r w:rsidR="008E098F">
        <w:rPr>
          <w:sz w:val="22"/>
          <w:szCs w:val="22"/>
        </w:rPr>
        <w:t xml:space="preserve">. </w:t>
      </w:r>
    </w:p>
    <w:p w14:paraId="0B9C49CB" w14:textId="5A2CAD83" w:rsidR="00382E50" w:rsidRDefault="00382E50" w:rsidP="00382E5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69596F">
        <w:t>SSB Configuration Parameters</w:t>
      </w:r>
      <w:r w:rsidR="00AD75F7">
        <w:t xml:space="preserve"> for DL-PRS and UL-PRS</w:t>
      </w:r>
    </w:p>
    <w:tbl>
      <w:tblPr>
        <w:tblStyle w:val="TableGrid"/>
        <w:tblW w:w="9359" w:type="dxa"/>
        <w:tblLayout w:type="fixed"/>
        <w:tblLook w:val="04A0" w:firstRow="1" w:lastRow="0" w:firstColumn="1" w:lastColumn="0" w:noHBand="0" w:noVBand="1"/>
      </w:tblPr>
      <w:tblGrid>
        <w:gridCol w:w="562"/>
        <w:gridCol w:w="1516"/>
        <w:gridCol w:w="1735"/>
        <w:gridCol w:w="5546"/>
      </w:tblGrid>
      <w:tr w:rsidR="00BE1D13" w:rsidRPr="004D48D6" w14:paraId="0CAEDDB2" w14:textId="77777777" w:rsidTr="00BE1D13">
        <w:trPr>
          <w:trHeight w:val="199"/>
        </w:trPr>
        <w:tc>
          <w:tcPr>
            <w:tcW w:w="562" w:type="dxa"/>
          </w:tcPr>
          <w:p w14:paraId="2BD7D264" w14:textId="715230F2" w:rsidR="00BE1D13" w:rsidRPr="00393F8C" w:rsidRDefault="00BE1D13" w:rsidP="005C1B83">
            <w:pPr>
              <w:jc w:val="center"/>
              <w:rPr>
                <w:b/>
                <w:sz w:val="18"/>
                <w:szCs w:val="18"/>
              </w:rPr>
            </w:pPr>
            <w:r>
              <w:rPr>
                <w:b/>
                <w:sz w:val="18"/>
                <w:szCs w:val="18"/>
              </w:rPr>
              <w:t>No.</w:t>
            </w:r>
          </w:p>
        </w:tc>
        <w:tc>
          <w:tcPr>
            <w:tcW w:w="1516" w:type="dxa"/>
          </w:tcPr>
          <w:p w14:paraId="11AF0BF1" w14:textId="4BEA0E5D" w:rsidR="00BE1D13" w:rsidRPr="00393F8C" w:rsidRDefault="00BE1D13" w:rsidP="005C1B83">
            <w:pPr>
              <w:jc w:val="center"/>
              <w:rPr>
                <w:b/>
                <w:sz w:val="18"/>
                <w:szCs w:val="18"/>
              </w:rPr>
            </w:pPr>
            <w:r w:rsidRPr="00393F8C">
              <w:rPr>
                <w:b/>
                <w:sz w:val="18"/>
                <w:szCs w:val="18"/>
              </w:rPr>
              <w:t xml:space="preserve">DL-PRS </w:t>
            </w:r>
            <w:r>
              <w:rPr>
                <w:b/>
                <w:sz w:val="18"/>
                <w:szCs w:val="18"/>
              </w:rPr>
              <w:t xml:space="preserve">SSB </w:t>
            </w:r>
            <w:r w:rsidRPr="00393F8C">
              <w:rPr>
                <w:b/>
                <w:sz w:val="18"/>
                <w:szCs w:val="18"/>
              </w:rPr>
              <w:t>Par</w:t>
            </w:r>
            <w:r>
              <w:rPr>
                <w:b/>
                <w:sz w:val="18"/>
                <w:szCs w:val="18"/>
              </w:rPr>
              <w:t>a</w:t>
            </w:r>
            <w:r w:rsidRPr="00393F8C">
              <w:rPr>
                <w:b/>
                <w:sz w:val="18"/>
                <w:szCs w:val="18"/>
              </w:rPr>
              <w:t>meters</w:t>
            </w:r>
          </w:p>
        </w:tc>
        <w:tc>
          <w:tcPr>
            <w:tcW w:w="1735" w:type="dxa"/>
          </w:tcPr>
          <w:p w14:paraId="0369C637" w14:textId="6D35DEC3" w:rsidR="00BE1D13" w:rsidRPr="00393F8C" w:rsidRDefault="00BE1D13" w:rsidP="005C1B83">
            <w:pPr>
              <w:jc w:val="center"/>
              <w:rPr>
                <w:b/>
                <w:sz w:val="18"/>
                <w:szCs w:val="18"/>
              </w:rPr>
            </w:pPr>
            <w:r w:rsidRPr="00393F8C">
              <w:rPr>
                <w:b/>
                <w:sz w:val="18"/>
                <w:szCs w:val="18"/>
              </w:rPr>
              <w:t xml:space="preserve">UL-PRS </w:t>
            </w:r>
            <w:r>
              <w:rPr>
                <w:b/>
                <w:sz w:val="18"/>
                <w:szCs w:val="18"/>
              </w:rPr>
              <w:t xml:space="preserve">SSB </w:t>
            </w:r>
            <w:r w:rsidRPr="00393F8C">
              <w:rPr>
                <w:b/>
                <w:sz w:val="18"/>
                <w:szCs w:val="18"/>
              </w:rPr>
              <w:t>Parameters</w:t>
            </w:r>
          </w:p>
        </w:tc>
        <w:tc>
          <w:tcPr>
            <w:tcW w:w="5546" w:type="dxa"/>
          </w:tcPr>
          <w:p w14:paraId="0BE5DF29" w14:textId="660DC0C2" w:rsidR="00BE1D13" w:rsidRPr="00393F8C" w:rsidRDefault="000F16FD" w:rsidP="005C1B83">
            <w:pPr>
              <w:jc w:val="center"/>
              <w:rPr>
                <w:b/>
                <w:sz w:val="18"/>
                <w:szCs w:val="18"/>
              </w:rPr>
            </w:pPr>
            <w:r>
              <w:rPr>
                <w:b/>
                <w:sz w:val="18"/>
                <w:szCs w:val="18"/>
              </w:rPr>
              <w:t xml:space="preserve">Field </w:t>
            </w:r>
            <w:r w:rsidR="00BE1D13" w:rsidRPr="00393F8C">
              <w:rPr>
                <w:b/>
                <w:sz w:val="18"/>
                <w:szCs w:val="18"/>
              </w:rPr>
              <w:t>Description</w:t>
            </w:r>
          </w:p>
        </w:tc>
      </w:tr>
      <w:tr w:rsidR="00BE1D13" w:rsidRPr="00283A45" w14:paraId="024AEA0F" w14:textId="77777777" w:rsidTr="00BE1D13">
        <w:trPr>
          <w:trHeight w:val="199"/>
        </w:trPr>
        <w:tc>
          <w:tcPr>
            <w:tcW w:w="562" w:type="dxa"/>
          </w:tcPr>
          <w:p w14:paraId="2B7BB92D" w14:textId="77777777" w:rsidR="00BE1D13" w:rsidRPr="00393F8C" w:rsidRDefault="00BE1D13" w:rsidP="005C1B83">
            <w:pPr>
              <w:jc w:val="center"/>
              <w:rPr>
                <w:sz w:val="18"/>
                <w:szCs w:val="18"/>
              </w:rPr>
            </w:pPr>
            <w:r w:rsidRPr="00393F8C">
              <w:rPr>
                <w:sz w:val="18"/>
                <w:szCs w:val="18"/>
              </w:rPr>
              <w:t>1</w:t>
            </w:r>
          </w:p>
        </w:tc>
        <w:tc>
          <w:tcPr>
            <w:tcW w:w="1516" w:type="dxa"/>
          </w:tcPr>
          <w:p w14:paraId="447BC013" w14:textId="77777777" w:rsidR="00BE1D13" w:rsidRPr="00393F8C" w:rsidRDefault="00BE1D13" w:rsidP="005C1B83">
            <w:pPr>
              <w:jc w:val="center"/>
              <w:rPr>
                <w:sz w:val="18"/>
                <w:szCs w:val="18"/>
              </w:rPr>
            </w:pPr>
            <w:r w:rsidRPr="00393F8C">
              <w:rPr>
                <w:sz w:val="18"/>
                <w:szCs w:val="18"/>
              </w:rPr>
              <w:t>PCI of the cell</w:t>
            </w:r>
          </w:p>
        </w:tc>
        <w:tc>
          <w:tcPr>
            <w:tcW w:w="1735" w:type="dxa"/>
          </w:tcPr>
          <w:p w14:paraId="5A8472BD" w14:textId="77777777" w:rsidR="00BE1D13" w:rsidRPr="00393F8C" w:rsidRDefault="00BE1D13" w:rsidP="005C1B83">
            <w:pPr>
              <w:jc w:val="center"/>
              <w:rPr>
                <w:sz w:val="18"/>
                <w:szCs w:val="18"/>
              </w:rPr>
            </w:pPr>
            <w:r w:rsidRPr="00393F8C">
              <w:rPr>
                <w:sz w:val="18"/>
                <w:szCs w:val="18"/>
              </w:rPr>
              <w:t>PCI of the cell</w:t>
            </w:r>
          </w:p>
        </w:tc>
        <w:tc>
          <w:tcPr>
            <w:tcW w:w="5546" w:type="dxa"/>
          </w:tcPr>
          <w:p w14:paraId="2632B4B2" w14:textId="77777777" w:rsidR="00BE1D13" w:rsidRPr="00393F8C" w:rsidRDefault="00BE1D13" w:rsidP="005C1B83">
            <w:pPr>
              <w:jc w:val="center"/>
              <w:rPr>
                <w:sz w:val="18"/>
                <w:szCs w:val="18"/>
              </w:rPr>
            </w:pPr>
            <w:r w:rsidRPr="00393F8C">
              <w:rPr>
                <w:sz w:val="18"/>
                <w:szCs w:val="18"/>
              </w:rPr>
              <w:t>Physical Cell Identity</w:t>
            </w:r>
          </w:p>
        </w:tc>
      </w:tr>
      <w:tr w:rsidR="00BE1D13" w:rsidRPr="00DE0CB5" w14:paraId="31A7356D" w14:textId="77777777" w:rsidTr="00BE1D13">
        <w:trPr>
          <w:trHeight w:val="598"/>
        </w:trPr>
        <w:tc>
          <w:tcPr>
            <w:tcW w:w="562" w:type="dxa"/>
          </w:tcPr>
          <w:p w14:paraId="0F01E950" w14:textId="77777777" w:rsidR="00BE1D13" w:rsidRPr="00393F8C" w:rsidRDefault="00BE1D13" w:rsidP="005C1B83">
            <w:pPr>
              <w:jc w:val="center"/>
              <w:rPr>
                <w:sz w:val="18"/>
                <w:szCs w:val="18"/>
              </w:rPr>
            </w:pPr>
            <w:r w:rsidRPr="00393F8C">
              <w:rPr>
                <w:sz w:val="18"/>
                <w:szCs w:val="18"/>
              </w:rPr>
              <w:lastRenderedPageBreak/>
              <w:t>2</w:t>
            </w:r>
          </w:p>
        </w:tc>
        <w:tc>
          <w:tcPr>
            <w:tcW w:w="1516" w:type="dxa"/>
          </w:tcPr>
          <w:p w14:paraId="57606DD1" w14:textId="77777777" w:rsidR="00BE1D13" w:rsidRPr="00393F8C" w:rsidRDefault="00BE1D13" w:rsidP="005C1B83">
            <w:pPr>
              <w:jc w:val="center"/>
              <w:rPr>
                <w:sz w:val="18"/>
                <w:szCs w:val="18"/>
              </w:rPr>
            </w:pPr>
            <w:r w:rsidRPr="00393F8C">
              <w:rPr>
                <w:sz w:val="18"/>
                <w:szCs w:val="18"/>
              </w:rPr>
              <w:t>ssbFrequency with values: ARFCN-ValueNR</w:t>
            </w:r>
          </w:p>
        </w:tc>
        <w:tc>
          <w:tcPr>
            <w:tcW w:w="1735" w:type="dxa"/>
          </w:tcPr>
          <w:p w14:paraId="2961CDE8" w14:textId="77777777" w:rsidR="00BE1D13" w:rsidRPr="00393F8C" w:rsidRDefault="00BE1D13" w:rsidP="005C1B83">
            <w:pPr>
              <w:jc w:val="center"/>
              <w:rPr>
                <w:sz w:val="18"/>
                <w:szCs w:val="18"/>
              </w:rPr>
            </w:pPr>
            <w:r w:rsidRPr="00393F8C">
              <w:rPr>
                <w:sz w:val="18"/>
                <w:szCs w:val="18"/>
              </w:rPr>
              <w:t>ssbFrequency with values: ARFCN-ValueNR</w:t>
            </w:r>
          </w:p>
        </w:tc>
        <w:tc>
          <w:tcPr>
            <w:tcW w:w="5546" w:type="dxa"/>
          </w:tcPr>
          <w:p w14:paraId="28251519" w14:textId="77777777" w:rsidR="00BE1D13" w:rsidRPr="00393F8C" w:rsidRDefault="00BE1D13" w:rsidP="005C1B83">
            <w:pPr>
              <w:jc w:val="center"/>
              <w:rPr>
                <w:sz w:val="18"/>
                <w:szCs w:val="18"/>
              </w:rPr>
            </w:pPr>
            <w:r w:rsidRPr="00393F8C">
              <w:rPr>
                <w:sz w:val="18"/>
                <w:szCs w:val="18"/>
              </w:rPr>
              <w:t>Center Frequency where the SSB is transmitted</w:t>
            </w:r>
          </w:p>
        </w:tc>
      </w:tr>
      <w:tr w:rsidR="00BE1D13" w:rsidRPr="00DE0CB5" w14:paraId="646C9FFE" w14:textId="77777777" w:rsidTr="00BE1D13">
        <w:trPr>
          <w:trHeight w:val="611"/>
        </w:trPr>
        <w:tc>
          <w:tcPr>
            <w:tcW w:w="562" w:type="dxa"/>
          </w:tcPr>
          <w:p w14:paraId="76B96C2A" w14:textId="77777777" w:rsidR="00BE1D13" w:rsidRPr="00393F8C" w:rsidRDefault="00BE1D13" w:rsidP="005C1B83">
            <w:pPr>
              <w:jc w:val="center"/>
              <w:rPr>
                <w:sz w:val="18"/>
                <w:szCs w:val="18"/>
              </w:rPr>
            </w:pPr>
            <w:r w:rsidRPr="00393F8C">
              <w:rPr>
                <w:sz w:val="18"/>
                <w:szCs w:val="18"/>
              </w:rPr>
              <w:t>3</w:t>
            </w:r>
          </w:p>
        </w:tc>
        <w:tc>
          <w:tcPr>
            <w:tcW w:w="1516" w:type="dxa"/>
          </w:tcPr>
          <w:p w14:paraId="427771BB" w14:textId="77777777" w:rsidR="00BE1D13" w:rsidRPr="00393F8C" w:rsidRDefault="00BE1D13" w:rsidP="005C1B83">
            <w:pPr>
              <w:jc w:val="center"/>
              <w:rPr>
                <w:sz w:val="18"/>
                <w:szCs w:val="18"/>
              </w:rPr>
            </w:pPr>
            <w:r w:rsidRPr="00393F8C">
              <w:rPr>
                <w:sz w:val="18"/>
                <w:szCs w:val="18"/>
              </w:rPr>
              <w:t>halfFrameIndex with values: 0 or 1</w:t>
            </w:r>
          </w:p>
        </w:tc>
        <w:tc>
          <w:tcPr>
            <w:tcW w:w="1735" w:type="dxa"/>
          </w:tcPr>
          <w:p w14:paraId="7B52F11D" w14:textId="77777777" w:rsidR="00BE1D13" w:rsidRPr="00393F8C" w:rsidRDefault="00BE1D13" w:rsidP="005C1B83">
            <w:pPr>
              <w:jc w:val="center"/>
              <w:rPr>
                <w:sz w:val="18"/>
                <w:szCs w:val="18"/>
              </w:rPr>
            </w:pPr>
            <w:r w:rsidRPr="00393F8C">
              <w:rPr>
                <w:sz w:val="18"/>
                <w:szCs w:val="18"/>
              </w:rPr>
              <w:t>halfFrameIndex with values: 0 or 1</w:t>
            </w:r>
          </w:p>
        </w:tc>
        <w:tc>
          <w:tcPr>
            <w:tcW w:w="5546" w:type="dxa"/>
          </w:tcPr>
          <w:p w14:paraId="37F8F21A" w14:textId="77777777" w:rsidR="00BE1D13" w:rsidRPr="00393F8C" w:rsidRDefault="00BE1D13" w:rsidP="005C1B83">
            <w:pPr>
              <w:jc w:val="center"/>
              <w:rPr>
                <w:sz w:val="18"/>
                <w:szCs w:val="18"/>
              </w:rPr>
            </w:pPr>
            <w:r w:rsidRPr="00393F8C">
              <w:rPr>
                <w:sz w:val="18"/>
                <w:szCs w:val="18"/>
              </w:rPr>
              <w:t>The UE can locate the frame that carries the SSB using the SFN-SSB Offset and SSB-Periodicity. The Half Frame Index then defines whether the SSB appears in the first half of the frame or the second.</w:t>
            </w:r>
          </w:p>
        </w:tc>
      </w:tr>
      <w:tr w:rsidR="00BE1D13" w:rsidRPr="00DE0CB5" w14:paraId="295BE131" w14:textId="77777777" w:rsidTr="00BE1D13">
        <w:trPr>
          <w:trHeight w:val="811"/>
        </w:trPr>
        <w:tc>
          <w:tcPr>
            <w:tcW w:w="562" w:type="dxa"/>
          </w:tcPr>
          <w:p w14:paraId="3642B73B" w14:textId="77777777" w:rsidR="00BE1D13" w:rsidRPr="00393F8C" w:rsidRDefault="00BE1D13" w:rsidP="005C1B83">
            <w:pPr>
              <w:jc w:val="center"/>
              <w:rPr>
                <w:sz w:val="18"/>
                <w:szCs w:val="18"/>
              </w:rPr>
            </w:pPr>
            <w:r w:rsidRPr="00393F8C">
              <w:rPr>
                <w:sz w:val="18"/>
                <w:szCs w:val="18"/>
              </w:rPr>
              <w:t>4</w:t>
            </w:r>
          </w:p>
        </w:tc>
        <w:tc>
          <w:tcPr>
            <w:tcW w:w="1516" w:type="dxa"/>
          </w:tcPr>
          <w:p w14:paraId="387C11C0" w14:textId="77777777" w:rsidR="00BE1D13" w:rsidRPr="00393F8C" w:rsidRDefault="00BE1D13" w:rsidP="005C1B83">
            <w:pPr>
              <w:jc w:val="center"/>
              <w:rPr>
                <w:sz w:val="18"/>
                <w:szCs w:val="18"/>
              </w:rPr>
            </w:pPr>
            <w:r w:rsidRPr="00393F8C">
              <w:rPr>
                <w:sz w:val="18"/>
                <w:szCs w:val="18"/>
              </w:rPr>
              <w:t>SSB-periodicity with the values: ServingCellConfigCommon IE.</w:t>
            </w:r>
          </w:p>
        </w:tc>
        <w:tc>
          <w:tcPr>
            <w:tcW w:w="1735" w:type="dxa"/>
          </w:tcPr>
          <w:p w14:paraId="0AC1B8E3" w14:textId="77777777" w:rsidR="00BE1D13" w:rsidRPr="00393F8C" w:rsidRDefault="00BE1D13" w:rsidP="005C1B83">
            <w:pPr>
              <w:jc w:val="center"/>
              <w:rPr>
                <w:sz w:val="18"/>
                <w:szCs w:val="18"/>
              </w:rPr>
            </w:pPr>
            <w:r w:rsidRPr="00393F8C">
              <w:rPr>
                <w:sz w:val="18"/>
                <w:szCs w:val="18"/>
              </w:rPr>
              <w:t>SSB-periodicity with values: ServingCellConfigCommon IE.</w:t>
            </w:r>
          </w:p>
        </w:tc>
        <w:tc>
          <w:tcPr>
            <w:tcW w:w="5546" w:type="dxa"/>
          </w:tcPr>
          <w:p w14:paraId="44DE908A" w14:textId="77777777" w:rsidR="00BE1D13" w:rsidRPr="00393F8C" w:rsidRDefault="00BE1D13" w:rsidP="005C1B83">
            <w:pPr>
              <w:jc w:val="center"/>
              <w:rPr>
                <w:sz w:val="18"/>
                <w:szCs w:val="18"/>
              </w:rPr>
            </w:pPr>
            <w:r w:rsidRPr="00393F8C">
              <w:rPr>
                <w:sz w:val="18"/>
                <w:szCs w:val="18"/>
              </w:rPr>
              <w:t>Periodicity of the SSB of the serving TRP</w:t>
            </w:r>
          </w:p>
        </w:tc>
      </w:tr>
      <w:tr w:rsidR="00BE1D13" w:rsidRPr="00DE0CB5" w14:paraId="189AC290" w14:textId="77777777" w:rsidTr="00BE1D13">
        <w:trPr>
          <w:trHeight w:val="1621"/>
        </w:trPr>
        <w:tc>
          <w:tcPr>
            <w:tcW w:w="562" w:type="dxa"/>
          </w:tcPr>
          <w:p w14:paraId="44DACD39" w14:textId="77777777" w:rsidR="00BE1D13" w:rsidRPr="00393F8C" w:rsidRDefault="00BE1D13" w:rsidP="005C1B83">
            <w:pPr>
              <w:jc w:val="center"/>
              <w:rPr>
                <w:sz w:val="18"/>
                <w:szCs w:val="18"/>
              </w:rPr>
            </w:pPr>
            <w:r w:rsidRPr="00393F8C">
              <w:rPr>
                <w:sz w:val="18"/>
                <w:szCs w:val="18"/>
              </w:rPr>
              <w:t>5</w:t>
            </w:r>
          </w:p>
        </w:tc>
        <w:tc>
          <w:tcPr>
            <w:tcW w:w="1516" w:type="dxa"/>
          </w:tcPr>
          <w:p w14:paraId="18FFD4EF" w14:textId="77777777" w:rsidR="00BE1D13" w:rsidRPr="00393F8C" w:rsidRDefault="00BE1D13" w:rsidP="005C1B83">
            <w:pPr>
              <w:jc w:val="center"/>
              <w:rPr>
                <w:sz w:val="18"/>
                <w:szCs w:val="18"/>
              </w:rPr>
            </w:pPr>
            <w:r w:rsidRPr="00393F8C">
              <w:rPr>
                <w:sz w:val="18"/>
                <w:szCs w:val="18"/>
              </w:rPr>
              <w:t>ssbSubcarrierSpacing with values: SubcarrierSpacing IE</w:t>
            </w:r>
          </w:p>
        </w:tc>
        <w:tc>
          <w:tcPr>
            <w:tcW w:w="1735" w:type="dxa"/>
          </w:tcPr>
          <w:p w14:paraId="29988468" w14:textId="77777777" w:rsidR="00BE1D13" w:rsidRPr="00393F8C" w:rsidRDefault="00BE1D13" w:rsidP="005C1B83">
            <w:pPr>
              <w:jc w:val="center"/>
              <w:rPr>
                <w:sz w:val="18"/>
                <w:szCs w:val="18"/>
              </w:rPr>
            </w:pPr>
            <w:r w:rsidRPr="00393F8C">
              <w:rPr>
                <w:sz w:val="18"/>
                <w:szCs w:val="18"/>
              </w:rPr>
              <w:t>ssbSubcarrierSpacing with values: SubcarrierSpacing IE</w:t>
            </w:r>
          </w:p>
        </w:tc>
        <w:tc>
          <w:tcPr>
            <w:tcW w:w="5546" w:type="dxa"/>
          </w:tcPr>
          <w:p w14:paraId="5B1C4A5E" w14:textId="77777777" w:rsidR="00BE1D13" w:rsidRPr="00393F8C" w:rsidRDefault="00BE1D13" w:rsidP="005C1B83">
            <w:pPr>
              <w:pStyle w:val="TAL"/>
              <w:rPr>
                <w:rFonts w:ascii="Times New Roman" w:hAnsi="Times New Roman"/>
              </w:rPr>
            </w:pPr>
            <w:r w:rsidRPr="00393F8C">
              <w:rPr>
                <w:rFonts w:ascii="Times New Roman" w:hAnsi="Times New Roman"/>
              </w:rPr>
              <w:t xml:space="preserve">Defines the subcarrier spacing of the SSB and the case number (Clause 4.1 in 38.213 [7]) which controls, for a half frame with SS/PBCH blocks, the first symbol index for the SS/PBCH blocks. If the value is A, the SCS is 15 kHz, if the value is B or C, the SCS is 30 kHz, if the value is D the SCS is 120 kHz, if the value is E, the SCS is 240 KHz. </w:t>
            </w:r>
          </w:p>
          <w:p w14:paraId="675DE804" w14:textId="77777777" w:rsidR="00BE1D13" w:rsidRPr="00393F8C" w:rsidRDefault="00BE1D13" w:rsidP="005C1B83">
            <w:pPr>
              <w:jc w:val="center"/>
              <w:rPr>
                <w:sz w:val="18"/>
                <w:szCs w:val="18"/>
              </w:rPr>
            </w:pPr>
            <w:r w:rsidRPr="00393F8C">
              <w:rPr>
                <w:sz w:val="18"/>
                <w:szCs w:val="18"/>
              </w:rPr>
              <w:t>Note that, providing the SCS explicitly without the case number would not be sufficient for the case of 30 kHz since both cases B and C are applicable, and the UE would be required to blindly search for both.</w:t>
            </w:r>
          </w:p>
        </w:tc>
      </w:tr>
      <w:tr w:rsidR="00BE1D13" w:rsidRPr="00DE0CB5" w14:paraId="0CDFC75E" w14:textId="77777777" w:rsidTr="00BE1D13">
        <w:trPr>
          <w:trHeight w:val="1209"/>
        </w:trPr>
        <w:tc>
          <w:tcPr>
            <w:tcW w:w="562" w:type="dxa"/>
          </w:tcPr>
          <w:p w14:paraId="0426D161" w14:textId="77777777" w:rsidR="00BE1D13" w:rsidRPr="00393F8C" w:rsidRDefault="00BE1D13" w:rsidP="005C1B83">
            <w:pPr>
              <w:jc w:val="center"/>
              <w:rPr>
                <w:sz w:val="18"/>
                <w:szCs w:val="18"/>
              </w:rPr>
            </w:pPr>
            <w:r w:rsidRPr="00393F8C">
              <w:rPr>
                <w:sz w:val="18"/>
                <w:szCs w:val="18"/>
              </w:rPr>
              <w:t>6</w:t>
            </w:r>
          </w:p>
        </w:tc>
        <w:tc>
          <w:tcPr>
            <w:tcW w:w="1516" w:type="dxa"/>
          </w:tcPr>
          <w:p w14:paraId="603B1927" w14:textId="77777777" w:rsidR="00BE1D13" w:rsidRPr="00393F8C" w:rsidRDefault="00BE1D13" w:rsidP="005C1B83">
            <w:pPr>
              <w:jc w:val="center"/>
              <w:rPr>
                <w:sz w:val="18"/>
                <w:szCs w:val="18"/>
              </w:rPr>
            </w:pPr>
            <w:r w:rsidRPr="00393F8C">
              <w:rPr>
                <w:sz w:val="18"/>
                <w:szCs w:val="18"/>
              </w:rPr>
              <w:t>SFN-SSBoffset with values {0,1,2,…15}</w:t>
            </w:r>
          </w:p>
        </w:tc>
        <w:tc>
          <w:tcPr>
            <w:tcW w:w="1735" w:type="dxa"/>
          </w:tcPr>
          <w:p w14:paraId="5640DFBB" w14:textId="77777777" w:rsidR="00BE1D13" w:rsidRPr="00393F8C" w:rsidRDefault="00BE1D13" w:rsidP="005C1B83">
            <w:pPr>
              <w:jc w:val="center"/>
              <w:rPr>
                <w:sz w:val="18"/>
                <w:szCs w:val="18"/>
              </w:rPr>
            </w:pPr>
            <w:r w:rsidRPr="00393F8C">
              <w:rPr>
                <w:sz w:val="18"/>
                <w:szCs w:val="18"/>
              </w:rPr>
              <w:t>SFN-SSBoffset with values: {0,1,2,…15}</w:t>
            </w:r>
          </w:p>
        </w:tc>
        <w:tc>
          <w:tcPr>
            <w:tcW w:w="5546" w:type="dxa"/>
          </w:tcPr>
          <w:p w14:paraId="11D3FEB9" w14:textId="77777777" w:rsidR="00BE1D13" w:rsidRPr="00393F8C" w:rsidRDefault="00BE1D13" w:rsidP="005C1B83">
            <w:pPr>
              <w:jc w:val="center"/>
              <w:rPr>
                <w:sz w:val="18"/>
                <w:szCs w:val="18"/>
              </w:rPr>
            </w:pPr>
            <w:r w:rsidRPr="00393F8C">
              <w:rPr>
                <w:sz w:val="18"/>
                <w:szCs w:val="18"/>
              </w:rPr>
              <w:t>Each TRP may transmit an SSB on a different frame index with a given periodicity. For example, if the periodicity is 20 msec, the SSB may be either in the first frame or the second frame. Note that this is not the SFN offset of the neighbouring TRP with respect to the reference TRP, but rather it is the SFN offset of the SSB of the neigbouring TRP with respect to the SFN0 of that TRP. Since the maximum periodicity is 160 msec, this can take up to 16 values.</w:t>
            </w:r>
          </w:p>
        </w:tc>
      </w:tr>
      <w:tr w:rsidR="00BE1D13" w:rsidRPr="00DE0CB5" w14:paraId="6E257115" w14:textId="77777777" w:rsidTr="00BE1D13">
        <w:trPr>
          <w:trHeight w:val="797"/>
        </w:trPr>
        <w:tc>
          <w:tcPr>
            <w:tcW w:w="562" w:type="dxa"/>
          </w:tcPr>
          <w:p w14:paraId="7FF0118C" w14:textId="77777777" w:rsidR="00BE1D13" w:rsidRPr="00393F8C" w:rsidRDefault="00BE1D13" w:rsidP="005C1B83">
            <w:pPr>
              <w:jc w:val="center"/>
              <w:rPr>
                <w:sz w:val="18"/>
                <w:szCs w:val="18"/>
              </w:rPr>
            </w:pPr>
            <w:r w:rsidRPr="00393F8C">
              <w:rPr>
                <w:sz w:val="18"/>
                <w:szCs w:val="18"/>
              </w:rPr>
              <w:t>7</w:t>
            </w:r>
          </w:p>
        </w:tc>
        <w:tc>
          <w:tcPr>
            <w:tcW w:w="1516" w:type="dxa"/>
          </w:tcPr>
          <w:p w14:paraId="37DE351A" w14:textId="77777777" w:rsidR="00BE1D13" w:rsidRPr="00393F8C" w:rsidRDefault="00BE1D13" w:rsidP="005C1B83">
            <w:pPr>
              <w:jc w:val="center"/>
              <w:rPr>
                <w:sz w:val="18"/>
                <w:szCs w:val="18"/>
              </w:rPr>
            </w:pPr>
            <w:r w:rsidRPr="00393F8C">
              <w:rPr>
                <w:sz w:val="18"/>
                <w:szCs w:val="18"/>
              </w:rPr>
              <w:t>Working assumption: Smtc per SSB frequency layer with values: SSB-MTC</w:t>
            </w:r>
          </w:p>
        </w:tc>
        <w:tc>
          <w:tcPr>
            <w:tcW w:w="1735" w:type="dxa"/>
          </w:tcPr>
          <w:p w14:paraId="62A7E90E" w14:textId="77777777" w:rsidR="00BE1D13" w:rsidRPr="00393F8C" w:rsidRDefault="00BE1D13" w:rsidP="005C1B83">
            <w:pPr>
              <w:jc w:val="center"/>
              <w:rPr>
                <w:sz w:val="18"/>
                <w:szCs w:val="18"/>
              </w:rPr>
            </w:pPr>
            <w:r w:rsidRPr="00393F8C">
              <w:rPr>
                <w:sz w:val="18"/>
                <w:szCs w:val="18"/>
              </w:rPr>
              <w:t>Smtc per SSB frequency layer with values : SSB-MTC</w:t>
            </w:r>
          </w:p>
        </w:tc>
        <w:tc>
          <w:tcPr>
            <w:tcW w:w="5546" w:type="dxa"/>
          </w:tcPr>
          <w:p w14:paraId="5EA4AA48" w14:textId="77777777" w:rsidR="00BE1D13" w:rsidRPr="00393F8C" w:rsidRDefault="00BE1D13" w:rsidP="005C1B83">
            <w:pPr>
              <w:jc w:val="center"/>
              <w:rPr>
                <w:sz w:val="18"/>
                <w:szCs w:val="18"/>
              </w:rPr>
            </w:pPr>
            <w:r w:rsidRPr="00393F8C">
              <w:rPr>
                <w:sz w:val="18"/>
                <w:szCs w:val="18"/>
              </w:rPr>
              <w:t>SMTC and Measurement gap should be set accordingly. The IE SSB-MTC is used to configure measurement timing configurations, i.e., timing occasions at which the UE measures SSBs.</w:t>
            </w:r>
          </w:p>
        </w:tc>
      </w:tr>
      <w:tr w:rsidR="00BE1D13" w:rsidRPr="00DE0CB5" w14:paraId="40EBF4A3" w14:textId="77777777" w:rsidTr="00BE1D13">
        <w:trPr>
          <w:trHeight w:val="199"/>
        </w:trPr>
        <w:tc>
          <w:tcPr>
            <w:tcW w:w="562" w:type="dxa"/>
          </w:tcPr>
          <w:p w14:paraId="2D70262B" w14:textId="77777777" w:rsidR="00BE1D13" w:rsidRPr="00393F8C" w:rsidRDefault="00BE1D13" w:rsidP="005C1B83">
            <w:pPr>
              <w:jc w:val="center"/>
              <w:rPr>
                <w:sz w:val="18"/>
                <w:szCs w:val="18"/>
              </w:rPr>
            </w:pPr>
            <w:r w:rsidRPr="00393F8C">
              <w:rPr>
                <w:sz w:val="18"/>
                <w:szCs w:val="18"/>
              </w:rPr>
              <w:t>8</w:t>
            </w:r>
          </w:p>
        </w:tc>
        <w:tc>
          <w:tcPr>
            <w:tcW w:w="1516" w:type="dxa"/>
          </w:tcPr>
          <w:p w14:paraId="42751D0F" w14:textId="77777777" w:rsidR="00BE1D13" w:rsidRPr="00393F8C" w:rsidRDefault="00BE1D13" w:rsidP="005C1B83">
            <w:pPr>
              <w:jc w:val="center"/>
              <w:rPr>
                <w:sz w:val="18"/>
                <w:szCs w:val="18"/>
              </w:rPr>
            </w:pPr>
            <w:r w:rsidRPr="00393F8C">
              <w:rPr>
                <w:sz w:val="18"/>
                <w:szCs w:val="18"/>
              </w:rPr>
              <w:t>SSB Index</w:t>
            </w:r>
          </w:p>
        </w:tc>
        <w:tc>
          <w:tcPr>
            <w:tcW w:w="1735" w:type="dxa"/>
          </w:tcPr>
          <w:p w14:paraId="21E88F55" w14:textId="77777777" w:rsidR="00BE1D13" w:rsidRPr="00393F8C" w:rsidRDefault="00BE1D13" w:rsidP="005C1B83">
            <w:pPr>
              <w:jc w:val="center"/>
              <w:rPr>
                <w:sz w:val="18"/>
                <w:szCs w:val="18"/>
              </w:rPr>
            </w:pPr>
            <w:r w:rsidRPr="00393F8C">
              <w:rPr>
                <w:sz w:val="18"/>
                <w:szCs w:val="18"/>
              </w:rPr>
              <w:t>SSB Index</w:t>
            </w:r>
          </w:p>
        </w:tc>
        <w:tc>
          <w:tcPr>
            <w:tcW w:w="5546" w:type="dxa"/>
          </w:tcPr>
          <w:p w14:paraId="71CF8345" w14:textId="77777777" w:rsidR="00BE1D13" w:rsidRPr="00393F8C" w:rsidRDefault="00BE1D13" w:rsidP="005C1B83">
            <w:pPr>
              <w:jc w:val="center"/>
              <w:rPr>
                <w:sz w:val="18"/>
                <w:szCs w:val="18"/>
              </w:rPr>
            </w:pPr>
            <w:r w:rsidRPr="00393F8C">
              <w:rPr>
                <w:sz w:val="18"/>
                <w:szCs w:val="18"/>
              </w:rPr>
              <w:t xml:space="preserve">The IE </w:t>
            </w:r>
            <w:r w:rsidRPr="00393F8C">
              <w:rPr>
                <w:i/>
                <w:sz w:val="18"/>
                <w:szCs w:val="18"/>
              </w:rPr>
              <w:t>SSB-Index</w:t>
            </w:r>
            <w:r w:rsidRPr="00393F8C">
              <w:rPr>
                <w:sz w:val="18"/>
                <w:szCs w:val="18"/>
              </w:rPr>
              <w:t xml:space="preserve"> identifies an SS-Block within an SS-Burst.</w:t>
            </w:r>
          </w:p>
        </w:tc>
      </w:tr>
      <w:tr w:rsidR="00BE1D13" w:rsidRPr="00DE0CB5" w14:paraId="3C9C6DEE" w14:textId="77777777" w:rsidTr="0083750F">
        <w:trPr>
          <w:trHeight w:val="1010"/>
        </w:trPr>
        <w:tc>
          <w:tcPr>
            <w:tcW w:w="562" w:type="dxa"/>
          </w:tcPr>
          <w:p w14:paraId="3714F3BF" w14:textId="77777777" w:rsidR="00BE1D13" w:rsidRPr="00393F8C" w:rsidRDefault="00BE1D13" w:rsidP="005C1B83">
            <w:pPr>
              <w:jc w:val="center"/>
              <w:rPr>
                <w:sz w:val="18"/>
                <w:szCs w:val="18"/>
              </w:rPr>
            </w:pPr>
            <w:r w:rsidRPr="00393F8C">
              <w:rPr>
                <w:sz w:val="18"/>
                <w:szCs w:val="18"/>
              </w:rPr>
              <w:t>9</w:t>
            </w:r>
          </w:p>
        </w:tc>
        <w:tc>
          <w:tcPr>
            <w:tcW w:w="1516" w:type="dxa"/>
          </w:tcPr>
          <w:p w14:paraId="39D7BAC2" w14:textId="22877E3C" w:rsidR="00BE1D13" w:rsidRPr="00393F8C" w:rsidRDefault="0083750F" w:rsidP="004270DF">
            <w:pPr>
              <w:jc w:val="center"/>
              <w:rPr>
                <w:sz w:val="18"/>
                <w:szCs w:val="18"/>
              </w:rPr>
            </w:pPr>
            <w:r w:rsidRPr="00393F8C">
              <w:rPr>
                <w:sz w:val="18"/>
                <w:szCs w:val="18"/>
              </w:rPr>
              <w:t>SS-PBCH-BlockPower (</w:t>
            </w:r>
            <w:r w:rsidR="004270DF">
              <w:rPr>
                <w:sz w:val="18"/>
                <w:szCs w:val="18"/>
              </w:rPr>
              <w:t>used when needed</w:t>
            </w:r>
            <w:r w:rsidRPr="00393F8C">
              <w:rPr>
                <w:sz w:val="18"/>
                <w:szCs w:val="18"/>
              </w:rPr>
              <w:t>)</w:t>
            </w:r>
          </w:p>
        </w:tc>
        <w:tc>
          <w:tcPr>
            <w:tcW w:w="1735" w:type="dxa"/>
            <w:shd w:val="clear" w:color="auto" w:fill="FFFFFF" w:themeFill="background1"/>
          </w:tcPr>
          <w:p w14:paraId="24246C2F" w14:textId="77777777" w:rsidR="00BE1D13" w:rsidRPr="00393F8C" w:rsidRDefault="00BE1D13" w:rsidP="005C1B83">
            <w:pPr>
              <w:jc w:val="center"/>
              <w:rPr>
                <w:sz w:val="18"/>
                <w:szCs w:val="18"/>
              </w:rPr>
            </w:pPr>
            <w:r w:rsidRPr="00393F8C">
              <w:rPr>
                <w:sz w:val="18"/>
                <w:szCs w:val="18"/>
              </w:rPr>
              <w:t>SS-PBCH-BlockPower (at least when SSB is used as pathlossReferenceRS for an SRS)</w:t>
            </w:r>
          </w:p>
        </w:tc>
        <w:tc>
          <w:tcPr>
            <w:tcW w:w="5546" w:type="dxa"/>
          </w:tcPr>
          <w:p w14:paraId="24571A66" w14:textId="5F6F0FD2" w:rsidR="00BE1D13" w:rsidRPr="00393F8C" w:rsidRDefault="00BE1D13" w:rsidP="00BE1D13">
            <w:pPr>
              <w:jc w:val="center"/>
              <w:rPr>
                <w:sz w:val="18"/>
                <w:szCs w:val="18"/>
              </w:rPr>
            </w:pPr>
            <w:r w:rsidRPr="00393F8C">
              <w:rPr>
                <w:sz w:val="18"/>
                <w:szCs w:val="18"/>
                <w:lang w:eastAsia="ja-JP"/>
              </w:rPr>
              <w:t xml:space="preserve">Average EPRE of the resources elements that carry secondary synchronization signals in dBm that the NW used for SSB transmission, </w:t>
            </w:r>
            <w:r>
              <w:rPr>
                <w:sz w:val="18"/>
                <w:szCs w:val="18"/>
                <w:lang w:eastAsia="ja-JP"/>
              </w:rPr>
              <w:t>S</w:t>
            </w:r>
            <w:r w:rsidRPr="00393F8C">
              <w:rPr>
                <w:sz w:val="18"/>
                <w:szCs w:val="18"/>
                <w:lang w:eastAsia="ja-JP"/>
              </w:rPr>
              <w:t>ee TS 38.213 [13], clause 7.</w:t>
            </w:r>
          </w:p>
        </w:tc>
      </w:tr>
      <w:tr w:rsidR="00D60899" w:rsidRPr="00DE0CB5" w14:paraId="68E954CA" w14:textId="77777777" w:rsidTr="0083750F">
        <w:trPr>
          <w:trHeight w:val="1010"/>
        </w:trPr>
        <w:tc>
          <w:tcPr>
            <w:tcW w:w="562" w:type="dxa"/>
          </w:tcPr>
          <w:p w14:paraId="36A4764D" w14:textId="77777777" w:rsidR="00D60899" w:rsidRPr="00393F8C" w:rsidRDefault="00D60899" w:rsidP="005C1B83">
            <w:pPr>
              <w:jc w:val="center"/>
              <w:rPr>
                <w:sz w:val="18"/>
                <w:szCs w:val="18"/>
              </w:rPr>
            </w:pPr>
          </w:p>
        </w:tc>
        <w:tc>
          <w:tcPr>
            <w:tcW w:w="1516" w:type="dxa"/>
          </w:tcPr>
          <w:p w14:paraId="06BD04E8" w14:textId="77777777" w:rsidR="00D60899" w:rsidRPr="00393F8C" w:rsidRDefault="00D60899" w:rsidP="00D60899">
            <w:pPr>
              <w:jc w:val="center"/>
              <w:rPr>
                <w:sz w:val="18"/>
                <w:szCs w:val="18"/>
              </w:rPr>
            </w:pPr>
            <w:r w:rsidRPr="000F16FD">
              <w:rPr>
                <w:sz w:val="18"/>
                <w:szCs w:val="18"/>
              </w:rPr>
              <w:t>SFN0 Offset per physical cell ID</w:t>
            </w:r>
          </w:p>
          <w:p w14:paraId="5E5B2A35" w14:textId="77777777" w:rsidR="00D60899" w:rsidRPr="00393F8C" w:rsidRDefault="00D60899" w:rsidP="005C1B83">
            <w:pPr>
              <w:jc w:val="center"/>
              <w:rPr>
                <w:sz w:val="18"/>
                <w:szCs w:val="18"/>
              </w:rPr>
            </w:pPr>
          </w:p>
        </w:tc>
        <w:tc>
          <w:tcPr>
            <w:tcW w:w="1735" w:type="dxa"/>
            <w:shd w:val="clear" w:color="auto" w:fill="FFFFFF" w:themeFill="background1"/>
          </w:tcPr>
          <w:p w14:paraId="1C71FCB1" w14:textId="77777777" w:rsidR="00D60899" w:rsidRPr="00393F8C" w:rsidRDefault="00D60899" w:rsidP="00D60899">
            <w:pPr>
              <w:jc w:val="center"/>
              <w:rPr>
                <w:sz w:val="18"/>
                <w:szCs w:val="18"/>
              </w:rPr>
            </w:pPr>
            <w:r w:rsidRPr="000F16FD">
              <w:rPr>
                <w:sz w:val="18"/>
                <w:szCs w:val="18"/>
              </w:rPr>
              <w:t>SFN0 Offset per physical cell ID</w:t>
            </w:r>
          </w:p>
          <w:p w14:paraId="6A6F22F8" w14:textId="77777777" w:rsidR="00D60899" w:rsidRPr="00393F8C" w:rsidRDefault="00D60899" w:rsidP="005C1B83">
            <w:pPr>
              <w:jc w:val="center"/>
              <w:rPr>
                <w:sz w:val="18"/>
                <w:szCs w:val="18"/>
              </w:rPr>
            </w:pPr>
          </w:p>
        </w:tc>
        <w:tc>
          <w:tcPr>
            <w:tcW w:w="5546" w:type="dxa"/>
          </w:tcPr>
          <w:p w14:paraId="126EF77A" w14:textId="77777777" w:rsidR="00D60899" w:rsidRDefault="00D60899" w:rsidP="00D60899">
            <w:pPr>
              <w:jc w:val="center"/>
              <w:rPr>
                <w:sz w:val="18"/>
                <w:szCs w:val="18"/>
                <w:lang w:eastAsia="ja-JP"/>
              </w:rPr>
            </w:pPr>
            <w:r w:rsidRPr="000F16FD">
              <w:rPr>
                <w:b/>
                <w:sz w:val="18"/>
                <w:szCs w:val="18"/>
              </w:rPr>
              <w:t>SFN0 Offset per physical cell ID</w:t>
            </w:r>
            <w:r>
              <w:rPr>
                <w:b/>
                <w:sz w:val="18"/>
                <w:szCs w:val="18"/>
              </w:rPr>
              <w:t xml:space="preserve">: </w:t>
            </w:r>
            <w:r w:rsidRPr="00393F8C">
              <w:rPr>
                <w:sz w:val="18"/>
                <w:szCs w:val="18"/>
              </w:rPr>
              <w:t>Time offset of the SFN0 slot0 of a given cell with respect to the serving Pcell.</w:t>
            </w:r>
            <w:r>
              <w:rPr>
                <w:sz w:val="18"/>
                <w:szCs w:val="18"/>
              </w:rPr>
              <w:t xml:space="preserve"> </w:t>
            </w:r>
            <w:r w:rsidRPr="00393F8C">
              <w:rPr>
                <w:sz w:val="18"/>
                <w:szCs w:val="18"/>
                <w:lang w:eastAsia="ja-JP"/>
              </w:rPr>
              <w:t>Offset related to SFN=0</w:t>
            </w:r>
            <w:r>
              <w:rPr>
                <w:sz w:val="18"/>
                <w:szCs w:val="18"/>
                <w:lang w:eastAsia="ja-JP"/>
              </w:rPr>
              <w:t xml:space="preserve">. </w:t>
            </w:r>
          </w:p>
          <w:p w14:paraId="449D7DA1" w14:textId="4618C076" w:rsidR="00D60899" w:rsidRPr="00393F8C" w:rsidRDefault="00D60899" w:rsidP="00D60899">
            <w:pPr>
              <w:jc w:val="center"/>
              <w:rPr>
                <w:sz w:val="18"/>
                <w:szCs w:val="18"/>
                <w:lang w:eastAsia="ja-JP"/>
              </w:rPr>
            </w:pPr>
            <w:r>
              <w:rPr>
                <w:sz w:val="18"/>
                <w:szCs w:val="18"/>
                <w:lang w:eastAsia="ja-JP"/>
              </w:rPr>
              <w:t xml:space="preserve">Also present in </w:t>
            </w:r>
            <w:r w:rsidRPr="00186F3F">
              <w:rPr>
                <w:i/>
                <w:sz w:val="18"/>
                <w:szCs w:val="18"/>
                <w:lang w:eastAsia="ja-JP"/>
              </w:rPr>
              <w:t>RTD-Info</w:t>
            </w:r>
            <w:r>
              <w:rPr>
                <w:sz w:val="18"/>
                <w:szCs w:val="18"/>
                <w:lang w:eastAsia="ja-JP"/>
              </w:rPr>
              <w:t xml:space="preserve"> of </w:t>
            </w:r>
            <w:r w:rsidRPr="00D60899">
              <w:rPr>
                <w:i/>
                <w:sz w:val="18"/>
                <w:szCs w:val="18"/>
                <w:lang w:eastAsia="ja-JP"/>
              </w:rPr>
              <w:t>NR-DL-PRS-AssistanceData</w:t>
            </w:r>
            <w:r>
              <w:rPr>
                <w:sz w:val="18"/>
                <w:szCs w:val="18"/>
                <w:lang w:eastAsia="ja-JP"/>
              </w:rPr>
              <w:t xml:space="preserve">  </w:t>
            </w:r>
          </w:p>
        </w:tc>
      </w:tr>
      <w:tr w:rsidR="00BE1D13" w:rsidRPr="00DE0CB5" w14:paraId="24EA524B" w14:textId="77777777" w:rsidTr="00D60899">
        <w:trPr>
          <w:trHeight w:val="1409"/>
        </w:trPr>
        <w:tc>
          <w:tcPr>
            <w:tcW w:w="562" w:type="dxa"/>
            <w:shd w:val="clear" w:color="auto" w:fill="auto"/>
          </w:tcPr>
          <w:p w14:paraId="58322A1D" w14:textId="77777777" w:rsidR="00BE1D13" w:rsidRPr="00393F8C" w:rsidRDefault="00BE1D13" w:rsidP="005C1B83">
            <w:pPr>
              <w:jc w:val="center"/>
              <w:rPr>
                <w:sz w:val="18"/>
                <w:szCs w:val="18"/>
              </w:rPr>
            </w:pPr>
            <w:r w:rsidRPr="00393F8C">
              <w:rPr>
                <w:sz w:val="18"/>
                <w:szCs w:val="18"/>
              </w:rPr>
              <w:t>10</w:t>
            </w:r>
          </w:p>
        </w:tc>
        <w:tc>
          <w:tcPr>
            <w:tcW w:w="1516" w:type="dxa"/>
            <w:shd w:val="clear" w:color="auto" w:fill="FFE599" w:themeFill="accent4" w:themeFillTint="66"/>
          </w:tcPr>
          <w:p w14:paraId="17866E88" w14:textId="0DE00AF2" w:rsidR="00BE1D13" w:rsidRPr="00393F8C" w:rsidRDefault="00BE1D13" w:rsidP="005C1B83">
            <w:pPr>
              <w:jc w:val="center"/>
              <w:rPr>
                <w:sz w:val="18"/>
                <w:szCs w:val="18"/>
              </w:rPr>
            </w:pPr>
            <w:r w:rsidRPr="00393F8C">
              <w:rPr>
                <w:sz w:val="18"/>
                <w:szCs w:val="18"/>
              </w:rPr>
              <w:t>SSB-positionInBurst with values: of ServingCellConfigCommon IE.</w:t>
            </w:r>
            <w:r w:rsidR="00D60899">
              <w:rPr>
                <w:sz w:val="18"/>
                <w:szCs w:val="18"/>
              </w:rPr>
              <w:t xml:space="preserve"> (Optional)</w:t>
            </w:r>
          </w:p>
        </w:tc>
        <w:tc>
          <w:tcPr>
            <w:tcW w:w="1735" w:type="dxa"/>
            <w:shd w:val="clear" w:color="auto" w:fill="FFFFFF" w:themeFill="background1"/>
          </w:tcPr>
          <w:p w14:paraId="2C7C88C7" w14:textId="137A0FE6" w:rsidR="00BE1D13" w:rsidRPr="00393F8C" w:rsidRDefault="00BE1D13" w:rsidP="00D60899">
            <w:pPr>
              <w:jc w:val="center"/>
              <w:rPr>
                <w:sz w:val="18"/>
                <w:szCs w:val="18"/>
              </w:rPr>
            </w:pPr>
          </w:p>
        </w:tc>
        <w:tc>
          <w:tcPr>
            <w:tcW w:w="5546" w:type="dxa"/>
          </w:tcPr>
          <w:p w14:paraId="4E22B54E" w14:textId="77777777" w:rsidR="00BE1D13" w:rsidRDefault="00BE1D13" w:rsidP="005C1B83">
            <w:pPr>
              <w:jc w:val="center"/>
              <w:rPr>
                <w:sz w:val="18"/>
                <w:szCs w:val="18"/>
              </w:rPr>
            </w:pPr>
            <w:r w:rsidRPr="00393F8C">
              <w:rPr>
                <w:b/>
                <w:sz w:val="18"/>
                <w:szCs w:val="18"/>
              </w:rPr>
              <w:t>SSB-positionInBurst</w:t>
            </w:r>
            <w:r w:rsidRPr="00393F8C">
              <w:rPr>
                <w:sz w:val="18"/>
                <w:szCs w:val="18"/>
              </w:rPr>
              <w:t xml:space="preserve"> : Indicates the time domain positions of the transmitted SS-blocks in a half frame with SS/PBCH blocks as defined in TS 38.213 [7],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p w14:paraId="409811A9" w14:textId="36DB3437" w:rsidR="00186F3F" w:rsidRPr="000F16FD" w:rsidRDefault="00186F3F" w:rsidP="000F16FD">
            <w:pPr>
              <w:jc w:val="center"/>
              <w:rPr>
                <w:sz w:val="18"/>
                <w:szCs w:val="18"/>
              </w:rPr>
            </w:pPr>
            <w:r>
              <w:rPr>
                <w:sz w:val="18"/>
                <w:szCs w:val="18"/>
                <w:lang w:eastAsia="ja-JP"/>
              </w:rPr>
              <w:t xml:space="preserve"> </w:t>
            </w:r>
          </w:p>
        </w:tc>
      </w:tr>
    </w:tbl>
    <w:p w14:paraId="22205EEC" w14:textId="77777777" w:rsidR="001A641D" w:rsidRPr="00BE1D13" w:rsidRDefault="001A641D" w:rsidP="001A641D">
      <w:pPr>
        <w:pStyle w:val="3GPPText"/>
        <w:rPr>
          <w:szCs w:val="22"/>
          <w:lang w:val="en-GB"/>
        </w:rPr>
      </w:pPr>
    </w:p>
    <w:p w14:paraId="7C4E7051" w14:textId="06AD2861" w:rsidR="00764F48" w:rsidRDefault="00621B06" w:rsidP="00EF34BB">
      <w:pPr>
        <w:pStyle w:val="3GPPText"/>
      </w:pPr>
      <w:r>
        <w:t>Table 1 provide</w:t>
      </w:r>
      <w:r w:rsidR="00A41A5A">
        <w:t>s</w:t>
      </w:r>
      <w:r>
        <w:t xml:space="preserve"> a reference</w:t>
      </w:r>
      <w:r w:rsidR="00A41A5A">
        <w:t xml:space="preserve"> for comparison between the SSB configuration parameters required for the DL-PRS (signaled via LPP) </w:t>
      </w:r>
      <w:r w:rsidR="00EF34BB">
        <w:t xml:space="preserve">and for the UL-PRS (signaled via RRC), which are to be provided as assistance data for the target UE. </w:t>
      </w:r>
      <w:r w:rsidR="00AE7D13">
        <w:t xml:space="preserve"> It can be noted that Parameters 1-8 according to [2], </w:t>
      </w:r>
      <w:r w:rsidR="005A26C6">
        <w:t>are overlapping with respect to the SSB configuration</w:t>
      </w:r>
      <w:r w:rsidR="00B13F72">
        <w:t xml:space="preserve"> for the target UE</w:t>
      </w:r>
      <w:r w:rsidR="005A26C6">
        <w:t xml:space="preserve">. </w:t>
      </w:r>
      <w:r w:rsidR="00CF1955">
        <w:t xml:space="preserve">Following this </w:t>
      </w:r>
      <w:r w:rsidR="00B13F72">
        <w:t xml:space="preserve">signalling </w:t>
      </w:r>
      <w:r w:rsidR="00CF1955">
        <w:t xml:space="preserve">design </w:t>
      </w:r>
      <w:r w:rsidR="00B13F72">
        <w:t>inevitably results</w:t>
      </w:r>
      <w:r w:rsidR="00CF1955">
        <w:t xml:space="preserve"> in the delivery of duplicated SSB information</w:t>
      </w:r>
      <w:r w:rsidR="00054F7E">
        <w:t>, especially</w:t>
      </w:r>
      <w:r w:rsidR="00CF1955">
        <w:t xml:space="preserve"> when the Multi-RTT positioning technique is configured by the LMF</w:t>
      </w:r>
      <w:r w:rsidR="00CC6485">
        <w:t>. This can be</w:t>
      </w:r>
      <w:r w:rsidR="005051B6">
        <w:t xml:space="preserve"> noted in the current Running CRs for </w:t>
      </w:r>
      <w:r w:rsidR="00513D40">
        <w:t xml:space="preserve">TS 37.355 [3] and </w:t>
      </w:r>
      <w:r w:rsidR="005051B6">
        <w:t>TS</w:t>
      </w:r>
      <w:r w:rsidR="00513D40">
        <w:t xml:space="preserve"> </w:t>
      </w:r>
      <w:r w:rsidR="005051B6">
        <w:t>38.331</w:t>
      </w:r>
      <w:r w:rsidR="00513D40">
        <w:t>[4]</w:t>
      </w:r>
      <w:r w:rsidR="00CC6485">
        <w:t xml:space="preserve">, where both sets of SSB information </w:t>
      </w:r>
      <w:r w:rsidR="00ED1623">
        <w:t>can be</w:t>
      </w:r>
      <w:r w:rsidR="00CC6485">
        <w:t xml:space="preserve"> </w:t>
      </w:r>
      <w:r w:rsidR="00ED1623">
        <w:t xml:space="preserve">potentially </w:t>
      </w:r>
      <w:r w:rsidR="007D2C84">
        <w:t>signaled using both LPP and RRC</w:t>
      </w:r>
      <w:r w:rsidR="00CF1955">
        <w:t>.</w:t>
      </w:r>
      <w:r w:rsidR="00B13F72">
        <w:t xml:space="preserve"> This may incur additional signalling overhead to the target UE depending on the frequency of the configurations and the number of neighbouring cell TRPs providing this information.</w:t>
      </w:r>
      <w:r w:rsidR="001B0B30">
        <w:t xml:space="preserve"> </w:t>
      </w:r>
    </w:p>
    <w:p w14:paraId="7193A7BA" w14:textId="7460620C" w:rsidR="009652B5" w:rsidRPr="00D71ED7" w:rsidRDefault="006D69CD" w:rsidP="006D313B">
      <w:pPr>
        <w:jc w:val="both"/>
        <w:rPr>
          <w:b/>
          <w:sz w:val="22"/>
          <w:szCs w:val="22"/>
        </w:rPr>
      </w:pPr>
      <w:r w:rsidRPr="00D71ED7">
        <w:rPr>
          <w:b/>
          <w:sz w:val="22"/>
          <w:szCs w:val="22"/>
        </w:rPr>
        <w:t>O</w:t>
      </w:r>
      <w:r w:rsidR="009652B5" w:rsidRPr="00D71ED7">
        <w:rPr>
          <w:b/>
          <w:sz w:val="22"/>
          <w:szCs w:val="22"/>
        </w:rPr>
        <w:t xml:space="preserve">bservation 1: </w:t>
      </w:r>
      <w:r w:rsidR="001E5F2D">
        <w:rPr>
          <w:b/>
          <w:sz w:val="22"/>
          <w:szCs w:val="22"/>
        </w:rPr>
        <w:t>Most</w:t>
      </w:r>
      <w:r w:rsidR="000A7930" w:rsidRPr="00D71ED7">
        <w:rPr>
          <w:b/>
          <w:sz w:val="22"/>
          <w:szCs w:val="22"/>
        </w:rPr>
        <w:t xml:space="preserve"> </w:t>
      </w:r>
      <w:r w:rsidR="00770A19" w:rsidRPr="00D71ED7">
        <w:rPr>
          <w:b/>
          <w:sz w:val="22"/>
          <w:szCs w:val="22"/>
        </w:rPr>
        <w:t xml:space="preserve">of the </w:t>
      </w:r>
      <w:r w:rsidR="000A7930" w:rsidRPr="00D71ED7">
        <w:rPr>
          <w:b/>
          <w:sz w:val="22"/>
          <w:szCs w:val="22"/>
        </w:rPr>
        <w:t xml:space="preserve">parameters between the DL-PRS and UL-PRS configurations </w:t>
      </w:r>
      <w:r w:rsidR="00770A19" w:rsidRPr="00D71ED7">
        <w:rPr>
          <w:b/>
          <w:sz w:val="22"/>
          <w:szCs w:val="22"/>
        </w:rPr>
        <w:t xml:space="preserve">are overlapping </w:t>
      </w:r>
      <w:r w:rsidR="000A7930" w:rsidRPr="00D71ED7">
        <w:rPr>
          <w:b/>
          <w:sz w:val="22"/>
          <w:szCs w:val="22"/>
        </w:rPr>
        <w:t>based on the RAN1 parameter list</w:t>
      </w:r>
      <w:r w:rsidR="00D133BC">
        <w:rPr>
          <w:b/>
          <w:sz w:val="22"/>
          <w:szCs w:val="22"/>
        </w:rPr>
        <w:t xml:space="preserve"> [2]</w:t>
      </w:r>
      <w:r w:rsidR="000A7930" w:rsidRPr="00D71ED7">
        <w:rPr>
          <w:b/>
          <w:sz w:val="22"/>
          <w:szCs w:val="22"/>
        </w:rPr>
        <w:t>.</w:t>
      </w:r>
    </w:p>
    <w:p w14:paraId="6705EEC1" w14:textId="2E1FC851" w:rsidR="006D69CD" w:rsidRPr="00D71ED7" w:rsidRDefault="006D69CD" w:rsidP="006D313B">
      <w:pPr>
        <w:jc w:val="both"/>
        <w:rPr>
          <w:b/>
          <w:sz w:val="22"/>
          <w:szCs w:val="22"/>
        </w:rPr>
      </w:pPr>
      <w:r w:rsidRPr="00D71ED7">
        <w:rPr>
          <w:b/>
          <w:sz w:val="22"/>
          <w:szCs w:val="22"/>
        </w:rPr>
        <w:t xml:space="preserve">Observation 2: </w:t>
      </w:r>
      <w:r w:rsidR="00D71ED7" w:rsidRPr="00D71ED7">
        <w:rPr>
          <w:b/>
          <w:sz w:val="22"/>
          <w:szCs w:val="22"/>
        </w:rPr>
        <w:t xml:space="preserve">This duplicated signalling of the SSB configuration to the target UE </w:t>
      </w:r>
      <w:r w:rsidR="00054F7E">
        <w:rPr>
          <w:b/>
          <w:sz w:val="22"/>
          <w:szCs w:val="22"/>
        </w:rPr>
        <w:t>will</w:t>
      </w:r>
      <w:r w:rsidR="00D71ED7" w:rsidRPr="00D71ED7">
        <w:rPr>
          <w:b/>
          <w:sz w:val="22"/>
          <w:szCs w:val="22"/>
        </w:rPr>
        <w:t xml:space="preserve"> incur additional signalling overhead</w:t>
      </w:r>
      <w:r w:rsidR="00C54656" w:rsidRPr="00D71ED7">
        <w:rPr>
          <w:b/>
          <w:sz w:val="22"/>
          <w:szCs w:val="22"/>
        </w:rPr>
        <w:t>.</w:t>
      </w:r>
    </w:p>
    <w:p w14:paraId="39398C7A" w14:textId="14B65B44" w:rsidR="00CA27C3" w:rsidRPr="00CA27C3" w:rsidRDefault="00CA27C3" w:rsidP="00D71ED7">
      <w:pPr>
        <w:jc w:val="both"/>
        <w:rPr>
          <w:b/>
          <w:sz w:val="22"/>
          <w:szCs w:val="22"/>
        </w:rPr>
      </w:pPr>
      <w:r w:rsidRPr="00747721">
        <w:rPr>
          <w:b/>
          <w:sz w:val="22"/>
          <w:szCs w:val="22"/>
        </w:rPr>
        <w:t>Proposal 1:</w:t>
      </w:r>
      <w:r>
        <w:rPr>
          <w:b/>
          <w:sz w:val="22"/>
          <w:szCs w:val="22"/>
        </w:rPr>
        <w:t xml:space="preserve"> RAN2 agrees on the need to avoid duplicate SSB configurations for both DL and UL measurements. </w:t>
      </w:r>
    </w:p>
    <w:p w14:paraId="33F57BA8" w14:textId="30FD8518" w:rsidR="00D71ED7" w:rsidRPr="00D71ED7" w:rsidRDefault="00D71ED7" w:rsidP="00D71ED7">
      <w:pPr>
        <w:jc w:val="both"/>
        <w:rPr>
          <w:b/>
          <w:sz w:val="22"/>
          <w:szCs w:val="22"/>
        </w:rPr>
      </w:pPr>
      <w:r w:rsidRPr="00D71ED7">
        <w:rPr>
          <w:sz w:val="22"/>
          <w:szCs w:val="22"/>
        </w:rPr>
        <w:t xml:space="preserve">Furthermore, it can be noted that the </w:t>
      </w:r>
      <w:r w:rsidRPr="00D71ED7">
        <w:rPr>
          <w:i/>
          <w:sz w:val="22"/>
          <w:szCs w:val="22"/>
        </w:rPr>
        <w:t>SSB-positionInBurst</w:t>
      </w:r>
      <w:r w:rsidRPr="00D71ED7">
        <w:rPr>
          <w:sz w:val="22"/>
          <w:szCs w:val="22"/>
        </w:rPr>
        <w:t xml:space="preserve"> IE required for SSB puncturing is an optional parameter required for the DL-PRS SSB configuration while the </w:t>
      </w:r>
      <w:r w:rsidRPr="00D71ED7">
        <w:rPr>
          <w:i/>
          <w:sz w:val="22"/>
          <w:szCs w:val="22"/>
        </w:rPr>
        <w:t>SS-PBCH-BlockPower</w:t>
      </w:r>
      <w:r w:rsidRPr="00D71ED7">
        <w:rPr>
          <w:sz w:val="22"/>
          <w:szCs w:val="22"/>
        </w:rPr>
        <w:t xml:space="preserve"> IE is required</w:t>
      </w:r>
      <w:r>
        <w:rPr>
          <w:sz w:val="22"/>
          <w:szCs w:val="22"/>
        </w:rPr>
        <w:t xml:space="preserve"> for</w:t>
      </w:r>
      <w:r w:rsidRPr="00D71ED7">
        <w:rPr>
          <w:sz w:val="22"/>
          <w:szCs w:val="22"/>
        </w:rPr>
        <w:t xml:space="preserve"> </w:t>
      </w:r>
      <w:r w:rsidR="00224CBB">
        <w:rPr>
          <w:sz w:val="22"/>
          <w:szCs w:val="22"/>
        </w:rPr>
        <w:t>power control of the SRS for positioning</w:t>
      </w:r>
      <w:r w:rsidR="00B12148">
        <w:rPr>
          <w:sz w:val="22"/>
          <w:szCs w:val="22"/>
        </w:rPr>
        <w:t xml:space="preserve"> if the SSB is used as a DL path loss reference</w:t>
      </w:r>
      <w:r>
        <w:rPr>
          <w:sz w:val="22"/>
          <w:szCs w:val="22"/>
        </w:rPr>
        <w:t>.</w:t>
      </w:r>
      <w:r w:rsidR="00905D8A">
        <w:rPr>
          <w:sz w:val="22"/>
          <w:szCs w:val="22"/>
        </w:rPr>
        <w:t xml:space="preserve"> </w:t>
      </w:r>
      <w:r w:rsidR="00E55DDD">
        <w:rPr>
          <w:sz w:val="22"/>
          <w:szCs w:val="22"/>
        </w:rPr>
        <w:t>T</w:t>
      </w:r>
      <w:r w:rsidR="00905D8A">
        <w:rPr>
          <w:sz w:val="22"/>
          <w:szCs w:val="22"/>
        </w:rPr>
        <w:t xml:space="preserve">he </w:t>
      </w:r>
      <w:r w:rsidR="00905D8A" w:rsidRPr="00905D8A">
        <w:rPr>
          <w:sz w:val="22"/>
          <w:szCs w:val="22"/>
        </w:rPr>
        <w:t>SFN0 Offset per physical cell ID</w:t>
      </w:r>
      <w:r w:rsidR="00E55DDD">
        <w:rPr>
          <w:sz w:val="22"/>
          <w:szCs w:val="22"/>
        </w:rPr>
        <w:t xml:space="preserve"> parameters</w:t>
      </w:r>
      <w:r w:rsidR="00905D8A">
        <w:rPr>
          <w:sz w:val="22"/>
          <w:szCs w:val="22"/>
        </w:rPr>
        <w:t xml:space="preserve"> is indicated</w:t>
      </w:r>
      <w:r w:rsidR="00E55DDD">
        <w:rPr>
          <w:sz w:val="22"/>
          <w:szCs w:val="22"/>
        </w:rPr>
        <w:t xml:space="preserve"> in the</w:t>
      </w:r>
      <w:r w:rsidR="00905D8A">
        <w:rPr>
          <w:sz w:val="22"/>
          <w:szCs w:val="22"/>
        </w:rPr>
        <w:t xml:space="preserve"> UL-PRS SSB configuration while also present in the DL-PRS configuration via the </w:t>
      </w:r>
      <w:r w:rsidR="00905D8A" w:rsidRPr="00905D8A">
        <w:rPr>
          <w:i/>
          <w:sz w:val="22"/>
          <w:szCs w:val="22"/>
        </w:rPr>
        <w:t>RTD-Info</w:t>
      </w:r>
      <w:r w:rsidR="00905D8A">
        <w:rPr>
          <w:sz w:val="22"/>
          <w:szCs w:val="22"/>
        </w:rPr>
        <w:t xml:space="preserve"> IE, which provides the time synchronisation information between the reference TRP and neighbour</w:t>
      </w:r>
      <w:r w:rsidR="00FC1D37">
        <w:rPr>
          <w:sz w:val="22"/>
          <w:szCs w:val="22"/>
        </w:rPr>
        <w:t>ing</w:t>
      </w:r>
      <w:r w:rsidR="00905D8A">
        <w:rPr>
          <w:sz w:val="22"/>
          <w:szCs w:val="22"/>
        </w:rPr>
        <w:t xml:space="preserve"> TRPs</w:t>
      </w:r>
      <w:r w:rsidR="00E55DDD">
        <w:rPr>
          <w:sz w:val="22"/>
          <w:szCs w:val="22"/>
        </w:rPr>
        <w:t xml:space="preserve"> [3]</w:t>
      </w:r>
      <w:r w:rsidR="00905D8A">
        <w:rPr>
          <w:sz w:val="22"/>
          <w:szCs w:val="22"/>
        </w:rPr>
        <w:t>.</w:t>
      </w:r>
    </w:p>
    <w:p w14:paraId="033B6F2B" w14:textId="10F3DE34" w:rsidR="001B0B30" w:rsidRDefault="00021504" w:rsidP="00747721">
      <w:pPr>
        <w:jc w:val="both"/>
        <w:rPr>
          <w:sz w:val="22"/>
          <w:szCs w:val="22"/>
        </w:rPr>
      </w:pPr>
      <w:r>
        <w:rPr>
          <w:sz w:val="22"/>
          <w:szCs w:val="22"/>
        </w:rPr>
        <w:t>In order to avoid such duplicated signalling</w:t>
      </w:r>
      <w:r w:rsidR="00DB1D27">
        <w:rPr>
          <w:sz w:val="22"/>
          <w:szCs w:val="22"/>
        </w:rPr>
        <w:t xml:space="preserve"> to the UE</w:t>
      </w:r>
      <w:r>
        <w:rPr>
          <w:sz w:val="22"/>
          <w:szCs w:val="22"/>
        </w:rPr>
        <w:t xml:space="preserve"> </w:t>
      </w:r>
      <w:r w:rsidR="00DB1D27">
        <w:rPr>
          <w:sz w:val="22"/>
          <w:szCs w:val="22"/>
        </w:rPr>
        <w:t xml:space="preserve">resulting from the delivery of the SSB configuration, the common overlapping parameters in Table 1 </w:t>
      </w:r>
      <w:r w:rsidR="001B0B30">
        <w:rPr>
          <w:sz w:val="22"/>
          <w:szCs w:val="22"/>
        </w:rPr>
        <w:t>would have to be grouped together</w:t>
      </w:r>
      <w:r w:rsidR="00BC5099">
        <w:rPr>
          <w:sz w:val="22"/>
          <w:szCs w:val="22"/>
        </w:rPr>
        <w:t xml:space="preserve">. </w:t>
      </w:r>
      <w:r w:rsidR="001B0B30">
        <w:rPr>
          <w:sz w:val="22"/>
          <w:szCs w:val="22"/>
        </w:rPr>
        <w:t>This would be in line with the agreement made in [1], where the “</w:t>
      </w:r>
      <w:r w:rsidR="001B0B30" w:rsidRPr="001B0B30">
        <w:rPr>
          <w:i/>
          <w:sz w:val="22"/>
          <w:szCs w:val="22"/>
        </w:rPr>
        <w:t>The time/frequency occupancy of the SSBs required in both, DL-PRS and UL-PRS is grouped in a single IE, and a pointer/index is used to reference the required information</w:t>
      </w:r>
      <w:r w:rsidR="001B0B30">
        <w:rPr>
          <w:sz w:val="22"/>
          <w:szCs w:val="22"/>
        </w:rPr>
        <w:t xml:space="preserve">”. </w:t>
      </w:r>
    </w:p>
    <w:p w14:paraId="543105CD" w14:textId="7A09FB7C" w:rsidR="00747721" w:rsidRPr="008A4123" w:rsidRDefault="001B0B30" w:rsidP="00747721">
      <w:pPr>
        <w:jc w:val="both"/>
        <w:rPr>
          <w:sz w:val="22"/>
          <w:szCs w:val="22"/>
        </w:rPr>
      </w:pPr>
      <w:r>
        <w:rPr>
          <w:sz w:val="22"/>
          <w:szCs w:val="22"/>
        </w:rPr>
        <w:t>A remaining issue is t</w:t>
      </w:r>
      <w:r w:rsidR="00BC5099">
        <w:rPr>
          <w:sz w:val="22"/>
          <w:szCs w:val="22"/>
        </w:rPr>
        <w:t xml:space="preserve">he choice of signalling </w:t>
      </w:r>
      <w:r>
        <w:rPr>
          <w:sz w:val="22"/>
          <w:szCs w:val="22"/>
        </w:rPr>
        <w:t>in which to deliver the SSB configuration, i.e. RRC or LPP while also providing the index/pointer to this SSB configuration information</w:t>
      </w:r>
      <w:r w:rsidR="00B12148">
        <w:rPr>
          <w:sz w:val="22"/>
          <w:szCs w:val="22"/>
        </w:rPr>
        <w:t>, if both DL and UL measurements are required such as Multi-RTT</w:t>
      </w:r>
      <w:r>
        <w:rPr>
          <w:sz w:val="22"/>
          <w:szCs w:val="22"/>
        </w:rPr>
        <w:t>.</w:t>
      </w:r>
      <w:r w:rsidR="008A4123">
        <w:rPr>
          <w:sz w:val="22"/>
          <w:szCs w:val="22"/>
        </w:rPr>
        <w:t xml:space="preserve"> </w:t>
      </w:r>
      <w:r w:rsidR="00210737">
        <w:rPr>
          <w:sz w:val="22"/>
          <w:szCs w:val="22"/>
        </w:rPr>
        <w:t>One option is that t</w:t>
      </w:r>
      <w:r w:rsidR="008A4123">
        <w:rPr>
          <w:sz w:val="22"/>
          <w:szCs w:val="22"/>
        </w:rPr>
        <w:t xml:space="preserve">he </w:t>
      </w:r>
      <w:r w:rsidR="00210737">
        <w:rPr>
          <w:sz w:val="22"/>
          <w:szCs w:val="22"/>
        </w:rPr>
        <w:t xml:space="preserve">common </w:t>
      </w:r>
      <w:r w:rsidR="008A4123">
        <w:rPr>
          <w:sz w:val="22"/>
          <w:szCs w:val="22"/>
        </w:rPr>
        <w:t>SSB configuration may be provided to the UE via LPP as assistance data</w:t>
      </w:r>
      <w:r w:rsidR="00DF0864">
        <w:rPr>
          <w:sz w:val="22"/>
          <w:szCs w:val="22"/>
        </w:rPr>
        <w:t xml:space="preserve"> and the index/pointer be provided via RRC</w:t>
      </w:r>
      <w:r w:rsidR="008A4123">
        <w:rPr>
          <w:sz w:val="22"/>
          <w:szCs w:val="22"/>
        </w:rPr>
        <w:t xml:space="preserve">, </w:t>
      </w:r>
      <w:r w:rsidR="00B43A8C">
        <w:rPr>
          <w:sz w:val="22"/>
          <w:szCs w:val="22"/>
        </w:rPr>
        <w:t xml:space="preserve">since the LMF configures the required positioning </w:t>
      </w:r>
      <w:r w:rsidR="00210737">
        <w:rPr>
          <w:sz w:val="22"/>
          <w:szCs w:val="22"/>
        </w:rPr>
        <w:t xml:space="preserve">technique </w:t>
      </w:r>
      <w:r w:rsidR="00B43A8C">
        <w:rPr>
          <w:sz w:val="22"/>
          <w:szCs w:val="22"/>
        </w:rPr>
        <w:t>in the case of UE-assisted positioning</w:t>
      </w:r>
      <w:r w:rsidR="008A4123">
        <w:rPr>
          <w:sz w:val="22"/>
          <w:szCs w:val="22"/>
        </w:rPr>
        <w:t xml:space="preserve">. However, in the case that </w:t>
      </w:r>
      <w:r w:rsidR="003001BB">
        <w:rPr>
          <w:sz w:val="22"/>
          <w:szCs w:val="22"/>
        </w:rPr>
        <w:t xml:space="preserve">a </w:t>
      </w:r>
      <w:r w:rsidR="008A4123">
        <w:rPr>
          <w:sz w:val="22"/>
          <w:szCs w:val="22"/>
        </w:rPr>
        <w:t>UE is not capable of performing DL-TDOA positioning while only supporting UL-TDOA</w:t>
      </w:r>
      <w:r w:rsidR="003001BB">
        <w:rPr>
          <w:sz w:val="22"/>
          <w:szCs w:val="22"/>
        </w:rPr>
        <w:t>, this UE may not receive the desired SSB configuration to perform UL-TDOA</w:t>
      </w:r>
      <w:r w:rsidR="00210737">
        <w:rPr>
          <w:sz w:val="22"/>
          <w:szCs w:val="22"/>
        </w:rPr>
        <w:t xml:space="preserve"> unless there is a capability transfer procedure for UL-based positioning so that the UL-PRS capabilities are known to the LMF.</w:t>
      </w:r>
      <w:r w:rsidR="00DF0864">
        <w:rPr>
          <w:sz w:val="22"/>
          <w:szCs w:val="22"/>
        </w:rPr>
        <w:t xml:space="preserve"> </w:t>
      </w:r>
    </w:p>
    <w:p w14:paraId="20142DDE" w14:textId="5B934687" w:rsidR="00747721" w:rsidRPr="00747721" w:rsidRDefault="00CA27C3" w:rsidP="00747721">
      <w:pPr>
        <w:jc w:val="both"/>
        <w:rPr>
          <w:b/>
          <w:sz w:val="22"/>
          <w:szCs w:val="22"/>
        </w:rPr>
      </w:pPr>
      <w:r>
        <w:rPr>
          <w:b/>
          <w:sz w:val="22"/>
          <w:szCs w:val="22"/>
        </w:rPr>
        <w:t>Proposal 2:</w:t>
      </w:r>
      <w:r w:rsidR="00747721" w:rsidRPr="00747721">
        <w:rPr>
          <w:b/>
          <w:sz w:val="22"/>
          <w:szCs w:val="22"/>
        </w:rPr>
        <w:t xml:space="preserve"> </w:t>
      </w:r>
      <w:r w:rsidR="001B0B30" w:rsidRPr="00747721">
        <w:rPr>
          <w:b/>
          <w:sz w:val="22"/>
          <w:szCs w:val="22"/>
        </w:rPr>
        <w:t>The overlapping</w:t>
      </w:r>
      <w:r w:rsidR="001B0B30">
        <w:rPr>
          <w:b/>
          <w:sz w:val="22"/>
          <w:szCs w:val="22"/>
        </w:rPr>
        <w:t xml:space="preserve"> SSB configuration</w:t>
      </w:r>
      <w:r w:rsidR="001B0B30" w:rsidRPr="00747721">
        <w:rPr>
          <w:b/>
          <w:sz w:val="22"/>
          <w:szCs w:val="22"/>
        </w:rPr>
        <w:t xml:space="preserve"> parameters may be grouped together and sign</w:t>
      </w:r>
      <w:r w:rsidR="001B0B30">
        <w:rPr>
          <w:b/>
          <w:sz w:val="22"/>
          <w:szCs w:val="22"/>
        </w:rPr>
        <w:t>alled as a common configuration IE</w:t>
      </w:r>
      <w:r w:rsidR="001E5F2D">
        <w:rPr>
          <w:b/>
          <w:sz w:val="22"/>
          <w:szCs w:val="22"/>
        </w:rPr>
        <w:t>.</w:t>
      </w:r>
    </w:p>
    <w:p w14:paraId="6BAAB11F" w14:textId="77777777" w:rsidR="00A91CA7" w:rsidRDefault="00A91CA7" w:rsidP="00A91CA7">
      <w:pPr>
        <w:pStyle w:val="3GPPH1"/>
      </w:pPr>
      <w:r>
        <w:t>Conclusions</w:t>
      </w:r>
    </w:p>
    <w:p w14:paraId="0E59E79A" w14:textId="2E7200D4" w:rsidR="00A91CA7" w:rsidRDefault="00CE4386" w:rsidP="00A91CA7">
      <w:pPr>
        <w:pStyle w:val="3GPPText"/>
        <w:rPr>
          <w:lang w:val="en-GB"/>
        </w:rPr>
      </w:pPr>
      <w:r>
        <w:rPr>
          <w:lang w:val="en-GB"/>
        </w:rPr>
        <w:t>This contribution has noted the following</w:t>
      </w:r>
      <w:r w:rsidR="00B17A19">
        <w:rPr>
          <w:lang w:val="en-GB"/>
        </w:rPr>
        <w:t xml:space="preserve"> observations with respect to the signalling of the </w:t>
      </w:r>
      <w:r w:rsidR="006E53C2">
        <w:rPr>
          <w:lang w:val="en-GB"/>
        </w:rPr>
        <w:t>SSB</w:t>
      </w:r>
      <w:r w:rsidR="00B17A19">
        <w:rPr>
          <w:lang w:val="en-GB"/>
        </w:rPr>
        <w:t xml:space="preserve"> configuration</w:t>
      </w:r>
      <w:bookmarkStart w:id="1" w:name="_GoBack"/>
      <w:bookmarkEnd w:id="1"/>
      <w:r w:rsidR="00E532FC">
        <w:rPr>
          <w:lang w:val="en-GB"/>
        </w:rPr>
        <w:t>:</w:t>
      </w:r>
      <w:r w:rsidR="000F18A5">
        <w:rPr>
          <w:lang w:val="en-GB"/>
        </w:rPr>
        <w:t xml:space="preserve"> </w:t>
      </w:r>
    </w:p>
    <w:p w14:paraId="0D604835" w14:textId="77777777" w:rsidR="00A51E95" w:rsidRPr="00D71ED7" w:rsidRDefault="00A51E95" w:rsidP="00A51E95">
      <w:pPr>
        <w:jc w:val="both"/>
        <w:rPr>
          <w:b/>
          <w:sz w:val="22"/>
          <w:szCs w:val="22"/>
        </w:rPr>
      </w:pPr>
      <w:r w:rsidRPr="00D71ED7">
        <w:rPr>
          <w:b/>
          <w:sz w:val="22"/>
          <w:szCs w:val="22"/>
        </w:rPr>
        <w:t xml:space="preserve">Observation 1: </w:t>
      </w:r>
      <w:r>
        <w:rPr>
          <w:b/>
          <w:sz w:val="22"/>
          <w:szCs w:val="22"/>
        </w:rPr>
        <w:t>Most</w:t>
      </w:r>
      <w:r w:rsidRPr="00D71ED7">
        <w:rPr>
          <w:b/>
          <w:sz w:val="22"/>
          <w:szCs w:val="22"/>
        </w:rPr>
        <w:t xml:space="preserve"> of the parameters between the DL-PRS and UL-PRS configurations are overlapping based on the RAN1 parameter list</w:t>
      </w:r>
      <w:r>
        <w:rPr>
          <w:b/>
          <w:sz w:val="22"/>
          <w:szCs w:val="22"/>
        </w:rPr>
        <w:t xml:space="preserve"> [2]</w:t>
      </w:r>
      <w:r w:rsidRPr="00D71ED7">
        <w:rPr>
          <w:b/>
          <w:sz w:val="22"/>
          <w:szCs w:val="22"/>
        </w:rPr>
        <w:t>.</w:t>
      </w:r>
    </w:p>
    <w:p w14:paraId="6D5BB14C" w14:textId="52CBF08F" w:rsidR="006D313B" w:rsidRPr="00A51E95" w:rsidRDefault="00A51E95" w:rsidP="00A51E95">
      <w:pPr>
        <w:jc w:val="both"/>
        <w:rPr>
          <w:b/>
          <w:sz w:val="22"/>
          <w:szCs w:val="22"/>
        </w:rPr>
      </w:pPr>
      <w:r w:rsidRPr="00D71ED7">
        <w:rPr>
          <w:b/>
          <w:sz w:val="22"/>
          <w:szCs w:val="22"/>
        </w:rPr>
        <w:t>Observation 2: This duplicated signalling of the SSB configuration to the target UE may incur additional signalling overhead.</w:t>
      </w:r>
    </w:p>
    <w:p w14:paraId="45A5B68C" w14:textId="71ADB215" w:rsidR="00291E8B" w:rsidRDefault="00291E8B" w:rsidP="00931E4B">
      <w:pPr>
        <w:pStyle w:val="3GPPText"/>
      </w:pPr>
      <w:r>
        <w:t>Therefore, the following proposals are brought forward:</w:t>
      </w:r>
    </w:p>
    <w:p w14:paraId="774FD974" w14:textId="4D563B17" w:rsidR="00901FBA" w:rsidRDefault="00901FBA" w:rsidP="00A51E95">
      <w:pPr>
        <w:jc w:val="both"/>
        <w:rPr>
          <w:b/>
          <w:sz w:val="22"/>
          <w:szCs w:val="22"/>
        </w:rPr>
      </w:pPr>
      <w:r w:rsidRPr="00747721">
        <w:rPr>
          <w:b/>
          <w:sz w:val="22"/>
          <w:szCs w:val="22"/>
        </w:rPr>
        <w:lastRenderedPageBreak/>
        <w:t>Proposal 1:</w:t>
      </w:r>
      <w:r>
        <w:rPr>
          <w:b/>
          <w:sz w:val="22"/>
          <w:szCs w:val="22"/>
        </w:rPr>
        <w:t xml:space="preserve"> RAN2 agrees on the need to avoid duplicate SSB configurations for both DL and UL measurements.</w:t>
      </w:r>
    </w:p>
    <w:p w14:paraId="129CAD71" w14:textId="09F6DD41" w:rsidR="00A51E95" w:rsidRPr="00747721" w:rsidRDefault="00A51E95" w:rsidP="00A51E95">
      <w:pPr>
        <w:jc w:val="both"/>
        <w:rPr>
          <w:b/>
          <w:sz w:val="22"/>
          <w:szCs w:val="22"/>
        </w:rPr>
      </w:pPr>
      <w:r w:rsidRPr="00747721">
        <w:rPr>
          <w:b/>
          <w:sz w:val="22"/>
          <w:szCs w:val="22"/>
        </w:rPr>
        <w:t xml:space="preserve">Proposal </w:t>
      </w:r>
      <w:r w:rsidR="00901FBA">
        <w:rPr>
          <w:b/>
          <w:sz w:val="22"/>
          <w:szCs w:val="22"/>
        </w:rPr>
        <w:t>2</w:t>
      </w:r>
      <w:r w:rsidRPr="00747721">
        <w:rPr>
          <w:b/>
          <w:sz w:val="22"/>
          <w:szCs w:val="22"/>
        </w:rPr>
        <w:t>:  The overlapping</w:t>
      </w:r>
      <w:r>
        <w:rPr>
          <w:b/>
          <w:sz w:val="22"/>
          <w:szCs w:val="22"/>
        </w:rPr>
        <w:t xml:space="preserve"> SSB configuration</w:t>
      </w:r>
      <w:r w:rsidRPr="00747721">
        <w:rPr>
          <w:b/>
          <w:sz w:val="22"/>
          <w:szCs w:val="22"/>
        </w:rPr>
        <w:t xml:space="preserve"> parameters may be grouped together and sign</w:t>
      </w:r>
      <w:r w:rsidR="001B0B30">
        <w:rPr>
          <w:b/>
          <w:sz w:val="22"/>
          <w:szCs w:val="22"/>
        </w:rPr>
        <w:t>alled as a common configuration IE</w:t>
      </w:r>
      <w:r>
        <w:rPr>
          <w:b/>
          <w:sz w:val="22"/>
          <w:szCs w:val="22"/>
        </w:rPr>
        <w:t>.</w:t>
      </w:r>
    </w:p>
    <w:p w14:paraId="4DC4564E" w14:textId="4F14B0EA" w:rsidR="00A91CA7" w:rsidRPr="006D313B" w:rsidRDefault="00A91CA7" w:rsidP="006D313B">
      <w:pPr>
        <w:pStyle w:val="3GPPH1"/>
        <w:rPr>
          <w:lang w:val="en-US"/>
        </w:rPr>
      </w:pPr>
      <w:r w:rsidRPr="00AB2DA9">
        <w:rPr>
          <w:lang w:val="en-US"/>
        </w:rPr>
        <w:t>References</w:t>
      </w:r>
      <w:bookmarkStart w:id="2" w:name="_Ref524868549"/>
      <w:bookmarkStart w:id="3" w:name="_Ref505694604"/>
      <w:bookmarkStart w:id="4" w:name="_Ref471775016"/>
    </w:p>
    <w:p w14:paraId="549A9F7B" w14:textId="67756AC7" w:rsidR="003B68E5" w:rsidRDefault="003B68E5" w:rsidP="003B68E5">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R2-191</w:t>
      </w:r>
      <w:r w:rsidR="005F268A">
        <w:rPr>
          <w:rFonts w:ascii="Times New Roman" w:eastAsia="SimSun" w:hAnsi="Times New Roman"/>
          <w:sz w:val="20"/>
          <w:szCs w:val="20"/>
        </w:rPr>
        <w:t>6285</w:t>
      </w:r>
      <w:r>
        <w:rPr>
          <w:rFonts w:ascii="Times New Roman" w:eastAsia="SimSun" w:hAnsi="Times New Roman"/>
          <w:sz w:val="20"/>
          <w:szCs w:val="20"/>
        </w:rPr>
        <w:t>, “</w:t>
      </w:r>
      <w:r w:rsidRPr="003B68E5">
        <w:rPr>
          <w:rFonts w:ascii="Times New Roman" w:eastAsia="SimSun" w:hAnsi="Times New Roman"/>
          <w:sz w:val="20"/>
          <w:szCs w:val="20"/>
        </w:rPr>
        <w:t>Report from session on Rel-15 and 16 LTE and NR positioning</w:t>
      </w:r>
      <w:r>
        <w:rPr>
          <w:rFonts w:ascii="Times New Roman" w:eastAsia="SimSun" w:hAnsi="Times New Roman"/>
          <w:sz w:val="20"/>
          <w:szCs w:val="20"/>
        </w:rPr>
        <w:t>”, 3GPP RAN2#10</w:t>
      </w:r>
      <w:r w:rsidR="005F268A">
        <w:rPr>
          <w:rFonts w:ascii="Times New Roman" w:eastAsia="SimSun" w:hAnsi="Times New Roman"/>
          <w:sz w:val="20"/>
          <w:szCs w:val="20"/>
        </w:rPr>
        <w:t>8</w:t>
      </w:r>
      <w:r>
        <w:rPr>
          <w:rFonts w:ascii="Times New Roman" w:eastAsia="SimSun" w:hAnsi="Times New Roman"/>
          <w:sz w:val="20"/>
          <w:szCs w:val="20"/>
        </w:rPr>
        <w:t xml:space="preserve">, </w:t>
      </w:r>
      <w:r w:rsidR="005F268A">
        <w:rPr>
          <w:rFonts w:ascii="Times New Roman" w:eastAsia="SimSun" w:hAnsi="Times New Roman"/>
          <w:sz w:val="20"/>
          <w:szCs w:val="20"/>
        </w:rPr>
        <w:t>November</w:t>
      </w:r>
      <w:r>
        <w:rPr>
          <w:rFonts w:ascii="Times New Roman" w:eastAsia="SimSun" w:hAnsi="Times New Roman"/>
          <w:sz w:val="20"/>
          <w:szCs w:val="20"/>
        </w:rPr>
        <w:t xml:space="preserve"> 2019.</w:t>
      </w:r>
    </w:p>
    <w:bookmarkEnd w:id="2"/>
    <w:bookmarkEnd w:id="3"/>
    <w:bookmarkEnd w:id="4"/>
    <w:p w14:paraId="002FC6C1" w14:textId="2A95805A" w:rsidR="00A91CA7" w:rsidRDefault="00C8018B" w:rsidP="001A641D">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R1-1913674</w:t>
      </w:r>
      <w:r w:rsidR="003B64FE">
        <w:rPr>
          <w:rFonts w:ascii="Times New Roman" w:eastAsia="SimSun" w:hAnsi="Times New Roman"/>
          <w:sz w:val="20"/>
          <w:szCs w:val="20"/>
        </w:rPr>
        <w:t>,</w:t>
      </w:r>
      <w:r w:rsidR="00A91CA7">
        <w:rPr>
          <w:rFonts w:ascii="Times New Roman" w:eastAsia="SimSun" w:hAnsi="Times New Roman"/>
          <w:sz w:val="20"/>
          <w:szCs w:val="20"/>
        </w:rPr>
        <w:t xml:space="preserve"> “</w:t>
      </w:r>
      <w:r>
        <w:rPr>
          <w:rFonts w:ascii="Times New Roman" w:eastAsia="SimSun" w:hAnsi="Times New Roman"/>
          <w:sz w:val="20"/>
          <w:szCs w:val="20"/>
        </w:rPr>
        <w:t>Updated consolidated parameter list for Rel-16 NR</w:t>
      </w:r>
      <w:r w:rsidR="00A91CA7">
        <w:rPr>
          <w:rFonts w:ascii="Times New Roman" w:eastAsia="SimSun" w:hAnsi="Times New Roman"/>
          <w:sz w:val="20"/>
          <w:szCs w:val="20"/>
        </w:rPr>
        <w:t xml:space="preserve">”, </w:t>
      </w:r>
      <w:r w:rsidR="00176B67">
        <w:rPr>
          <w:rFonts w:ascii="Times New Roman" w:eastAsia="SimSun" w:hAnsi="Times New Roman"/>
          <w:sz w:val="20"/>
          <w:szCs w:val="20"/>
        </w:rPr>
        <w:t>3GPP RAN</w:t>
      </w:r>
      <w:r>
        <w:rPr>
          <w:rFonts w:ascii="Times New Roman" w:eastAsia="SimSun" w:hAnsi="Times New Roman"/>
          <w:sz w:val="20"/>
          <w:szCs w:val="20"/>
        </w:rPr>
        <w:t>1</w:t>
      </w:r>
      <w:r w:rsidR="00176B67">
        <w:rPr>
          <w:rFonts w:ascii="Times New Roman" w:eastAsia="SimSun" w:hAnsi="Times New Roman"/>
          <w:sz w:val="20"/>
          <w:szCs w:val="20"/>
        </w:rPr>
        <w:t>#</w:t>
      </w:r>
      <w:r>
        <w:rPr>
          <w:rFonts w:ascii="Times New Roman" w:eastAsia="SimSun" w:hAnsi="Times New Roman"/>
          <w:sz w:val="20"/>
          <w:szCs w:val="20"/>
        </w:rPr>
        <w:t>99</w:t>
      </w:r>
      <w:r w:rsidR="00176B67">
        <w:rPr>
          <w:rFonts w:ascii="Times New Roman" w:eastAsia="SimSun" w:hAnsi="Times New Roman"/>
          <w:sz w:val="20"/>
          <w:szCs w:val="20"/>
        </w:rPr>
        <w:t xml:space="preserve">, </w:t>
      </w:r>
      <w:r>
        <w:rPr>
          <w:rFonts w:ascii="Times New Roman" w:eastAsia="SimSun" w:hAnsi="Times New Roman"/>
          <w:sz w:val="20"/>
          <w:szCs w:val="20"/>
        </w:rPr>
        <w:t>Nov</w:t>
      </w:r>
      <w:r w:rsidR="001A641D">
        <w:rPr>
          <w:rFonts w:ascii="Times New Roman" w:eastAsia="SimSun" w:hAnsi="Times New Roman"/>
          <w:sz w:val="20"/>
          <w:szCs w:val="20"/>
        </w:rPr>
        <w:t>.</w:t>
      </w:r>
      <w:r w:rsidR="00EE48B1">
        <w:rPr>
          <w:rFonts w:ascii="Times New Roman" w:eastAsia="SimSun" w:hAnsi="Times New Roman"/>
          <w:sz w:val="20"/>
          <w:szCs w:val="20"/>
        </w:rPr>
        <w:t xml:space="preserve"> 2019.</w:t>
      </w:r>
    </w:p>
    <w:p w14:paraId="6B145322" w14:textId="54677CE1" w:rsidR="00E55DDD" w:rsidRDefault="00E55DDD" w:rsidP="00D76DF5">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R2-20xxxxx, “Running CR 37.355-Capturing RAN1 parameters for positioning”, Intel, Feb. 2020</w:t>
      </w:r>
      <w:r w:rsidR="00857539">
        <w:rPr>
          <w:rFonts w:ascii="Times New Roman" w:eastAsia="SimSun" w:hAnsi="Times New Roman"/>
          <w:sz w:val="20"/>
          <w:szCs w:val="20"/>
        </w:rPr>
        <w:t>.</w:t>
      </w:r>
    </w:p>
    <w:p w14:paraId="41299CB5" w14:textId="4847A64E" w:rsidR="00980191" w:rsidRDefault="00980191" w:rsidP="00980191">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R2-20xxxxx, “Running CR 38.331-</w:t>
      </w:r>
      <w:r w:rsidRPr="00980191">
        <w:t xml:space="preserve"> </w:t>
      </w:r>
      <w:r w:rsidRPr="00980191">
        <w:rPr>
          <w:rFonts w:ascii="Times New Roman" w:eastAsia="SimSun" w:hAnsi="Times New Roman"/>
          <w:sz w:val="20"/>
          <w:szCs w:val="20"/>
        </w:rPr>
        <w:t>Running CR for the introduction of NR positioning</w:t>
      </w:r>
      <w:r>
        <w:rPr>
          <w:rFonts w:ascii="Times New Roman" w:eastAsia="SimSun" w:hAnsi="Times New Roman"/>
          <w:sz w:val="20"/>
          <w:szCs w:val="20"/>
        </w:rPr>
        <w:t>”, Ericsson, Feb. 2020.</w:t>
      </w:r>
    </w:p>
    <w:p w14:paraId="4D7B1549" w14:textId="77777777" w:rsidR="00A91CA7" w:rsidRPr="002A488B" w:rsidRDefault="00A91CA7" w:rsidP="00A91CA7">
      <w:pPr>
        <w:rPr>
          <w:lang w:val="en-US"/>
        </w:rPr>
      </w:pPr>
    </w:p>
    <w:p w14:paraId="05EC6704" w14:textId="77777777" w:rsidR="00646EE2" w:rsidRPr="00A91CA7" w:rsidRDefault="00646EE2">
      <w:pPr>
        <w:rPr>
          <w:lang w:val="en-US"/>
        </w:rPr>
      </w:pPr>
    </w:p>
    <w:sectPr w:rsidR="00646EE2" w:rsidRPr="00A91CA7" w:rsidSect="002A488B">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DD12E" w14:textId="77777777" w:rsidR="00C35CAA" w:rsidRDefault="00C35CAA">
      <w:pPr>
        <w:spacing w:after="0"/>
      </w:pPr>
      <w:r>
        <w:separator/>
      </w:r>
    </w:p>
  </w:endnote>
  <w:endnote w:type="continuationSeparator" w:id="0">
    <w:p w14:paraId="7941F0BA" w14:textId="77777777" w:rsidR="00C35CAA" w:rsidRDefault="00C35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C35CAA"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6E53C2">
      <w:rPr>
        <w:rStyle w:val="CharChar2"/>
        <w:b/>
        <w:i/>
        <w:noProof/>
        <w:sz w:val="18"/>
      </w:rPr>
      <w:t>4</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6E53C2">
      <w:rPr>
        <w:rStyle w:val="CharChar2"/>
        <w:b/>
        <w:i/>
        <w:noProof/>
        <w:sz w:val="18"/>
      </w:rPr>
      <w:t>4</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E264F" w14:textId="77777777" w:rsidR="00C35CAA" w:rsidRDefault="00C35CAA">
      <w:pPr>
        <w:spacing w:after="0"/>
      </w:pPr>
      <w:r>
        <w:separator/>
      </w:r>
    </w:p>
  </w:footnote>
  <w:footnote w:type="continuationSeparator" w:id="0">
    <w:p w14:paraId="363BD09D" w14:textId="77777777" w:rsidR="00C35CAA" w:rsidRDefault="00C35C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nsid w:val="1DAD347B"/>
    <w:multiLevelType w:val="hybridMultilevel"/>
    <w:tmpl w:val="EB8A9F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
  </w:num>
  <w:num w:numId="2">
    <w:abstractNumId w:val="0"/>
  </w:num>
  <w:num w:numId="3">
    <w:abstractNumId w:val="5"/>
  </w:num>
  <w:num w:numId="4">
    <w:abstractNumId w:val="2"/>
  </w:num>
  <w:num w:numId="5">
    <w:abstractNumId w:val="7"/>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050FC"/>
    <w:rsid w:val="00014C6D"/>
    <w:rsid w:val="00021504"/>
    <w:rsid w:val="00025833"/>
    <w:rsid w:val="0003008D"/>
    <w:rsid w:val="00043DCB"/>
    <w:rsid w:val="00054F7E"/>
    <w:rsid w:val="000746E9"/>
    <w:rsid w:val="00080683"/>
    <w:rsid w:val="00083FD0"/>
    <w:rsid w:val="00090A8A"/>
    <w:rsid w:val="00095439"/>
    <w:rsid w:val="000970B3"/>
    <w:rsid w:val="000A7930"/>
    <w:rsid w:val="000B067C"/>
    <w:rsid w:val="000B1097"/>
    <w:rsid w:val="000B1FC1"/>
    <w:rsid w:val="000C145D"/>
    <w:rsid w:val="000C75D3"/>
    <w:rsid w:val="000D15BE"/>
    <w:rsid w:val="000D26DB"/>
    <w:rsid w:val="000D6E13"/>
    <w:rsid w:val="000E272F"/>
    <w:rsid w:val="000E79FC"/>
    <w:rsid w:val="000F16FD"/>
    <w:rsid w:val="000F18A5"/>
    <w:rsid w:val="001061AF"/>
    <w:rsid w:val="001128BB"/>
    <w:rsid w:val="0012322F"/>
    <w:rsid w:val="0012788D"/>
    <w:rsid w:val="00131AE0"/>
    <w:rsid w:val="00140C2F"/>
    <w:rsid w:val="00145AD1"/>
    <w:rsid w:val="00150071"/>
    <w:rsid w:val="00161D3D"/>
    <w:rsid w:val="001629F8"/>
    <w:rsid w:val="00166724"/>
    <w:rsid w:val="0017131C"/>
    <w:rsid w:val="0017421D"/>
    <w:rsid w:val="00176201"/>
    <w:rsid w:val="00176B67"/>
    <w:rsid w:val="00180ED5"/>
    <w:rsid w:val="001822B2"/>
    <w:rsid w:val="001856D3"/>
    <w:rsid w:val="00186F3F"/>
    <w:rsid w:val="00192C14"/>
    <w:rsid w:val="001A641D"/>
    <w:rsid w:val="001A7C7C"/>
    <w:rsid w:val="001B0712"/>
    <w:rsid w:val="001B0B30"/>
    <w:rsid w:val="001C1E80"/>
    <w:rsid w:val="001D3448"/>
    <w:rsid w:val="001D3962"/>
    <w:rsid w:val="001E5F2D"/>
    <w:rsid w:val="001F1625"/>
    <w:rsid w:val="0020483F"/>
    <w:rsid w:val="00210716"/>
    <w:rsid w:val="00210737"/>
    <w:rsid w:val="002135B3"/>
    <w:rsid w:val="0022410C"/>
    <w:rsid w:val="00224CBB"/>
    <w:rsid w:val="00233F8C"/>
    <w:rsid w:val="00237913"/>
    <w:rsid w:val="002447AA"/>
    <w:rsid w:val="00244DAC"/>
    <w:rsid w:val="00256BA0"/>
    <w:rsid w:val="0026117F"/>
    <w:rsid w:val="00280D65"/>
    <w:rsid w:val="00286288"/>
    <w:rsid w:val="00291E8B"/>
    <w:rsid w:val="002C1238"/>
    <w:rsid w:val="002C170E"/>
    <w:rsid w:val="002C1CF8"/>
    <w:rsid w:val="002F58E7"/>
    <w:rsid w:val="003001BB"/>
    <w:rsid w:val="00304E21"/>
    <w:rsid w:val="003055DF"/>
    <w:rsid w:val="003132D6"/>
    <w:rsid w:val="003159D4"/>
    <w:rsid w:val="00324EFB"/>
    <w:rsid w:val="003451C1"/>
    <w:rsid w:val="00346BFC"/>
    <w:rsid w:val="0034707E"/>
    <w:rsid w:val="00347123"/>
    <w:rsid w:val="00354D45"/>
    <w:rsid w:val="00362691"/>
    <w:rsid w:val="00376CD5"/>
    <w:rsid w:val="00382E50"/>
    <w:rsid w:val="00392866"/>
    <w:rsid w:val="003A3058"/>
    <w:rsid w:val="003A782E"/>
    <w:rsid w:val="003B5B7A"/>
    <w:rsid w:val="003B64FE"/>
    <w:rsid w:val="003B68E5"/>
    <w:rsid w:val="003C64CA"/>
    <w:rsid w:val="003F68D2"/>
    <w:rsid w:val="004270DF"/>
    <w:rsid w:val="00440ED4"/>
    <w:rsid w:val="00442306"/>
    <w:rsid w:val="004466FC"/>
    <w:rsid w:val="00451CBC"/>
    <w:rsid w:val="00455685"/>
    <w:rsid w:val="00462B52"/>
    <w:rsid w:val="00463D81"/>
    <w:rsid w:val="004641DF"/>
    <w:rsid w:val="004648A6"/>
    <w:rsid w:val="0048211E"/>
    <w:rsid w:val="00483A8F"/>
    <w:rsid w:val="00491A20"/>
    <w:rsid w:val="00491F0D"/>
    <w:rsid w:val="00494865"/>
    <w:rsid w:val="004A4DB7"/>
    <w:rsid w:val="004B5D85"/>
    <w:rsid w:val="004D3ECE"/>
    <w:rsid w:val="004E2E19"/>
    <w:rsid w:val="004F0EB7"/>
    <w:rsid w:val="004F0EEC"/>
    <w:rsid w:val="004F5ADB"/>
    <w:rsid w:val="005051B6"/>
    <w:rsid w:val="00513D40"/>
    <w:rsid w:val="005141ED"/>
    <w:rsid w:val="00517598"/>
    <w:rsid w:val="00517BEE"/>
    <w:rsid w:val="00542BE7"/>
    <w:rsid w:val="00547351"/>
    <w:rsid w:val="005501F8"/>
    <w:rsid w:val="00550730"/>
    <w:rsid w:val="00567019"/>
    <w:rsid w:val="005811F7"/>
    <w:rsid w:val="005A26C6"/>
    <w:rsid w:val="005A5F63"/>
    <w:rsid w:val="005A6600"/>
    <w:rsid w:val="005C090F"/>
    <w:rsid w:val="005D23FC"/>
    <w:rsid w:val="005D5692"/>
    <w:rsid w:val="005D61AA"/>
    <w:rsid w:val="005D7F94"/>
    <w:rsid w:val="005E25A8"/>
    <w:rsid w:val="005E2A56"/>
    <w:rsid w:val="005F268A"/>
    <w:rsid w:val="005F3857"/>
    <w:rsid w:val="006016C9"/>
    <w:rsid w:val="00617B84"/>
    <w:rsid w:val="00621B06"/>
    <w:rsid w:val="00627906"/>
    <w:rsid w:val="006311C9"/>
    <w:rsid w:val="00643357"/>
    <w:rsid w:val="00644250"/>
    <w:rsid w:val="00646EE2"/>
    <w:rsid w:val="00667135"/>
    <w:rsid w:val="006676AC"/>
    <w:rsid w:val="00675D55"/>
    <w:rsid w:val="00682882"/>
    <w:rsid w:val="00694A0D"/>
    <w:rsid w:val="0069596F"/>
    <w:rsid w:val="006A3BB7"/>
    <w:rsid w:val="006D313B"/>
    <w:rsid w:val="006D3586"/>
    <w:rsid w:val="006D56F8"/>
    <w:rsid w:val="006D69CD"/>
    <w:rsid w:val="006E53C2"/>
    <w:rsid w:val="006F2488"/>
    <w:rsid w:val="007042FD"/>
    <w:rsid w:val="0071010D"/>
    <w:rsid w:val="00710507"/>
    <w:rsid w:val="0071191F"/>
    <w:rsid w:val="00711A47"/>
    <w:rsid w:val="0072768C"/>
    <w:rsid w:val="0073381C"/>
    <w:rsid w:val="0074011A"/>
    <w:rsid w:val="007402FC"/>
    <w:rsid w:val="007434B7"/>
    <w:rsid w:val="00747721"/>
    <w:rsid w:val="00747B75"/>
    <w:rsid w:val="0075111C"/>
    <w:rsid w:val="00753086"/>
    <w:rsid w:val="00764F48"/>
    <w:rsid w:val="00770A19"/>
    <w:rsid w:val="00776159"/>
    <w:rsid w:val="00784B83"/>
    <w:rsid w:val="00793944"/>
    <w:rsid w:val="007947B5"/>
    <w:rsid w:val="0079480D"/>
    <w:rsid w:val="007A5598"/>
    <w:rsid w:val="007A660F"/>
    <w:rsid w:val="007A785E"/>
    <w:rsid w:val="007B518E"/>
    <w:rsid w:val="007C131A"/>
    <w:rsid w:val="007D2C84"/>
    <w:rsid w:val="007D74F0"/>
    <w:rsid w:val="007F2BCE"/>
    <w:rsid w:val="007F65C4"/>
    <w:rsid w:val="0080415B"/>
    <w:rsid w:val="008215A6"/>
    <w:rsid w:val="00831C20"/>
    <w:rsid w:val="00832A6B"/>
    <w:rsid w:val="00834D6E"/>
    <w:rsid w:val="0083750F"/>
    <w:rsid w:val="008424BF"/>
    <w:rsid w:val="00842FEC"/>
    <w:rsid w:val="008501D1"/>
    <w:rsid w:val="00857539"/>
    <w:rsid w:val="00871585"/>
    <w:rsid w:val="00871FFF"/>
    <w:rsid w:val="00883598"/>
    <w:rsid w:val="008843EE"/>
    <w:rsid w:val="0089687A"/>
    <w:rsid w:val="008A4123"/>
    <w:rsid w:val="008A6AC1"/>
    <w:rsid w:val="008A6B62"/>
    <w:rsid w:val="008B2E73"/>
    <w:rsid w:val="008C55F6"/>
    <w:rsid w:val="008D26CA"/>
    <w:rsid w:val="008D42FE"/>
    <w:rsid w:val="008E098F"/>
    <w:rsid w:val="008F39C1"/>
    <w:rsid w:val="008F4728"/>
    <w:rsid w:val="00901C5F"/>
    <w:rsid w:val="00901FBA"/>
    <w:rsid w:val="00905D8A"/>
    <w:rsid w:val="009068E6"/>
    <w:rsid w:val="00914E08"/>
    <w:rsid w:val="009251C5"/>
    <w:rsid w:val="00931E4B"/>
    <w:rsid w:val="00935B68"/>
    <w:rsid w:val="0093647B"/>
    <w:rsid w:val="00936D40"/>
    <w:rsid w:val="009652B5"/>
    <w:rsid w:val="00967DE8"/>
    <w:rsid w:val="009756F4"/>
    <w:rsid w:val="0097595E"/>
    <w:rsid w:val="00980191"/>
    <w:rsid w:val="009A5AEE"/>
    <w:rsid w:val="009A615A"/>
    <w:rsid w:val="009C4C79"/>
    <w:rsid w:val="009C6DB6"/>
    <w:rsid w:val="009D0AA3"/>
    <w:rsid w:val="009D46BC"/>
    <w:rsid w:val="009D5FF1"/>
    <w:rsid w:val="009E0A00"/>
    <w:rsid w:val="009E38BA"/>
    <w:rsid w:val="00A15CBF"/>
    <w:rsid w:val="00A15EE7"/>
    <w:rsid w:val="00A15F50"/>
    <w:rsid w:val="00A200A3"/>
    <w:rsid w:val="00A41A5A"/>
    <w:rsid w:val="00A42EB8"/>
    <w:rsid w:val="00A51E95"/>
    <w:rsid w:val="00A558E7"/>
    <w:rsid w:val="00A603DB"/>
    <w:rsid w:val="00A63325"/>
    <w:rsid w:val="00A85595"/>
    <w:rsid w:val="00A91CA7"/>
    <w:rsid w:val="00A928ED"/>
    <w:rsid w:val="00AC3F03"/>
    <w:rsid w:val="00AD04AA"/>
    <w:rsid w:val="00AD75F7"/>
    <w:rsid w:val="00AE2D07"/>
    <w:rsid w:val="00AE7D13"/>
    <w:rsid w:val="00AF1B78"/>
    <w:rsid w:val="00AF45EB"/>
    <w:rsid w:val="00AF7A11"/>
    <w:rsid w:val="00B07CB2"/>
    <w:rsid w:val="00B12148"/>
    <w:rsid w:val="00B13F72"/>
    <w:rsid w:val="00B17A19"/>
    <w:rsid w:val="00B258CB"/>
    <w:rsid w:val="00B313FB"/>
    <w:rsid w:val="00B4056A"/>
    <w:rsid w:val="00B407DF"/>
    <w:rsid w:val="00B43A8C"/>
    <w:rsid w:val="00B50152"/>
    <w:rsid w:val="00B542F1"/>
    <w:rsid w:val="00B54D9E"/>
    <w:rsid w:val="00B672BF"/>
    <w:rsid w:val="00B72E4B"/>
    <w:rsid w:val="00B9254F"/>
    <w:rsid w:val="00B958C0"/>
    <w:rsid w:val="00B973B8"/>
    <w:rsid w:val="00BA37DE"/>
    <w:rsid w:val="00BA435F"/>
    <w:rsid w:val="00BB62BC"/>
    <w:rsid w:val="00BB6C5C"/>
    <w:rsid w:val="00BC2419"/>
    <w:rsid w:val="00BC46A6"/>
    <w:rsid w:val="00BC5099"/>
    <w:rsid w:val="00BE1D13"/>
    <w:rsid w:val="00BE2A44"/>
    <w:rsid w:val="00BE43A1"/>
    <w:rsid w:val="00BF0513"/>
    <w:rsid w:val="00BF3D10"/>
    <w:rsid w:val="00BF63A2"/>
    <w:rsid w:val="00C12FA1"/>
    <w:rsid w:val="00C14681"/>
    <w:rsid w:val="00C15F4E"/>
    <w:rsid w:val="00C25A5C"/>
    <w:rsid w:val="00C310CA"/>
    <w:rsid w:val="00C31B11"/>
    <w:rsid w:val="00C35CAA"/>
    <w:rsid w:val="00C4327A"/>
    <w:rsid w:val="00C45DAD"/>
    <w:rsid w:val="00C54656"/>
    <w:rsid w:val="00C7507F"/>
    <w:rsid w:val="00C75B11"/>
    <w:rsid w:val="00C8018B"/>
    <w:rsid w:val="00C86947"/>
    <w:rsid w:val="00CA27C3"/>
    <w:rsid w:val="00CA7FAE"/>
    <w:rsid w:val="00CB7774"/>
    <w:rsid w:val="00CC6485"/>
    <w:rsid w:val="00CD0ECB"/>
    <w:rsid w:val="00CD773B"/>
    <w:rsid w:val="00CE1280"/>
    <w:rsid w:val="00CE4386"/>
    <w:rsid w:val="00CF1955"/>
    <w:rsid w:val="00CF4311"/>
    <w:rsid w:val="00D133BC"/>
    <w:rsid w:val="00D17BF2"/>
    <w:rsid w:val="00D41694"/>
    <w:rsid w:val="00D45D7A"/>
    <w:rsid w:val="00D52C74"/>
    <w:rsid w:val="00D60899"/>
    <w:rsid w:val="00D620D3"/>
    <w:rsid w:val="00D64484"/>
    <w:rsid w:val="00D64A93"/>
    <w:rsid w:val="00D66AD1"/>
    <w:rsid w:val="00D7169A"/>
    <w:rsid w:val="00D71888"/>
    <w:rsid w:val="00D71ED7"/>
    <w:rsid w:val="00D76DF5"/>
    <w:rsid w:val="00D83A46"/>
    <w:rsid w:val="00D9308C"/>
    <w:rsid w:val="00D94BAF"/>
    <w:rsid w:val="00D94D26"/>
    <w:rsid w:val="00DB01AA"/>
    <w:rsid w:val="00DB1D27"/>
    <w:rsid w:val="00DB5CA7"/>
    <w:rsid w:val="00DC1294"/>
    <w:rsid w:val="00DE084E"/>
    <w:rsid w:val="00DE460F"/>
    <w:rsid w:val="00DF0864"/>
    <w:rsid w:val="00E127CF"/>
    <w:rsid w:val="00E222A8"/>
    <w:rsid w:val="00E24EB5"/>
    <w:rsid w:val="00E32DA8"/>
    <w:rsid w:val="00E434C8"/>
    <w:rsid w:val="00E46E86"/>
    <w:rsid w:val="00E50EEC"/>
    <w:rsid w:val="00E51FE7"/>
    <w:rsid w:val="00E52A61"/>
    <w:rsid w:val="00E532FC"/>
    <w:rsid w:val="00E5404B"/>
    <w:rsid w:val="00E553B7"/>
    <w:rsid w:val="00E55DDD"/>
    <w:rsid w:val="00E668F1"/>
    <w:rsid w:val="00E74773"/>
    <w:rsid w:val="00E8327F"/>
    <w:rsid w:val="00E93E84"/>
    <w:rsid w:val="00E945A8"/>
    <w:rsid w:val="00E95CA9"/>
    <w:rsid w:val="00EB4CD2"/>
    <w:rsid w:val="00EB68AB"/>
    <w:rsid w:val="00EC041A"/>
    <w:rsid w:val="00EC600B"/>
    <w:rsid w:val="00EC6EFB"/>
    <w:rsid w:val="00EC7D86"/>
    <w:rsid w:val="00ED1623"/>
    <w:rsid w:val="00ED5D94"/>
    <w:rsid w:val="00EE48B1"/>
    <w:rsid w:val="00EF34BB"/>
    <w:rsid w:val="00EF3949"/>
    <w:rsid w:val="00EF5827"/>
    <w:rsid w:val="00EF615D"/>
    <w:rsid w:val="00F00AB4"/>
    <w:rsid w:val="00F0739E"/>
    <w:rsid w:val="00F103D9"/>
    <w:rsid w:val="00F17288"/>
    <w:rsid w:val="00F3704E"/>
    <w:rsid w:val="00F37469"/>
    <w:rsid w:val="00F409AD"/>
    <w:rsid w:val="00F44E6D"/>
    <w:rsid w:val="00F51DAF"/>
    <w:rsid w:val="00F52C68"/>
    <w:rsid w:val="00F6109A"/>
    <w:rsid w:val="00F6220F"/>
    <w:rsid w:val="00F80A39"/>
    <w:rsid w:val="00FA0A21"/>
    <w:rsid w:val="00FB4912"/>
    <w:rsid w:val="00FC1D37"/>
    <w:rsid w:val="00FC73AB"/>
    <w:rsid w:val="00FC7DB3"/>
    <w:rsid w:val="00FE239D"/>
    <w:rsid w:val="00FE74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basedOn w:val="Normal"/>
    <w:link w:val="ListParagraphChar"/>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qForma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871F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71FFF"/>
    <w:rPr>
      <w:rFonts w:ascii="Arial" w:eastAsia="MS Mincho" w:hAnsi="Arial" w:cs="Times New Roman"/>
      <w:sz w:val="20"/>
      <w:szCs w:val="24"/>
      <w:lang w:val="en-GB" w:eastAsia="en-GB"/>
    </w:rPr>
  </w:style>
  <w:style w:type="paragraph" w:styleId="DocumentMap">
    <w:name w:val="Document Map"/>
    <w:basedOn w:val="Normal"/>
    <w:link w:val="DocumentMapChar"/>
    <w:semiHidden/>
    <w:rsid w:val="00FC7DB3"/>
    <w:pPr>
      <w:shd w:val="clear" w:color="auto" w:fill="000080"/>
      <w:overflowPunct/>
      <w:autoSpaceDE/>
      <w:autoSpaceDN/>
      <w:adjustRightInd/>
      <w:spacing w:before="40" w:after="0"/>
      <w:textAlignment w:val="auto"/>
    </w:pPr>
    <w:rPr>
      <w:rFonts w:ascii="Tahoma" w:eastAsia="MS Mincho" w:hAnsi="Tahoma" w:cs="Tahoma"/>
      <w:lang w:eastAsia="en-GB"/>
    </w:rPr>
  </w:style>
  <w:style w:type="character" w:customStyle="1" w:styleId="DocumentMapChar">
    <w:name w:val="Document Map Char"/>
    <w:basedOn w:val="DefaultParagraphFont"/>
    <w:link w:val="DocumentMap"/>
    <w:semiHidden/>
    <w:rsid w:val="00FC7DB3"/>
    <w:rPr>
      <w:rFonts w:ascii="Tahoma" w:eastAsia="MS Mincho" w:hAnsi="Tahoma" w:cs="Tahoma"/>
      <w:sz w:val="20"/>
      <w:szCs w:val="20"/>
      <w:shd w:val="clear" w:color="auto" w:fill="000080"/>
      <w:lang w:val="en-GB" w:eastAsia="en-GB"/>
    </w:rPr>
  </w:style>
  <w:style w:type="paragraph" w:customStyle="1" w:styleId="TAL">
    <w:name w:val="TAL"/>
    <w:basedOn w:val="Normal"/>
    <w:qFormat/>
    <w:rsid w:val="00A558E7"/>
    <w:pPr>
      <w:keepNext/>
      <w:keepLines/>
      <w:overflowPunct/>
      <w:autoSpaceDE/>
      <w:autoSpaceDN/>
      <w:adjustRightInd/>
      <w:spacing w:after="0"/>
      <w:textAlignment w:val="auto"/>
    </w:pPr>
    <w:rPr>
      <w:rFonts w:ascii="Arial" w:eastAsia="Times New Roman" w:hAnsi="Arial"/>
      <w:sz w:val="18"/>
    </w:rPr>
  </w:style>
  <w:style w:type="paragraph" w:customStyle="1" w:styleId="TAH">
    <w:name w:val="TAH"/>
    <w:basedOn w:val="Normal"/>
    <w:link w:val="TAHCar"/>
    <w:rsid w:val="00A558E7"/>
    <w:pPr>
      <w:keepNext/>
      <w:keepLines/>
      <w:overflowPunct/>
      <w:autoSpaceDE/>
      <w:autoSpaceDN/>
      <w:adjustRightInd/>
      <w:spacing w:after="0"/>
      <w:jc w:val="center"/>
      <w:textAlignment w:val="auto"/>
    </w:pPr>
    <w:rPr>
      <w:rFonts w:ascii="Arial" w:eastAsia="Times New Roman" w:hAnsi="Arial"/>
      <w:b/>
      <w:sz w:val="18"/>
    </w:rPr>
  </w:style>
  <w:style w:type="character" w:customStyle="1" w:styleId="TAHCar">
    <w:name w:val="TAH Car"/>
    <w:link w:val="TAH"/>
    <w:rsid w:val="00A558E7"/>
    <w:rPr>
      <w:rFonts w:ascii="Arial" w:eastAsia="Times New Roman" w:hAnsi="Arial" w:cs="Times New Roman"/>
      <w:b/>
      <w:sz w:val="18"/>
      <w:szCs w:val="20"/>
      <w:lang w:val="en-GB"/>
    </w:rPr>
  </w:style>
  <w:style w:type="paragraph" w:styleId="Caption">
    <w:name w:val="caption"/>
    <w:basedOn w:val="Normal"/>
    <w:next w:val="Normal"/>
    <w:uiPriority w:val="35"/>
    <w:unhideWhenUsed/>
    <w:qFormat/>
    <w:rsid w:val="00A558E7"/>
    <w:pPr>
      <w:spacing w:after="200"/>
    </w:pPr>
    <w:rPr>
      <w:i/>
      <w:iCs/>
      <w:color w:val="44546A" w:themeColor="text2"/>
      <w:sz w:val="18"/>
      <w:szCs w:val="18"/>
    </w:rPr>
  </w:style>
  <w:style w:type="paragraph" w:customStyle="1" w:styleId="3GPPAgreements">
    <w:name w:val="3GPP Agreements"/>
    <w:basedOn w:val="Normal"/>
    <w:qFormat/>
    <w:rsid w:val="00A63325"/>
    <w:pPr>
      <w:numPr>
        <w:numId w:val="6"/>
      </w:numPr>
      <w:spacing w:before="60" w:after="60"/>
      <w:jc w:val="both"/>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24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1319</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LGE</cp:lastModifiedBy>
  <cp:revision>3</cp:revision>
  <cp:lastPrinted>2019-08-15T13:29:00Z</cp:lastPrinted>
  <dcterms:created xsi:type="dcterms:W3CDTF">2020-02-13T14:22:00Z</dcterms:created>
  <dcterms:modified xsi:type="dcterms:W3CDTF">2020-02-13T15:17:00Z</dcterms:modified>
</cp:coreProperties>
</file>