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845D2" w14:textId="2B21FC12" w:rsidR="00F12446" w:rsidRPr="00383F56" w:rsidRDefault="00F12446" w:rsidP="00F12446">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w:t>
      </w:r>
      <w:r w:rsidR="00F3121A">
        <w:rPr>
          <w:rFonts w:ascii="Arial" w:eastAsia="Times New Roman" w:hAnsi="Arial"/>
          <w:b/>
          <w:sz w:val="24"/>
          <w:szCs w:val="24"/>
        </w:rPr>
        <w:t>9</w:t>
      </w:r>
      <w:r w:rsidR="00012655" w:rsidRPr="00012655">
        <w:t xml:space="preserve"> </w:t>
      </w:r>
      <w:r w:rsidR="00012655" w:rsidRPr="00012655">
        <w:rPr>
          <w:rFonts w:ascii="Arial" w:eastAsia="Times New Roman" w:hAnsi="Arial"/>
          <w:b/>
          <w:sz w:val="24"/>
          <w:szCs w:val="24"/>
        </w:rPr>
        <w:t>electronic</w:t>
      </w:r>
      <w:r w:rsidRPr="00383F56">
        <w:rPr>
          <w:rFonts w:ascii="Arial" w:eastAsia="Times New Roman" w:hAnsi="Arial"/>
          <w:b/>
          <w:bCs/>
          <w:sz w:val="24"/>
          <w:szCs w:val="24"/>
        </w:rPr>
        <w:tab/>
        <w:t>R2-</w:t>
      </w:r>
      <w:r w:rsidR="00F3121A" w:rsidRPr="00F3121A">
        <w:rPr>
          <w:rFonts w:ascii="Arial" w:eastAsia="Times New Roman" w:hAnsi="Arial"/>
          <w:b/>
          <w:bCs/>
          <w:sz w:val="24"/>
          <w:szCs w:val="24"/>
        </w:rPr>
        <w:t>20</w:t>
      </w:r>
      <w:r w:rsidR="00AC2CB5">
        <w:rPr>
          <w:rFonts w:ascii="Arial" w:eastAsia="Times New Roman" w:hAnsi="Arial"/>
          <w:b/>
          <w:bCs/>
          <w:sz w:val="24"/>
          <w:szCs w:val="24"/>
        </w:rPr>
        <w:t>00739</w:t>
      </w:r>
    </w:p>
    <w:p w14:paraId="08415DBA" w14:textId="001ADC4C" w:rsidR="00F83230" w:rsidRPr="00F12446" w:rsidRDefault="0026441B" w:rsidP="00F12446">
      <w:pPr>
        <w:tabs>
          <w:tab w:val="left" w:pos="1985"/>
        </w:tabs>
        <w:autoSpaceDE/>
        <w:autoSpaceDN/>
        <w:adjustRightInd/>
        <w:snapToGrid/>
        <w:rPr>
          <w:rFonts w:ascii="Arial" w:eastAsia="MS Mincho" w:hAnsi="Arial" w:cs="Arial"/>
          <w:bCs/>
          <w:sz w:val="24"/>
          <w:szCs w:val="20"/>
        </w:rPr>
      </w:pPr>
      <w:r>
        <w:rPr>
          <w:rFonts w:ascii="Arial" w:hAnsi="Arial"/>
          <w:b/>
          <w:sz w:val="24"/>
          <w:szCs w:val="24"/>
        </w:rPr>
        <w:t>Elbonia</w:t>
      </w:r>
      <w:r w:rsidR="00096F29" w:rsidRPr="00096F29">
        <w:rPr>
          <w:rFonts w:ascii="Arial" w:hAnsi="Arial"/>
          <w:b/>
          <w:sz w:val="24"/>
          <w:szCs w:val="24"/>
        </w:rPr>
        <w:t xml:space="preserve">, </w:t>
      </w:r>
      <w:r w:rsidR="001B45C8">
        <w:rPr>
          <w:rFonts w:ascii="Arial" w:hAnsi="Arial"/>
          <w:b/>
          <w:sz w:val="24"/>
          <w:szCs w:val="24"/>
        </w:rPr>
        <w:t>24</w:t>
      </w:r>
      <w:r w:rsidR="00096F29" w:rsidRPr="00096F29">
        <w:rPr>
          <w:rFonts w:ascii="Arial" w:hAnsi="Arial"/>
          <w:b/>
          <w:sz w:val="24"/>
          <w:szCs w:val="24"/>
        </w:rPr>
        <w:t xml:space="preserve"> </w:t>
      </w:r>
      <w:r w:rsidR="001B45C8">
        <w:rPr>
          <w:rFonts w:ascii="Arial" w:hAnsi="Arial"/>
          <w:b/>
          <w:sz w:val="24"/>
          <w:szCs w:val="24"/>
        </w:rPr>
        <w:t>February</w:t>
      </w:r>
      <w:r w:rsidR="00096F29" w:rsidRPr="00096F29">
        <w:rPr>
          <w:rFonts w:ascii="Arial" w:hAnsi="Arial"/>
          <w:b/>
          <w:sz w:val="24"/>
          <w:szCs w:val="24"/>
        </w:rPr>
        <w:t xml:space="preserve"> – </w:t>
      </w:r>
      <w:r>
        <w:rPr>
          <w:rFonts w:ascii="Arial" w:hAnsi="Arial"/>
          <w:b/>
          <w:sz w:val="24"/>
          <w:szCs w:val="24"/>
        </w:rPr>
        <w:t>6</w:t>
      </w:r>
      <w:r w:rsidR="00096F29" w:rsidRPr="00096F29">
        <w:rPr>
          <w:rFonts w:ascii="Arial" w:hAnsi="Arial"/>
          <w:b/>
          <w:sz w:val="24"/>
          <w:szCs w:val="24"/>
        </w:rPr>
        <w:t xml:space="preserve"> </w:t>
      </w:r>
      <w:r>
        <w:rPr>
          <w:rFonts w:ascii="Arial" w:hAnsi="Arial"/>
          <w:b/>
          <w:sz w:val="24"/>
          <w:szCs w:val="24"/>
        </w:rPr>
        <w:t>March</w:t>
      </w:r>
      <w:r w:rsidR="00096F29" w:rsidRPr="00096F29">
        <w:rPr>
          <w:rFonts w:ascii="Arial" w:hAnsi="Arial"/>
          <w:b/>
          <w:sz w:val="24"/>
          <w:szCs w:val="24"/>
        </w:rPr>
        <w:t xml:space="preserve"> 20</w:t>
      </w:r>
      <w:r w:rsidR="001B45C8">
        <w:rPr>
          <w:rFonts w:ascii="Arial" w:hAnsi="Arial"/>
          <w:b/>
          <w:sz w:val="24"/>
          <w:szCs w:val="24"/>
        </w:rPr>
        <w:t>20</w:t>
      </w:r>
    </w:p>
    <w:p w14:paraId="4EB55C58" w14:textId="77777777" w:rsidR="009E169A" w:rsidRDefault="009E169A" w:rsidP="009E169A">
      <w:pPr>
        <w:tabs>
          <w:tab w:val="left" w:pos="1985"/>
        </w:tabs>
        <w:autoSpaceDE/>
        <w:autoSpaceDN/>
        <w:adjustRightInd/>
        <w:snapToGrid/>
        <w:rPr>
          <w:rFonts w:ascii="Arial" w:eastAsia="MS Mincho" w:hAnsi="Arial" w:cs="Arial"/>
          <w:b/>
          <w:bCs/>
          <w:sz w:val="24"/>
          <w:szCs w:val="20"/>
        </w:rPr>
      </w:pPr>
    </w:p>
    <w:p w14:paraId="1EA48984" w14:textId="2C3B9103"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w:t>
      </w:r>
      <w:bookmarkStart w:id="1" w:name="_GoBack"/>
      <w:bookmarkEnd w:id="1"/>
      <w:r w:rsidRPr="009E169A">
        <w:rPr>
          <w:rFonts w:ascii="Arial" w:eastAsia="MS Mincho" w:hAnsi="Arial" w:cs="Arial"/>
          <w:b/>
          <w:bCs/>
          <w:sz w:val="24"/>
          <w:szCs w:val="20"/>
        </w:rPr>
        <w:t>m:</w:t>
      </w:r>
      <w:r w:rsidRPr="009E169A">
        <w:rPr>
          <w:rFonts w:ascii="Arial" w:eastAsia="MS Mincho" w:hAnsi="Arial" w:cs="Arial"/>
          <w:b/>
          <w:bCs/>
          <w:sz w:val="24"/>
          <w:szCs w:val="20"/>
        </w:rPr>
        <w:tab/>
      </w:r>
      <w:r w:rsidR="00FB47F2" w:rsidRPr="00CB310B">
        <w:rPr>
          <w:rFonts w:ascii="Arial" w:eastAsia="MS Mincho" w:hAnsi="Arial" w:cs="Arial"/>
          <w:b/>
          <w:bCs/>
          <w:sz w:val="24"/>
          <w:szCs w:val="20"/>
        </w:rPr>
        <w:t>6</w:t>
      </w:r>
      <w:r w:rsidR="003C5F63" w:rsidRPr="00CB310B">
        <w:rPr>
          <w:rFonts w:ascii="Arial" w:eastAsia="MS Mincho" w:hAnsi="Arial" w:cs="Arial"/>
          <w:b/>
          <w:bCs/>
          <w:sz w:val="24"/>
          <w:szCs w:val="20"/>
        </w:rPr>
        <w:t>.4.2</w:t>
      </w:r>
      <w:r w:rsidR="00C83FEA">
        <w:rPr>
          <w:rFonts w:ascii="Arial" w:eastAsia="MS Mincho" w:hAnsi="Arial" w:cs="Arial"/>
          <w:b/>
          <w:bCs/>
          <w:sz w:val="24"/>
          <w:szCs w:val="20"/>
        </w:rPr>
        <w:t>.1</w:t>
      </w:r>
    </w:p>
    <w:p w14:paraId="293C55DC" w14:textId="372141DB"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096F29">
        <w:rPr>
          <w:rFonts w:ascii="Arial" w:eastAsia="MS Mincho" w:hAnsi="Arial" w:cs="Arial"/>
          <w:b/>
          <w:bCs/>
          <w:sz w:val="24"/>
          <w:szCs w:val="20"/>
        </w:rPr>
        <w:t>MediaTek</w:t>
      </w:r>
      <w:r w:rsidR="00F3121A">
        <w:rPr>
          <w:rFonts w:ascii="Arial" w:eastAsia="MS Mincho" w:hAnsi="Arial" w:cs="Arial"/>
          <w:b/>
          <w:bCs/>
          <w:sz w:val="24"/>
          <w:szCs w:val="20"/>
        </w:rPr>
        <w:t xml:space="preserve"> Inc.</w:t>
      </w:r>
    </w:p>
    <w:p w14:paraId="0AB6A8A6" w14:textId="00B96C09"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F3121A">
        <w:rPr>
          <w:rFonts w:ascii="Arial" w:eastAsia="MS Mincho" w:hAnsi="Arial" w:cs="Arial"/>
          <w:b/>
          <w:bCs/>
          <w:sz w:val="24"/>
          <w:szCs w:val="20"/>
        </w:rPr>
        <w:t>Tirggering condition for s</w:t>
      </w:r>
      <w:r w:rsidR="005B357E" w:rsidRPr="005B357E">
        <w:rPr>
          <w:rFonts w:ascii="Arial" w:eastAsia="MS Mincho" w:hAnsi="Arial" w:cs="Arial"/>
          <w:b/>
          <w:bCs/>
          <w:sz w:val="24"/>
          <w:szCs w:val="20"/>
        </w:rPr>
        <w:t>idelink RSRP reporting</w:t>
      </w:r>
    </w:p>
    <w:p w14:paraId="1C70A5F9"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14:paraId="289C07BE" w14:textId="77777777" w:rsidR="00D7536D" w:rsidRPr="009E169A" w:rsidRDefault="004845AB" w:rsidP="009E169A">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2" w:name="_Ref124589705"/>
      <w:bookmarkStart w:id="3" w:name="_Ref129681862"/>
      <w:r w:rsidRPr="009E169A">
        <w:rPr>
          <w:rFonts w:eastAsia="SimSun"/>
          <w:b w:val="0"/>
          <w:bCs w:val="0"/>
          <w:sz w:val="36"/>
          <w:szCs w:val="20"/>
          <w:lang w:eastAsia="ja-JP"/>
        </w:rPr>
        <w:t>Introduction</w:t>
      </w:r>
      <w:bookmarkEnd w:id="2"/>
      <w:bookmarkEnd w:id="3"/>
    </w:p>
    <w:p w14:paraId="10FC3E79" w14:textId="1F7F3D27" w:rsidR="00817673" w:rsidRDefault="008E1BC4" w:rsidP="00F80D29">
      <w:pPr>
        <w:jc w:val="both"/>
      </w:pPr>
      <w:r>
        <w:t xml:space="preserve">In last </w:t>
      </w:r>
      <w:r w:rsidR="00817673">
        <w:t>meeting, RAN</w:t>
      </w:r>
      <w:r>
        <w:t>2</w:t>
      </w:r>
      <w:r w:rsidR="00817673">
        <w:t xml:space="preserve"> </w:t>
      </w:r>
      <w:r w:rsidR="004D664D">
        <w:t>made</w:t>
      </w:r>
      <w:r>
        <w:t xml:space="preserve"> following</w:t>
      </w:r>
      <w:r w:rsidR="004D664D">
        <w:t xml:space="preserve"> agreements </w:t>
      </w:r>
      <w:r>
        <w:t>related to sidelink RSRP reporting</w:t>
      </w:r>
      <w:r w:rsidR="004D664D">
        <w:t>:</w:t>
      </w:r>
    </w:p>
    <w:p w14:paraId="68E869C4" w14:textId="77777777" w:rsidR="008E1BC4" w:rsidRDefault="008E1BC4" w:rsidP="008E1BC4">
      <w:pPr>
        <w:pBdr>
          <w:top w:val="single" w:sz="4" w:space="1" w:color="auto"/>
          <w:left w:val="single" w:sz="4" w:space="4" w:color="auto"/>
          <w:bottom w:val="single" w:sz="4" w:space="1" w:color="auto"/>
          <w:right w:val="single" w:sz="4" w:space="4" w:color="auto"/>
        </w:pBdr>
        <w:jc w:val="both"/>
      </w:pPr>
      <w:r>
        <w:t>3: TX UE provides SL measurement configuration via PC5-RRC signalling to Rx UE.</w:t>
      </w:r>
    </w:p>
    <w:p w14:paraId="372E786B" w14:textId="77777777" w:rsidR="008E1BC4" w:rsidRDefault="008E1BC4" w:rsidP="008E1BC4">
      <w:pPr>
        <w:pBdr>
          <w:top w:val="single" w:sz="4" w:space="1" w:color="auto"/>
          <w:left w:val="single" w:sz="4" w:space="4" w:color="auto"/>
          <w:bottom w:val="single" w:sz="4" w:space="1" w:color="auto"/>
          <w:right w:val="single" w:sz="4" w:space="4" w:color="auto"/>
        </w:pBdr>
        <w:jc w:val="both"/>
      </w:pPr>
      <w:r>
        <w:t>4: Rx UE should be able to report the SL-RSRP to Tx UE via PC5-RRC signalling. It is not necessary to notify the gNB of the SL-RSRP measurement result.</w:t>
      </w:r>
    </w:p>
    <w:p w14:paraId="0CCE7026" w14:textId="77777777" w:rsidR="008E1BC4" w:rsidRDefault="008E1BC4" w:rsidP="008E1BC4">
      <w:pPr>
        <w:pBdr>
          <w:top w:val="single" w:sz="4" w:space="1" w:color="auto"/>
          <w:left w:val="single" w:sz="4" w:space="4" w:color="auto"/>
          <w:bottom w:val="single" w:sz="4" w:space="1" w:color="auto"/>
          <w:right w:val="single" w:sz="4" w:space="4" w:color="auto"/>
        </w:pBdr>
        <w:jc w:val="both"/>
      </w:pPr>
      <w:r>
        <w:t>5: Both event triggered and periodical sidelink RSRP measurement report could be supported.</w:t>
      </w:r>
    </w:p>
    <w:p w14:paraId="5C9BCDA8" w14:textId="18025DB1" w:rsidR="00817673" w:rsidRDefault="008E1BC4" w:rsidP="008E1BC4">
      <w:pPr>
        <w:pBdr>
          <w:top w:val="single" w:sz="4" w:space="1" w:color="auto"/>
          <w:left w:val="single" w:sz="4" w:space="4" w:color="auto"/>
          <w:bottom w:val="single" w:sz="4" w:space="1" w:color="auto"/>
          <w:right w:val="single" w:sz="4" w:space="4" w:color="auto"/>
        </w:pBdr>
        <w:jc w:val="both"/>
      </w:pPr>
      <w:r w:rsidRPr="008E1BC4">
        <w:rPr>
          <w:highlight w:val="yellow"/>
        </w:rPr>
        <w:t>6: For the event triggered report, at least the Event A1 (SL-RSRP exceeds a threshold) or the Event A2 (SL-RSRP is lower than a threshold) shall be supported.</w:t>
      </w:r>
    </w:p>
    <w:p w14:paraId="515AA7A3" w14:textId="615065E8" w:rsidR="00EC5032" w:rsidRDefault="00B51E33" w:rsidP="00F80D29">
      <w:pPr>
        <w:jc w:val="both"/>
      </w:pPr>
      <w:r>
        <w:t>Based on</w:t>
      </w:r>
      <w:r w:rsidR="00A842A9">
        <w:t xml:space="preserve"> above</w:t>
      </w:r>
      <w:r w:rsidR="009C0F43">
        <w:t xml:space="preserve"> </w:t>
      </w:r>
      <w:r w:rsidR="004D664D">
        <w:t>agreement</w:t>
      </w:r>
      <w:r w:rsidR="00A842A9">
        <w:t>s</w:t>
      </w:r>
      <w:r>
        <w:t xml:space="preserve">, we provide </w:t>
      </w:r>
      <w:r w:rsidR="00317526">
        <w:t xml:space="preserve">additional </w:t>
      </w:r>
      <w:r w:rsidR="004D664D">
        <w:t xml:space="preserve">views </w:t>
      </w:r>
      <w:r w:rsidR="00317526">
        <w:t>on</w:t>
      </w:r>
      <w:r w:rsidR="009D2CF2">
        <w:t xml:space="preserve"> </w:t>
      </w:r>
      <w:r w:rsidR="00E70040">
        <w:t xml:space="preserve">sidelink RSRP </w:t>
      </w:r>
      <w:r w:rsidR="009D2CF2">
        <w:t>report</w:t>
      </w:r>
      <w:r w:rsidR="004D664D">
        <w:t>.</w:t>
      </w:r>
    </w:p>
    <w:p w14:paraId="64D70993" w14:textId="18694D60" w:rsidR="00C611B7" w:rsidRPr="009E169A" w:rsidRDefault="00817673" w:rsidP="00817673">
      <w:pPr>
        <w:pStyle w:val="1"/>
        <w:keepLines/>
        <w:numPr>
          <w:ilvl w:val="0"/>
          <w:numId w:val="11"/>
        </w:numPr>
        <w:pBdr>
          <w:top w:val="single" w:sz="12" w:space="3" w:color="auto"/>
        </w:pBdr>
        <w:overflowPunct w:val="0"/>
        <w:snapToGrid/>
        <w:spacing w:after="180"/>
        <w:textAlignment w:val="baseline"/>
        <w:rPr>
          <w:rFonts w:eastAsia="SimSun"/>
          <w:b w:val="0"/>
          <w:bCs w:val="0"/>
          <w:sz w:val="36"/>
          <w:szCs w:val="20"/>
          <w:lang w:eastAsia="ja-JP"/>
        </w:rPr>
      </w:pPr>
      <w:r w:rsidRPr="00817673">
        <w:rPr>
          <w:rFonts w:eastAsia="SimSun"/>
          <w:b w:val="0"/>
          <w:bCs w:val="0"/>
          <w:sz w:val="36"/>
          <w:szCs w:val="20"/>
          <w:lang w:eastAsia="ja-JP"/>
        </w:rPr>
        <w:t>Discussion</w:t>
      </w:r>
    </w:p>
    <w:p w14:paraId="55716B49" w14:textId="23C4A9F6" w:rsidR="00DD25E2" w:rsidRPr="00697EC1" w:rsidRDefault="00D10465" w:rsidP="00C611B7">
      <w:r>
        <w:t>In NR Uu,</w:t>
      </w:r>
      <w:r w:rsidR="009D2CF2">
        <w:t xml:space="preserve"> the power control for </w:t>
      </w:r>
      <w:r w:rsidR="005E20BD">
        <w:t>uplink</w:t>
      </w:r>
      <w:r w:rsidR="009D2CF2">
        <w:t xml:space="preserve"> is </w:t>
      </w:r>
      <w:r w:rsidR="005E20BD">
        <w:t xml:space="preserve">based on configuration from gNB and estimated pathloss by measuring reference signal from gNB. The estimated pathloss is derived by fixed </w:t>
      </w:r>
      <w:r w:rsidR="00DD25E2" w:rsidRPr="00DD25E2">
        <w:t>gNB’s transmission power minus</w:t>
      </w:r>
      <w:r w:rsidR="00DD25E2">
        <w:t xml:space="preserve"> UE</w:t>
      </w:r>
      <w:r w:rsidR="005E20BD">
        <w:t xml:space="preserve"> measured downlink RSRP</w:t>
      </w:r>
      <w:r w:rsidR="00DD25E2">
        <w:t xml:space="preserve"> in dB domain</w:t>
      </w:r>
      <w:r w:rsidR="005E20BD">
        <w:t>. UE is not required to send</w:t>
      </w:r>
      <w:r w:rsidR="003D4954">
        <w:t xml:space="preserve"> measured</w:t>
      </w:r>
      <w:r w:rsidR="005E20BD">
        <w:t xml:space="preserve"> </w:t>
      </w:r>
      <w:r w:rsidR="005E20BD" w:rsidRPr="00697EC1">
        <w:t>downlink</w:t>
      </w:r>
      <w:r w:rsidRPr="00697EC1">
        <w:t xml:space="preserve"> RSRP to gNB</w:t>
      </w:r>
      <w:r w:rsidR="004A0C02" w:rsidRPr="00697EC1">
        <w:t xml:space="preserve"> for</w:t>
      </w:r>
      <w:r w:rsidR="00DD25E2" w:rsidRPr="00697EC1">
        <w:t xml:space="preserve"> uplink</w:t>
      </w:r>
      <w:r w:rsidR="004A0C02" w:rsidRPr="00697EC1">
        <w:t xml:space="preserve"> power control</w:t>
      </w:r>
      <w:r w:rsidR="00A068B1" w:rsidRPr="00697EC1">
        <w:t xml:space="preserve"> purpose</w:t>
      </w:r>
      <w:r w:rsidR="00DD25E2" w:rsidRPr="00697EC1">
        <w:t xml:space="preserve">. </w:t>
      </w:r>
      <w:r w:rsidRPr="00697EC1">
        <w:t xml:space="preserve">UE </w:t>
      </w:r>
      <w:r w:rsidR="00DD25E2" w:rsidRPr="00697EC1">
        <w:t xml:space="preserve">calculates its’ transmission power based on estimated </w:t>
      </w:r>
      <w:r w:rsidRPr="00697EC1">
        <w:t>pathloss</w:t>
      </w:r>
      <w:r w:rsidR="00DD25E2" w:rsidRPr="00697EC1">
        <w:t xml:space="preserve"> and configuration</w:t>
      </w:r>
      <w:r w:rsidR="00084951" w:rsidRPr="00697EC1">
        <w:t xml:space="preserve"> from gNB</w:t>
      </w:r>
      <w:r w:rsidR="00DD25E2" w:rsidRPr="00697EC1">
        <w:t>.</w:t>
      </w:r>
    </w:p>
    <w:p w14:paraId="6BE92FF9" w14:textId="38E16F63" w:rsidR="00697EC1" w:rsidRPr="00697EC1" w:rsidRDefault="00697EC1" w:rsidP="00C85997">
      <w:r w:rsidRPr="00697EC1">
        <w:t>T</w:t>
      </w:r>
      <w:r w:rsidR="00C85997" w:rsidRPr="00697EC1">
        <w:t>he measurement configuration</w:t>
      </w:r>
      <w:r w:rsidR="00324809">
        <w:t xml:space="preserve"> in sidelink</w:t>
      </w:r>
      <w:r w:rsidR="00C85997" w:rsidRPr="00697EC1">
        <w:t xml:space="preserve"> should</w:t>
      </w:r>
      <w:r w:rsidRPr="00697EC1">
        <w:t xml:space="preserve"> be</w:t>
      </w:r>
      <w:r w:rsidR="00C85997" w:rsidRPr="00697EC1">
        <w:t xml:space="preserve"> further divide</w:t>
      </w:r>
      <w:r w:rsidRPr="00697EC1">
        <w:t>d</w:t>
      </w:r>
      <w:r w:rsidR="00C85997" w:rsidRPr="00697EC1">
        <w:t xml:space="preserve"> into two cases</w:t>
      </w:r>
      <w:r>
        <w:t>:</w:t>
      </w:r>
    </w:p>
    <w:p w14:paraId="55BB4D09" w14:textId="20AE0700" w:rsidR="00697EC1" w:rsidRPr="00CA6765" w:rsidRDefault="00697EC1" w:rsidP="00697EC1">
      <w:pPr>
        <w:pStyle w:val="af6"/>
        <w:numPr>
          <w:ilvl w:val="0"/>
          <w:numId w:val="15"/>
        </w:numPr>
        <w:rPr>
          <w:rFonts w:ascii="Times New Roman" w:hAnsi="Times New Roman"/>
        </w:rPr>
      </w:pPr>
      <w:r>
        <w:rPr>
          <w:rFonts w:ascii="Times New Roman" w:hAnsi="Times New Roman"/>
        </w:rPr>
        <w:t>F</w:t>
      </w:r>
      <w:r w:rsidR="00C85997" w:rsidRPr="00697EC1">
        <w:rPr>
          <w:rFonts w:ascii="Times New Roman" w:hAnsi="Times New Roman"/>
        </w:rPr>
        <w:t>irst measurement</w:t>
      </w:r>
      <w:r w:rsidRPr="00697EC1">
        <w:rPr>
          <w:rFonts w:ascii="Times New Roman" w:hAnsi="Times New Roman"/>
        </w:rPr>
        <w:t xml:space="preserve"> </w:t>
      </w:r>
      <w:r w:rsidR="00C85997" w:rsidRPr="00697EC1">
        <w:rPr>
          <w:rFonts w:ascii="Times New Roman" w:hAnsi="Times New Roman"/>
        </w:rPr>
        <w:t>configuration</w:t>
      </w:r>
      <w:r>
        <w:rPr>
          <w:rFonts w:ascii="Times New Roman" w:hAnsi="Times New Roman"/>
        </w:rPr>
        <w:t xml:space="preserve">: it </w:t>
      </w:r>
      <w:r w:rsidRPr="00697EC1">
        <w:rPr>
          <w:rFonts w:ascii="Times New Roman" w:hAnsi="Times New Roman"/>
        </w:rPr>
        <w:t>should include an absolute SL-RSRP threshold value and offset for RX UE to know which condition to trigger the SL-RSPR report. For example</w:t>
      </w:r>
      <w:r>
        <w:rPr>
          <w:rFonts w:ascii="Times New Roman" w:hAnsi="Times New Roman"/>
        </w:rPr>
        <w:t>,</w:t>
      </w:r>
      <w:r w:rsidRPr="00697EC1">
        <w:rPr>
          <w:rFonts w:ascii="Times New Roman" w:hAnsi="Times New Roman"/>
        </w:rPr>
        <w:t xml:space="preserve"> when measured SL-</w:t>
      </w:r>
      <w:r w:rsidRPr="00CA6765">
        <w:rPr>
          <w:rFonts w:ascii="Times New Roman" w:hAnsi="Times New Roman"/>
        </w:rPr>
        <w:t>RSRP from RX UE exceeds the absolute threshold and the offset, RX UE should trigger the SL-RSRP report.</w:t>
      </w:r>
    </w:p>
    <w:p w14:paraId="2A52A993" w14:textId="6BCDE7F7" w:rsidR="00C85997" w:rsidRPr="00CA6765" w:rsidRDefault="00697EC1" w:rsidP="000A31A5">
      <w:pPr>
        <w:pStyle w:val="af6"/>
        <w:numPr>
          <w:ilvl w:val="0"/>
          <w:numId w:val="15"/>
        </w:numPr>
        <w:rPr>
          <w:rFonts w:ascii="Times New Roman" w:hAnsi="Times New Roman"/>
        </w:rPr>
      </w:pPr>
      <w:r w:rsidRPr="00CA6765">
        <w:rPr>
          <w:rFonts w:ascii="Times New Roman" w:hAnsi="Times New Roman"/>
        </w:rPr>
        <w:t>S</w:t>
      </w:r>
      <w:r w:rsidR="00C85997" w:rsidRPr="00CA6765">
        <w:rPr>
          <w:rFonts w:ascii="Times New Roman" w:hAnsi="Times New Roman"/>
        </w:rPr>
        <w:t>ucceeding measurement configuration</w:t>
      </w:r>
      <w:r w:rsidRPr="00CA6765">
        <w:rPr>
          <w:rFonts w:ascii="Times New Roman" w:hAnsi="Times New Roman"/>
        </w:rPr>
        <w:t>: it should include a</w:t>
      </w:r>
      <w:r w:rsidR="002F351C" w:rsidRPr="00CA6765">
        <w:rPr>
          <w:rFonts w:ascii="Times New Roman" w:hAnsi="Times New Roman"/>
        </w:rPr>
        <w:t>n</w:t>
      </w:r>
      <w:r w:rsidRPr="00CA6765">
        <w:rPr>
          <w:rFonts w:ascii="Times New Roman" w:hAnsi="Times New Roman"/>
        </w:rPr>
        <w:t xml:space="preserve"> </w:t>
      </w:r>
      <w:r w:rsidR="002F351C" w:rsidRPr="00CA6765">
        <w:rPr>
          <w:rFonts w:ascii="Times New Roman" w:hAnsi="Times New Roman"/>
        </w:rPr>
        <w:t>offset/</w:t>
      </w:r>
      <w:r w:rsidRPr="00CA6765">
        <w:rPr>
          <w:rFonts w:ascii="Times New Roman" w:hAnsi="Times New Roman"/>
        </w:rPr>
        <w:t>delta SL-RSRP threshold value for RX UE to know which condition to trigger the SL-RSRP report</w:t>
      </w:r>
      <w:r w:rsidR="00CA6765" w:rsidRPr="00CA6765">
        <w:rPr>
          <w:rFonts w:ascii="Times New Roman" w:hAnsi="Times New Roman"/>
        </w:rPr>
        <w:t xml:space="preserve">. The intention of power control is to maintain a certain level quality of service in a link, which is similar to </w:t>
      </w:r>
      <w:r w:rsidRPr="00CA6765">
        <w:rPr>
          <w:rFonts w:ascii="Times New Roman" w:hAnsi="Times New Roman"/>
        </w:rPr>
        <w:t>PHR report</w:t>
      </w:r>
      <w:r w:rsidR="00CA6765" w:rsidRPr="00CA6765">
        <w:rPr>
          <w:rFonts w:ascii="Times New Roman" w:hAnsi="Times New Roman"/>
        </w:rPr>
        <w:t>.</w:t>
      </w:r>
      <w:r w:rsidR="00CA6765">
        <w:rPr>
          <w:rFonts w:ascii="Times New Roman" w:hAnsi="Times New Roman"/>
        </w:rPr>
        <w:t xml:space="preserve"> </w:t>
      </w:r>
      <w:r w:rsidR="00CA6765" w:rsidRPr="00CA6765">
        <w:rPr>
          <w:rFonts w:ascii="Times New Roman" w:hAnsi="Times New Roman"/>
        </w:rPr>
        <w:t>Thus, current agreed triggering condition like Event A1 and A2 (triggered by a pre-defined threshold) may not be enough in NR</w:t>
      </w:r>
      <w:r w:rsidR="00CA6765">
        <w:rPr>
          <w:rFonts w:ascii="Times New Roman" w:hAnsi="Times New Roman"/>
        </w:rPr>
        <w:t xml:space="preserve"> </w:t>
      </w:r>
      <w:r w:rsidR="00CA6765" w:rsidRPr="00CA6765">
        <w:rPr>
          <w:rFonts w:ascii="Times New Roman" w:hAnsi="Times New Roman"/>
        </w:rPr>
        <w:t>V2X power control purpose.</w:t>
      </w:r>
      <w:r w:rsidR="00CA6765">
        <w:rPr>
          <w:rFonts w:ascii="Times New Roman" w:hAnsi="Times New Roman"/>
        </w:rPr>
        <w:t xml:space="preserve"> In order to </w:t>
      </w:r>
      <w:r w:rsidRPr="00CA6765">
        <w:rPr>
          <w:rFonts w:ascii="Times New Roman" w:hAnsi="Times New Roman"/>
        </w:rPr>
        <w:t>indicate the</w:t>
      </w:r>
      <w:r w:rsidR="00CA6765">
        <w:rPr>
          <w:rFonts w:ascii="Times New Roman" w:hAnsi="Times New Roman"/>
        </w:rPr>
        <w:t xml:space="preserve"> SL </w:t>
      </w:r>
      <w:r w:rsidRPr="00CA6765">
        <w:rPr>
          <w:rFonts w:ascii="Times New Roman" w:hAnsi="Times New Roman"/>
        </w:rPr>
        <w:t>pathloss has</w:t>
      </w:r>
      <w:r w:rsidR="00CA6765">
        <w:rPr>
          <w:rFonts w:ascii="Times New Roman" w:hAnsi="Times New Roman"/>
        </w:rPr>
        <w:t xml:space="preserve"> changed more than </w:t>
      </w:r>
      <w:r w:rsidRPr="00CA6765">
        <w:rPr>
          <w:rFonts w:ascii="Times New Roman" w:hAnsi="Times New Roman"/>
        </w:rPr>
        <w:t xml:space="preserve">a </w:t>
      </w:r>
      <w:r w:rsidR="00610E29" w:rsidRPr="00CA6765">
        <w:rPr>
          <w:rFonts w:ascii="Times New Roman" w:hAnsi="Times New Roman"/>
        </w:rPr>
        <w:t>certain value since last</w:t>
      </w:r>
      <w:r w:rsidR="00CA6765">
        <w:rPr>
          <w:rFonts w:ascii="Times New Roman" w:hAnsi="Times New Roman"/>
        </w:rPr>
        <w:t xml:space="preserve"> reported</w:t>
      </w:r>
      <w:r w:rsidR="00610E29" w:rsidRPr="00CA6765">
        <w:rPr>
          <w:rFonts w:ascii="Times New Roman" w:hAnsi="Times New Roman"/>
        </w:rPr>
        <w:t xml:space="preserve"> SL-RSRP </w:t>
      </w:r>
      <w:r w:rsidR="00CA6765">
        <w:rPr>
          <w:rFonts w:ascii="Times New Roman" w:hAnsi="Times New Roman"/>
        </w:rPr>
        <w:t>value</w:t>
      </w:r>
      <w:r w:rsidR="00610E29" w:rsidRPr="00CA6765">
        <w:rPr>
          <w:rFonts w:ascii="Times New Roman" w:hAnsi="Times New Roman"/>
        </w:rPr>
        <w:t>.</w:t>
      </w:r>
      <w:r w:rsidR="000A31A5">
        <w:rPr>
          <w:rFonts w:ascii="Times New Roman" w:hAnsi="Times New Roman"/>
        </w:rPr>
        <w:t xml:space="preserve"> </w:t>
      </w:r>
      <w:r w:rsidR="000A31A5" w:rsidRPr="000A31A5">
        <w:rPr>
          <w:rFonts w:ascii="Times New Roman" w:hAnsi="Times New Roman"/>
        </w:rPr>
        <w:t>It is better to introduce additional trigger conditions with quick response and low-latency for sidelink RSRP report when the link quality has changed.</w:t>
      </w:r>
    </w:p>
    <w:p w14:paraId="740DF02A" w14:textId="2E767284" w:rsidR="00610E29" w:rsidRDefault="00610E29" w:rsidP="00610E29">
      <w:pPr>
        <w:rPr>
          <w:b/>
        </w:rPr>
      </w:pPr>
      <w:r w:rsidRPr="002446BA">
        <w:rPr>
          <w:b/>
        </w:rPr>
        <w:t xml:space="preserve">Proposal </w:t>
      </w:r>
      <w:r>
        <w:rPr>
          <w:b/>
        </w:rPr>
        <w:t>1</w:t>
      </w:r>
      <w:r w:rsidRPr="002446BA">
        <w:rPr>
          <w:b/>
        </w:rPr>
        <w:t>:</w:t>
      </w:r>
      <w:r>
        <w:rPr>
          <w:b/>
        </w:rPr>
        <w:t xml:space="preserve"> </w:t>
      </w:r>
      <w:r w:rsidR="00BC6700">
        <w:rPr>
          <w:b/>
        </w:rPr>
        <w:t>Adopt s</w:t>
      </w:r>
      <w:r w:rsidRPr="00610E29">
        <w:rPr>
          <w:b/>
        </w:rPr>
        <w:t>eparate configuration</w:t>
      </w:r>
      <w:r w:rsidR="00BC6700">
        <w:rPr>
          <w:b/>
        </w:rPr>
        <w:t>s</w:t>
      </w:r>
      <w:r w:rsidRPr="00610E29">
        <w:rPr>
          <w:b/>
        </w:rPr>
        <w:t xml:space="preserve"> for the first measurement report and the succeeding report</w:t>
      </w:r>
      <w:r>
        <w:rPr>
          <w:b/>
        </w:rPr>
        <w:t>.</w:t>
      </w:r>
    </w:p>
    <w:p w14:paraId="23A9B155" w14:textId="1A49872F" w:rsidR="002F351C" w:rsidRDefault="002F351C" w:rsidP="002F351C">
      <w:pPr>
        <w:rPr>
          <w:b/>
        </w:rPr>
      </w:pPr>
      <w:r w:rsidRPr="002446BA">
        <w:rPr>
          <w:b/>
        </w:rPr>
        <w:t xml:space="preserve">Proposal </w:t>
      </w:r>
      <w:r>
        <w:rPr>
          <w:b/>
        </w:rPr>
        <w:t>2</w:t>
      </w:r>
      <w:r w:rsidRPr="002446BA">
        <w:rPr>
          <w:b/>
        </w:rPr>
        <w:t>:</w:t>
      </w:r>
      <w:r>
        <w:rPr>
          <w:b/>
        </w:rPr>
        <w:t xml:space="preserve"> A</w:t>
      </w:r>
      <w:r w:rsidRPr="002F351C">
        <w:rPr>
          <w:b/>
        </w:rPr>
        <w:t>bsolute reference threshold</w:t>
      </w:r>
      <w:r>
        <w:rPr>
          <w:b/>
        </w:rPr>
        <w:t>/offset</w:t>
      </w:r>
      <w:r w:rsidRPr="002F351C">
        <w:rPr>
          <w:b/>
        </w:rPr>
        <w:t xml:space="preserve"> in the</w:t>
      </w:r>
      <w:r>
        <w:rPr>
          <w:b/>
        </w:rPr>
        <w:t xml:space="preserve"> </w:t>
      </w:r>
      <w:r w:rsidRPr="002F351C">
        <w:rPr>
          <w:b/>
        </w:rPr>
        <w:t>measurement configuration for first measurement report</w:t>
      </w:r>
      <w:r>
        <w:rPr>
          <w:b/>
        </w:rPr>
        <w:t>.</w:t>
      </w:r>
    </w:p>
    <w:p w14:paraId="108EE205" w14:textId="05B21860" w:rsidR="002F351C" w:rsidRDefault="002F351C" w:rsidP="002F351C">
      <w:pPr>
        <w:rPr>
          <w:b/>
        </w:rPr>
      </w:pPr>
      <w:r w:rsidRPr="002446BA">
        <w:rPr>
          <w:b/>
        </w:rPr>
        <w:t xml:space="preserve">Proposal </w:t>
      </w:r>
      <w:r>
        <w:rPr>
          <w:b/>
        </w:rPr>
        <w:t>3</w:t>
      </w:r>
      <w:r w:rsidRPr="002446BA">
        <w:rPr>
          <w:b/>
        </w:rPr>
        <w:t>:</w:t>
      </w:r>
      <w:r>
        <w:rPr>
          <w:b/>
        </w:rPr>
        <w:t xml:space="preserve"> Of</w:t>
      </w:r>
      <w:r w:rsidRPr="002F351C">
        <w:rPr>
          <w:b/>
        </w:rPr>
        <w:t>fset in the measurement configuration for succeeding measurement report</w:t>
      </w:r>
      <w:r>
        <w:rPr>
          <w:b/>
        </w:rPr>
        <w:t>.</w:t>
      </w:r>
    </w:p>
    <w:p w14:paraId="4BF4B600" w14:textId="77777777" w:rsidR="00A355B2" w:rsidRDefault="00A355B2" w:rsidP="005C32D4"/>
    <w:p w14:paraId="03DF3333" w14:textId="6D2D34AF" w:rsidR="005C32D4" w:rsidRDefault="005C32D4" w:rsidP="005C32D4">
      <w:r>
        <w:lastRenderedPageBreak/>
        <w:t>The detail report content can reuse exist</w:t>
      </w:r>
      <w:r w:rsidR="00A355B2">
        <w:t xml:space="preserve"> RSRP-Range format in TS 38.331 is enough.</w:t>
      </w:r>
    </w:p>
    <w:p w14:paraId="7756A2CF" w14:textId="05B16F9F" w:rsidR="002A1C4A" w:rsidRPr="00A047D1" w:rsidRDefault="002A1C4A" w:rsidP="002A1C4A">
      <w:pPr>
        <w:pStyle w:val="4"/>
        <w:numPr>
          <w:ilvl w:val="0"/>
          <w:numId w:val="0"/>
        </w:numPr>
        <w:ind w:left="864" w:hanging="864"/>
        <w:rPr>
          <w:rFonts w:eastAsia="MS Mincho"/>
          <w:lang w:val="en-GB"/>
        </w:rPr>
      </w:pPr>
      <w:bookmarkStart w:id="4" w:name="_Toc12718380"/>
      <w:r w:rsidRPr="00A047D1">
        <w:rPr>
          <w:rFonts w:eastAsia="MS Mincho"/>
          <w:i/>
          <w:lang w:val="en-GB"/>
        </w:rPr>
        <w:t>RSRP-Range</w:t>
      </w:r>
      <w:bookmarkEnd w:id="4"/>
    </w:p>
    <w:p w14:paraId="63435A2B" w14:textId="77777777" w:rsidR="002A1C4A" w:rsidRPr="00A047D1" w:rsidRDefault="002A1C4A" w:rsidP="002A1C4A">
      <w:pPr>
        <w:rPr>
          <w:rFonts w:eastAsia="MS Mincho"/>
        </w:rPr>
      </w:pPr>
      <w:r w:rsidRPr="00A047D1">
        <w:t xml:space="preserve">The IE </w:t>
      </w:r>
      <w:r w:rsidRPr="00A047D1">
        <w:rPr>
          <w:i/>
        </w:rPr>
        <w:t>RSRP-Range</w:t>
      </w:r>
      <w:r w:rsidRPr="00A047D1">
        <w:t xml:space="preserve"> specifies the value range used in RSRP measurements and thresholds. For measurements, integer value for RSRP measurements is according to </w:t>
      </w:r>
      <w:r w:rsidRPr="00A047D1">
        <w:rPr>
          <w:rFonts w:cs="v4.2.0"/>
        </w:rPr>
        <w:t>Table 10.1.6.1-1</w:t>
      </w:r>
      <w:r w:rsidRPr="00A047D1">
        <w:t xml:space="preserve"> in TS 38.133 [14].</w:t>
      </w:r>
      <w:r w:rsidRPr="00A047D1">
        <w:rPr>
          <w:lang w:eastAsia="ko-KR"/>
        </w:rPr>
        <w:t xml:space="preserve"> For thresholds, the actual value is (IE value – 156) dBm, except for the IE value 127, in which case the actual value is infinity.</w:t>
      </w:r>
    </w:p>
    <w:p w14:paraId="29E71883" w14:textId="77777777" w:rsidR="002A1C4A" w:rsidRPr="00A047D1" w:rsidRDefault="002A1C4A" w:rsidP="002A1C4A">
      <w:pPr>
        <w:pStyle w:val="TH"/>
      </w:pPr>
      <w:r w:rsidRPr="00A047D1">
        <w:rPr>
          <w:i/>
        </w:rPr>
        <w:t>RSRP-Range</w:t>
      </w:r>
      <w:r w:rsidRPr="00A047D1">
        <w:t xml:space="preserve"> information element</w:t>
      </w:r>
    </w:p>
    <w:p w14:paraId="21A41ADB" w14:textId="77777777" w:rsidR="002A1C4A" w:rsidRPr="00A047D1" w:rsidRDefault="002A1C4A" w:rsidP="002A1C4A">
      <w:pPr>
        <w:pStyle w:val="PL"/>
      </w:pPr>
      <w:r w:rsidRPr="00A047D1">
        <w:t>-- ASN1START</w:t>
      </w:r>
    </w:p>
    <w:p w14:paraId="2FA6FF0E" w14:textId="77777777" w:rsidR="002A1C4A" w:rsidRPr="00A047D1" w:rsidRDefault="002A1C4A" w:rsidP="002A1C4A">
      <w:pPr>
        <w:pStyle w:val="PL"/>
      </w:pPr>
      <w:r w:rsidRPr="00A047D1">
        <w:t>-- TAG-RSRP-RANGE-START</w:t>
      </w:r>
    </w:p>
    <w:p w14:paraId="3493781B" w14:textId="77777777" w:rsidR="002A1C4A" w:rsidRPr="00A047D1" w:rsidRDefault="002A1C4A" w:rsidP="002A1C4A">
      <w:pPr>
        <w:pStyle w:val="PL"/>
      </w:pPr>
    </w:p>
    <w:p w14:paraId="18736A3E" w14:textId="77777777" w:rsidR="002A1C4A" w:rsidRPr="00A047D1" w:rsidRDefault="002A1C4A" w:rsidP="002A1C4A">
      <w:pPr>
        <w:pStyle w:val="PL"/>
      </w:pPr>
      <w:r w:rsidRPr="00A047D1">
        <w:t>RSRP-Range ::=                      INTEGER(0..127)</w:t>
      </w:r>
    </w:p>
    <w:p w14:paraId="1EBF9C79" w14:textId="77777777" w:rsidR="002A1C4A" w:rsidRPr="00A047D1" w:rsidRDefault="002A1C4A" w:rsidP="002A1C4A">
      <w:pPr>
        <w:pStyle w:val="PL"/>
      </w:pPr>
    </w:p>
    <w:p w14:paraId="37E2A087" w14:textId="77777777" w:rsidR="002A1C4A" w:rsidRPr="00A047D1" w:rsidRDefault="002A1C4A" w:rsidP="002A1C4A">
      <w:pPr>
        <w:pStyle w:val="PL"/>
      </w:pPr>
      <w:r w:rsidRPr="00A047D1">
        <w:t>-- TAG-RSRP-RANGE-STOP</w:t>
      </w:r>
    </w:p>
    <w:p w14:paraId="0C353B54" w14:textId="77777777" w:rsidR="002A1C4A" w:rsidRPr="00A047D1" w:rsidRDefault="002A1C4A" w:rsidP="002A1C4A">
      <w:pPr>
        <w:pStyle w:val="PL"/>
      </w:pPr>
      <w:r w:rsidRPr="00A047D1">
        <w:t>-- ASN1STOP</w:t>
      </w:r>
    </w:p>
    <w:p w14:paraId="0FB4FD09" w14:textId="3A37EC89" w:rsidR="00BF5D67" w:rsidRDefault="00BF5D67" w:rsidP="00BF5D67">
      <w:pPr>
        <w:rPr>
          <w:b/>
        </w:rPr>
      </w:pPr>
      <w:r w:rsidRPr="002446BA">
        <w:rPr>
          <w:b/>
        </w:rPr>
        <w:t xml:space="preserve">Proposal </w:t>
      </w:r>
      <w:r>
        <w:rPr>
          <w:b/>
        </w:rPr>
        <w:t>4</w:t>
      </w:r>
      <w:r w:rsidRPr="002446BA">
        <w:rPr>
          <w:b/>
        </w:rPr>
        <w:t>:</w:t>
      </w:r>
      <w:r>
        <w:rPr>
          <w:b/>
        </w:rPr>
        <w:t xml:space="preserve"> The value range of SL RSRP can reuse existing RSRP-Range in TS 38.331.</w:t>
      </w:r>
    </w:p>
    <w:p w14:paraId="1F7C19B9" w14:textId="77777777" w:rsidR="007929AC" w:rsidRDefault="007929AC" w:rsidP="002C14CD">
      <w:pPr>
        <w:rPr>
          <w:b/>
        </w:rPr>
      </w:pPr>
    </w:p>
    <w:p w14:paraId="75B8F7F4" w14:textId="71804177" w:rsidR="00697EC1" w:rsidRDefault="00697EC1" w:rsidP="00697EC1">
      <w:r>
        <w:t>Other purpose of RSRP reporting</w:t>
      </w:r>
      <w:r w:rsidR="00C6649F">
        <w:t xml:space="preserve"> in </w:t>
      </w:r>
      <w:r w:rsidR="002205C4">
        <w:t xml:space="preserve">NR </w:t>
      </w:r>
      <w:r w:rsidR="00C6649F">
        <w:t>Uu</w:t>
      </w:r>
      <w:r>
        <w:t xml:space="preserve"> is for UE mobility, which is</w:t>
      </w:r>
      <w:r w:rsidRPr="00A068B1">
        <w:t xml:space="preserve"> </w:t>
      </w:r>
      <w:r>
        <w:t xml:space="preserve">RRC-based measurement. In mobility case, only UE is the moving object, and the gNB is </w:t>
      </w:r>
      <w:r w:rsidRPr="00B13FF9">
        <w:t>stationary</w:t>
      </w:r>
      <w:r>
        <w:t xml:space="preserve">. However, in SL, the both Tx side UE and Rx side UE are possibly moving objects and UEs move quickly than mobility (UE &lt;-&gt; gNB) case. Other reasons like the height of gNB is much higher than Tx UE in sidelink, it has less chance that </w:t>
      </w:r>
      <w:r w:rsidRPr="005D5879">
        <w:t>obstacles appearing/disappearing</w:t>
      </w:r>
      <w:r>
        <w:t xml:space="preserve"> between Tx side and Rx side </w:t>
      </w:r>
      <w:r w:rsidRPr="005D5879">
        <w:t>as vehicles move past them, and so on</w:t>
      </w:r>
      <w:r>
        <w:t>. In the end, the RSRP value in sidelink might change dramatically than that in mobility case.</w:t>
      </w:r>
    </w:p>
    <w:p w14:paraId="540D3E21" w14:textId="77777777" w:rsidR="00697EC1" w:rsidRDefault="00697EC1" w:rsidP="00697EC1">
      <w:pPr>
        <w:rPr>
          <w:b/>
        </w:rPr>
      </w:pPr>
      <w:r w:rsidRPr="00EB2388">
        <w:rPr>
          <w:b/>
        </w:rPr>
        <w:t>Observation: sidelink RSRP value changes dramatically compared to that in Uu mobility case.</w:t>
      </w:r>
    </w:p>
    <w:p w14:paraId="3D190D84" w14:textId="77777777" w:rsidR="00A42BEE" w:rsidRDefault="00A42BEE" w:rsidP="00A42BEE">
      <w:r>
        <w:t>For agreed periodical sidelink RSRP report, d</w:t>
      </w:r>
      <w:r w:rsidRPr="002900CE">
        <w:t>ifferent value range for sidelink TimeToTrigger comp</w:t>
      </w:r>
      <w:r>
        <w:t xml:space="preserve">ared to Uu should be considered, </w:t>
      </w:r>
      <w:r w:rsidRPr="002900CE">
        <w:t xml:space="preserve">because RSRP in sidelink might change dramatically. Today, the shortest value of TTT is 40 ms and the range goes up to 5120 ms—the larger values seem not useful for sidelink, smaller values </w:t>
      </w:r>
      <w:r>
        <w:t>should be considered.</w:t>
      </w:r>
    </w:p>
    <w:p w14:paraId="05284C7C" w14:textId="4658C539" w:rsidR="00A42BEE" w:rsidRDefault="00A42BEE" w:rsidP="00A42BEE">
      <w:pPr>
        <w:rPr>
          <w:b/>
        </w:rPr>
      </w:pPr>
      <w:r w:rsidRPr="002446BA">
        <w:rPr>
          <w:b/>
        </w:rPr>
        <w:t xml:space="preserve">Proposal </w:t>
      </w:r>
      <w:r w:rsidR="00BF5D67">
        <w:rPr>
          <w:b/>
        </w:rPr>
        <w:t>5</w:t>
      </w:r>
      <w:r w:rsidRPr="002446BA">
        <w:rPr>
          <w:b/>
        </w:rPr>
        <w:t>:</w:t>
      </w:r>
      <w:r>
        <w:rPr>
          <w:b/>
        </w:rPr>
        <w:t xml:space="preserve"> Shorter TimeToTrigger in sidelink should be considered.</w:t>
      </w:r>
    </w:p>
    <w:p w14:paraId="3401E3F9" w14:textId="38137D7A" w:rsidR="00C56E78" w:rsidRDefault="00C56E78" w:rsidP="00C56E78">
      <w:r>
        <w:t>Current agreed sidelink RSRP report is all triggered by Rx UE, which means that Rx UE needs to monitor reference signalling from Tx UE</w:t>
      </w:r>
      <w:r w:rsidR="007A6DE5">
        <w:t>. However, in NR V2X, the reference signal from Tx UE is not always exist, especially when there is no traffic</w:t>
      </w:r>
      <w:r w:rsidR="00CD1EB7">
        <w:t xml:space="preserve"> or sparse traffic</w:t>
      </w:r>
      <w:r w:rsidR="007A6DE5">
        <w:t>, there is no need for Tx UE to keep sending reference signall</w:t>
      </w:r>
      <w:r w:rsidR="00CD1EB7">
        <w:t>ing</w:t>
      </w:r>
      <w:r w:rsidR="007A6DE5">
        <w:t>.</w:t>
      </w:r>
      <w:r w:rsidR="00CD1EB7">
        <w:t xml:space="preserve"> T</w:t>
      </w:r>
      <w:r w:rsidR="00CD1EB7" w:rsidRPr="00C56E78">
        <w:t>he Tx UE</w:t>
      </w:r>
      <w:r w:rsidR="00CD1EB7">
        <w:t xml:space="preserve"> can</w:t>
      </w:r>
      <w:r w:rsidR="00CD1EB7" w:rsidRPr="00C56E78">
        <w:t xml:space="preserve"> send a message requesting the RSRP report</w:t>
      </w:r>
      <w:r w:rsidR="00CD1EB7">
        <w:t xml:space="preserve"> if </w:t>
      </w:r>
      <w:r w:rsidR="00CD1EB7" w:rsidRPr="00C56E78">
        <w:t>Tx UE is concerned that the channel could be changing while there is no traffic.</w:t>
      </w:r>
      <w:r w:rsidR="00CD1EB7">
        <w:t xml:space="preserve"> Finally, from robustness point of view, i</w:t>
      </w:r>
      <w:r>
        <w:t>t is better to have Tx-UE controlled</w:t>
      </w:r>
      <w:r w:rsidR="00CD1EB7">
        <w:t xml:space="preserve"> RSRP</w:t>
      </w:r>
      <w:r>
        <w:t xml:space="preserve"> report</w:t>
      </w:r>
      <w:r w:rsidR="00CD1EB7">
        <w:t xml:space="preserve"> beside Rx-UE triggered RSRP report when Rx-UE is malfunction.</w:t>
      </w:r>
    </w:p>
    <w:p w14:paraId="6040ED95" w14:textId="5F950583" w:rsidR="00CD1EB7" w:rsidRDefault="00CD1EB7" w:rsidP="00CD1EB7">
      <w:pPr>
        <w:rPr>
          <w:b/>
        </w:rPr>
      </w:pPr>
      <w:r w:rsidRPr="002446BA">
        <w:rPr>
          <w:b/>
        </w:rPr>
        <w:t xml:space="preserve">Proposal </w:t>
      </w:r>
      <w:r w:rsidR="00BF5D67">
        <w:rPr>
          <w:b/>
        </w:rPr>
        <w:t>6</w:t>
      </w:r>
      <w:r w:rsidRPr="00D637FC">
        <w:rPr>
          <w:b/>
        </w:rPr>
        <w:t xml:space="preserve">: </w:t>
      </w:r>
      <w:r>
        <w:rPr>
          <w:b/>
        </w:rPr>
        <w:t xml:space="preserve">Tx UE can request </w:t>
      </w:r>
      <w:r w:rsidR="007F5E0B">
        <w:rPr>
          <w:b/>
        </w:rPr>
        <w:t>SL-</w:t>
      </w:r>
      <w:r>
        <w:rPr>
          <w:b/>
        </w:rPr>
        <w:t>RSRP report from Rx UE.</w:t>
      </w:r>
    </w:p>
    <w:p w14:paraId="474F8187" w14:textId="77777777" w:rsidR="0082623E" w:rsidRPr="009E169A" w:rsidRDefault="0082623E" w:rsidP="009E169A">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14:paraId="5028F866" w14:textId="3731F421" w:rsidR="005D55ED" w:rsidRPr="00F63085" w:rsidRDefault="001643EF" w:rsidP="005D55ED">
      <w:pPr>
        <w:rPr>
          <w:rFonts w:asciiTheme="minorHAnsi" w:hAnsiTheme="minorHAnsi"/>
          <w:b/>
        </w:rPr>
      </w:pPr>
      <w:r w:rsidRPr="00FB2234">
        <w:t>This document discussed</w:t>
      </w:r>
      <w:r w:rsidR="006D1906">
        <w:t xml:space="preserve"> details of</w:t>
      </w:r>
      <w:r w:rsidR="005D55ED">
        <w:t xml:space="preserve"> </w:t>
      </w:r>
      <w:r w:rsidR="006D1906">
        <w:t xml:space="preserve">SL RSRP reporting, </w:t>
      </w:r>
      <w:r w:rsidR="0008285C">
        <w:rPr>
          <w:lang w:val="en-GB" w:eastAsia="zh-CN"/>
        </w:rPr>
        <w:t>observation and</w:t>
      </w:r>
      <w:r w:rsidR="006D1906">
        <w:rPr>
          <w:lang w:val="en-GB" w:eastAsia="zh-CN"/>
        </w:rPr>
        <w:t xml:space="preserve"> some</w:t>
      </w:r>
      <w:r w:rsidR="005D55ED">
        <w:rPr>
          <w:lang w:val="en-GB" w:eastAsia="zh-CN"/>
        </w:rPr>
        <w:t xml:space="preserve"> proposal</w:t>
      </w:r>
      <w:r w:rsidR="009D2344">
        <w:rPr>
          <w:lang w:val="en-GB" w:eastAsia="zh-CN"/>
        </w:rPr>
        <w:t>s</w:t>
      </w:r>
      <w:r w:rsidR="006D1906">
        <w:rPr>
          <w:lang w:val="en-GB" w:eastAsia="zh-CN"/>
        </w:rPr>
        <w:t xml:space="preserve"> are</w:t>
      </w:r>
      <w:r w:rsidR="005D55ED">
        <w:rPr>
          <w:lang w:val="en-GB" w:eastAsia="zh-CN"/>
        </w:rPr>
        <w:t xml:space="preserve"> </w:t>
      </w:r>
      <w:r w:rsidR="006D1906">
        <w:rPr>
          <w:lang w:val="en-GB" w:eastAsia="zh-CN"/>
        </w:rPr>
        <w:t>listed below</w:t>
      </w:r>
      <w:r w:rsidR="005D55ED">
        <w:rPr>
          <w:lang w:val="en-GB" w:eastAsia="zh-CN"/>
        </w:rPr>
        <w:t>:</w:t>
      </w:r>
    </w:p>
    <w:p w14:paraId="4EF75C88" w14:textId="77777777" w:rsidR="00BF5D67" w:rsidRPr="00BF5D67" w:rsidRDefault="00BF5D67" w:rsidP="00BF5D67">
      <w:pPr>
        <w:rPr>
          <w:b/>
        </w:rPr>
      </w:pPr>
      <w:r w:rsidRPr="00BF5D67">
        <w:rPr>
          <w:b/>
        </w:rPr>
        <w:t>Observation: sidelink RSRP value changes dramatically compared to that in Uu mobility case.</w:t>
      </w:r>
    </w:p>
    <w:p w14:paraId="04329E04" w14:textId="77777777" w:rsidR="00BF5D67" w:rsidRPr="00BF5D67" w:rsidRDefault="00BF5D67" w:rsidP="00BF5D67">
      <w:pPr>
        <w:rPr>
          <w:b/>
        </w:rPr>
      </w:pPr>
      <w:r w:rsidRPr="00BF5D67">
        <w:rPr>
          <w:b/>
        </w:rPr>
        <w:t>Proposal 1: Adopt separate configurations for the first measurement report and the succeeding report.</w:t>
      </w:r>
    </w:p>
    <w:p w14:paraId="24E4BF72" w14:textId="77777777" w:rsidR="00BF5D67" w:rsidRPr="00BF5D67" w:rsidRDefault="00BF5D67" w:rsidP="00BF5D67">
      <w:pPr>
        <w:rPr>
          <w:b/>
        </w:rPr>
      </w:pPr>
      <w:r w:rsidRPr="00BF5D67">
        <w:rPr>
          <w:b/>
        </w:rPr>
        <w:t>Proposal 2: Absolute reference threshold/offset in the measurement configuration for first measurement report.</w:t>
      </w:r>
    </w:p>
    <w:p w14:paraId="76913088" w14:textId="77777777" w:rsidR="00BF5D67" w:rsidRPr="00BF5D67" w:rsidRDefault="00BF5D67" w:rsidP="00BF5D67">
      <w:pPr>
        <w:rPr>
          <w:b/>
        </w:rPr>
      </w:pPr>
      <w:r w:rsidRPr="00BF5D67">
        <w:rPr>
          <w:b/>
        </w:rPr>
        <w:t>Proposal 3: Offset in the measurement configuration for succeeding measurement report.</w:t>
      </w:r>
    </w:p>
    <w:p w14:paraId="3AB4A3A0" w14:textId="77777777" w:rsidR="00BF5D67" w:rsidRPr="00BF5D67" w:rsidRDefault="00BF5D67" w:rsidP="00BF5D67">
      <w:pPr>
        <w:rPr>
          <w:b/>
        </w:rPr>
      </w:pPr>
      <w:r w:rsidRPr="00BF5D67">
        <w:rPr>
          <w:b/>
        </w:rPr>
        <w:t>Proposal 4: The value range of SL RSRP can reuse existing RSRP-Range in TS 38.331.</w:t>
      </w:r>
    </w:p>
    <w:p w14:paraId="7FB93B47" w14:textId="77777777" w:rsidR="00BF5D67" w:rsidRPr="00BF5D67" w:rsidRDefault="00BF5D67" w:rsidP="00BF5D67">
      <w:pPr>
        <w:rPr>
          <w:b/>
        </w:rPr>
      </w:pPr>
      <w:r w:rsidRPr="00BF5D67">
        <w:rPr>
          <w:b/>
        </w:rPr>
        <w:lastRenderedPageBreak/>
        <w:t>Proposal 5: Shorter TimeToTrigger in sidelink should be considered.</w:t>
      </w:r>
    </w:p>
    <w:p w14:paraId="4B7A75A6" w14:textId="0430046C" w:rsidR="00F94346" w:rsidRPr="003A3574" w:rsidRDefault="00BF5D67" w:rsidP="00BF5D67">
      <w:r w:rsidRPr="00BF5D67">
        <w:rPr>
          <w:b/>
        </w:rPr>
        <w:t>Proposal 6: Tx UE can request SL-RSRP report from Rx UE.</w:t>
      </w:r>
    </w:p>
    <w:sectPr w:rsidR="00F94346"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1FA0C" w14:textId="77777777" w:rsidR="002A7863" w:rsidRDefault="002A7863">
      <w:r>
        <w:separator/>
      </w:r>
    </w:p>
  </w:endnote>
  <w:endnote w:type="continuationSeparator" w:id="0">
    <w:p w14:paraId="5E3C2526" w14:textId="77777777" w:rsidR="002A7863" w:rsidRDefault="002A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EB74C" w14:textId="77777777" w:rsidR="002A7863" w:rsidRDefault="002A7863">
      <w:r>
        <w:separator/>
      </w:r>
    </w:p>
  </w:footnote>
  <w:footnote w:type="continuationSeparator" w:id="0">
    <w:p w14:paraId="34058942" w14:textId="77777777" w:rsidR="002A7863" w:rsidRDefault="002A78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C55534E"/>
    <w:multiLevelType w:val="hybridMultilevel"/>
    <w:tmpl w:val="520E7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C560A"/>
    <w:multiLevelType w:val="multilevel"/>
    <w:tmpl w:val="46E8C258"/>
    <w:lvl w:ilvl="0">
      <w:start w:val="1"/>
      <w:numFmt w:val="decimal"/>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DB5C81"/>
    <w:multiLevelType w:val="hybridMultilevel"/>
    <w:tmpl w:val="8368B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361E67"/>
    <w:multiLevelType w:val="hybridMultilevel"/>
    <w:tmpl w:val="36129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4"/>
  </w:num>
  <w:num w:numId="3">
    <w:abstractNumId w:val="12"/>
  </w:num>
  <w:num w:numId="4">
    <w:abstractNumId w:val="9"/>
  </w:num>
  <w:num w:numId="5">
    <w:abstractNumId w:val="7"/>
  </w:num>
  <w:num w:numId="6">
    <w:abstractNumId w:val="15"/>
  </w:num>
  <w:num w:numId="7">
    <w:abstractNumId w:val="8"/>
  </w:num>
  <w:num w:numId="8">
    <w:abstractNumId w:val="6"/>
  </w:num>
  <w:num w:numId="9">
    <w:abstractNumId w:val="13"/>
  </w:num>
  <w:num w:numId="10">
    <w:abstractNumId w:val="5"/>
  </w:num>
  <w:num w:numId="11">
    <w:abstractNumId w:val="2"/>
  </w:num>
  <w:num w:numId="12">
    <w:abstractNumId w:val="4"/>
  </w:num>
  <w:num w:numId="13">
    <w:abstractNumId w:val="10"/>
  </w:num>
  <w:num w:numId="14">
    <w:abstractNumId w:val="1"/>
  </w:num>
  <w:num w:numId="15">
    <w:abstractNumId w:val="11"/>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65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4F3"/>
    <w:rsid w:val="000365B6"/>
    <w:rsid w:val="00036CB7"/>
    <w:rsid w:val="00036F2F"/>
    <w:rsid w:val="00037094"/>
    <w:rsid w:val="00037184"/>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14A"/>
    <w:rsid w:val="000612E1"/>
    <w:rsid w:val="000613BD"/>
    <w:rsid w:val="000614FE"/>
    <w:rsid w:val="00061575"/>
    <w:rsid w:val="00061858"/>
    <w:rsid w:val="00061AA0"/>
    <w:rsid w:val="00062736"/>
    <w:rsid w:val="00062D79"/>
    <w:rsid w:val="00063260"/>
    <w:rsid w:val="00063A10"/>
    <w:rsid w:val="00063F27"/>
    <w:rsid w:val="00064060"/>
    <w:rsid w:val="00064AA0"/>
    <w:rsid w:val="00065B30"/>
    <w:rsid w:val="00065D38"/>
    <w:rsid w:val="00065F19"/>
    <w:rsid w:val="000660D4"/>
    <w:rsid w:val="0006640F"/>
    <w:rsid w:val="00066603"/>
    <w:rsid w:val="000668E2"/>
    <w:rsid w:val="00066A0D"/>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85C"/>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951"/>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6F29"/>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1A5"/>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CB1"/>
    <w:rsid w:val="000C2F74"/>
    <w:rsid w:val="000C2FBD"/>
    <w:rsid w:val="000C39C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BA6"/>
    <w:rsid w:val="000D0CB2"/>
    <w:rsid w:val="000D0D18"/>
    <w:rsid w:val="000D0E4E"/>
    <w:rsid w:val="000D0F19"/>
    <w:rsid w:val="000D113C"/>
    <w:rsid w:val="000D12D1"/>
    <w:rsid w:val="000D159A"/>
    <w:rsid w:val="000D1BA0"/>
    <w:rsid w:val="000D22CC"/>
    <w:rsid w:val="000D2636"/>
    <w:rsid w:val="000D2A10"/>
    <w:rsid w:val="000D2A6D"/>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698"/>
    <w:rsid w:val="000E4975"/>
    <w:rsid w:val="000E4C59"/>
    <w:rsid w:val="000E54AF"/>
    <w:rsid w:val="000E579F"/>
    <w:rsid w:val="000E59A0"/>
    <w:rsid w:val="000E5B5B"/>
    <w:rsid w:val="000E61E7"/>
    <w:rsid w:val="000E63AA"/>
    <w:rsid w:val="000E6728"/>
    <w:rsid w:val="000E6B02"/>
    <w:rsid w:val="000E6B18"/>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1AD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678"/>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6D5"/>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48C"/>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9E7"/>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A63"/>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87E17"/>
    <w:rsid w:val="0019069B"/>
    <w:rsid w:val="001908E7"/>
    <w:rsid w:val="0019093C"/>
    <w:rsid w:val="00190D77"/>
    <w:rsid w:val="00190D9A"/>
    <w:rsid w:val="00191614"/>
    <w:rsid w:val="00191C91"/>
    <w:rsid w:val="00192207"/>
    <w:rsid w:val="00192B50"/>
    <w:rsid w:val="00192DD9"/>
    <w:rsid w:val="0019313A"/>
    <w:rsid w:val="00193182"/>
    <w:rsid w:val="001937DB"/>
    <w:rsid w:val="00193EEC"/>
    <w:rsid w:val="00193F73"/>
    <w:rsid w:val="00193F77"/>
    <w:rsid w:val="00194136"/>
    <w:rsid w:val="0019419C"/>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9C"/>
    <w:rsid w:val="001A03C7"/>
    <w:rsid w:val="001A0703"/>
    <w:rsid w:val="001A0FA5"/>
    <w:rsid w:val="001A109D"/>
    <w:rsid w:val="001A10C6"/>
    <w:rsid w:val="001A138C"/>
    <w:rsid w:val="001A13D8"/>
    <w:rsid w:val="001A180D"/>
    <w:rsid w:val="001A1AB0"/>
    <w:rsid w:val="001A1BAC"/>
    <w:rsid w:val="001A1DD2"/>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083"/>
    <w:rsid w:val="001B1493"/>
    <w:rsid w:val="001B1A33"/>
    <w:rsid w:val="001B3964"/>
    <w:rsid w:val="001B3C89"/>
    <w:rsid w:val="001B3E4B"/>
    <w:rsid w:val="001B413E"/>
    <w:rsid w:val="001B4452"/>
    <w:rsid w:val="001B45C8"/>
    <w:rsid w:val="001B466C"/>
    <w:rsid w:val="001B4871"/>
    <w:rsid w:val="001B48CE"/>
    <w:rsid w:val="001B4A68"/>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C76"/>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C28"/>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5C4"/>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8"/>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2F4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3FB2"/>
    <w:rsid w:val="002442B5"/>
    <w:rsid w:val="00244552"/>
    <w:rsid w:val="002446BA"/>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41B"/>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0"/>
    <w:rsid w:val="00287243"/>
    <w:rsid w:val="00287271"/>
    <w:rsid w:val="002876E7"/>
    <w:rsid w:val="00287C4E"/>
    <w:rsid w:val="00287D65"/>
    <w:rsid w:val="00287E3A"/>
    <w:rsid w:val="00287FAE"/>
    <w:rsid w:val="002900C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A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C4A"/>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A7863"/>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4CD"/>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88"/>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51C"/>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754"/>
    <w:rsid w:val="003158DE"/>
    <w:rsid w:val="00315EDE"/>
    <w:rsid w:val="00315F63"/>
    <w:rsid w:val="00316689"/>
    <w:rsid w:val="0031674C"/>
    <w:rsid w:val="00316EB5"/>
    <w:rsid w:val="00316FE4"/>
    <w:rsid w:val="00317318"/>
    <w:rsid w:val="00317526"/>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809"/>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9EA"/>
    <w:rsid w:val="00335B75"/>
    <w:rsid w:val="00335D8C"/>
    <w:rsid w:val="00335F97"/>
    <w:rsid w:val="00336072"/>
    <w:rsid w:val="0033633C"/>
    <w:rsid w:val="003363A1"/>
    <w:rsid w:val="00336B3F"/>
    <w:rsid w:val="00336FCD"/>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C11"/>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1D3"/>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7D2"/>
    <w:rsid w:val="003C689A"/>
    <w:rsid w:val="003C6DFE"/>
    <w:rsid w:val="003C73ED"/>
    <w:rsid w:val="003C755B"/>
    <w:rsid w:val="003C7AD7"/>
    <w:rsid w:val="003C7B74"/>
    <w:rsid w:val="003C7F0B"/>
    <w:rsid w:val="003D01E5"/>
    <w:rsid w:val="003D05A2"/>
    <w:rsid w:val="003D08AC"/>
    <w:rsid w:val="003D0B82"/>
    <w:rsid w:val="003D0E3D"/>
    <w:rsid w:val="003D0FC3"/>
    <w:rsid w:val="003D1F27"/>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54"/>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20"/>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17"/>
    <w:rsid w:val="004314FC"/>
    <w:rsid w:val="00431505"/>
    <w:rsid w:val="004317D9"/>
    <w:rsid w:val="004319EF"/>
    <w:rsid w:val="00431AC2"/>
    <w:rsid w:val="00431AF0"/>
    <w:rsid w:val="00431BA7"/>
    <w:rsid w:val="00431F19"/>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956"/>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A99"/>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C02"/>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ABE"/>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8FB"/>
    <w:rsid w:val="004C2A4F"/>
    <w:rsid w:val="004C2C76"/>
    <w:rsid w:val="004C311C"/>
    <w:rsid w:val="004C31B6"/>
    <w:rsid w:val="004C36DE"/>
    <w:rsid w:val="004C3FA7"/>
    <w:rsid w:val="004C4384"/>
    <w:rsid w:val="004C453B"/>
    <w:rsid w:val="004C46D6"/>
    <w:rsid w:val="004C4AE3"/>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64D"/>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1D6D"/>
    <w:rsid w:val="004E20FD"/>
    <w:rsid w:val="004E2579"/>
    <w:rsid w:val="004E2826"/>
    <w:rsid w:val="004E29BA"/>
    <w:rsid w:val="004E29D2"/>
    <w:rsid w:val="004E2D34"/>
    <w:rsid w:val="004E2DBD"/>
    <w:rsid w:val="004E2DE0"/>
    <w:rsid w:val="004E3237"/>
    <w:rsid w:val="004E32A8"/>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5C"/>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3C2C"/>
    <w:rsid w:val="005140B7"/>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39A"/>
    <w:rsid w:val="005218B6"/>
    <w:rsid w:val="0052242E"/>
    <w:rsid w:val="00522589"/>
    <w:rsid w:val="00522A49"/>
    <w:rsid w:val="00522E68"/>
    <w:rsid w:val="00522EF9"/>
    <w:rsid w:val="005236FF"/>
    <w:rsid w:val="0052384C"/>
    <w:rsid w:val="00524176"/>
    <w:rsid w:val="00524545"/>
    <w:rsid w:val="0052470E"/>
    <w:rsid w:val="0052477B"/>
    <w:rsid w:val="0052492C"/>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02B"/>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DC9"/>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4FD6"/>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1DE"/>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57E"/>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D4"/>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070"/>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879"/>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0B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0E29"/>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2E"/>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B56"/>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9A9"/>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5D49"/>
    <w:rsid w:val="00656615"/>
    <w:rsid w:val="00656814"/>
    <w:rsid w:val="00656DB4"/>
    <w:rsid w:val="00656E5F"/>
    <w:rsid w:val="006571F6"/>
    <w:rsid w:val="006572DF"/>
    <w:rsid w:val="0065736B"/>
    <w:rsid w:val="00657434"/>
    <w:rsid w:val="00657544"/>
    <w:rsid w:val="00657AB1"/>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3DD"/>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3E14"/>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7DB"/>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97EC1"/>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2C4"/>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06"/>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42"/>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26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919"/>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11E"/>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2958"/>
    <w:rsid w:val="007929AC"/>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A71"/>
    <w:rsid w:val="007A4C68"/>
    <w:rsid w:val="007A4D04"/>
    <w:rsid w:val="007A5680"/>
    <w:rsid w:val="007A5855"/>
    <w:rsid w:val="007A5BDC"/>
    <w:rsid w:val="007A5BE7"/>
    <w:rsid w:val="007A66B4"/>
    <w:rsid w:val="007A6A5A"/>
    <w:rsid w:val="007A6DE5"/>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2C"/>
    <w:rsid w:val="007B3F97"/>
    <w:rsid w:val="007B4574"/>
    <w:rsid w:val="007B4D52"/>
    <w:rsid w:val="007B4FBF"/>
    <w:rsid w:val="007B5169"/>
    <w:rsid w:val="007B51A3"/>
    <w:rsid w:val="007B5276"/>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127"/>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C7FA5"/>
    <w:rsid w:val="007D0124"/>
    <w:rsid w:val="007D043D"/>
    <w:rsid w:val="007D0579"/>
    <w:rsid w:val="007D05A2"/>
    <w:rsid w:val="007D060D"/>
    <w:rsid w:val="007D0686"/>
    <w:rsid w:val="007D0A23"/>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688"/>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7A7"/>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0B"/>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67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2F9A"/>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2E"/>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246"/>
    <w:rsid w:val="008A7381"/>
    <w:rsid w:val="008A73B2"/>
    <w:rsid w:val="008A7929"/>
    <w:rsid w:val="008A7A65"/>
    <w:rsid w:val="008A7B90"/>
    <w:rsid w:val="008A7F94"/>
    <w:rsid w:val="008B043F"/>
    <w:rsid w:val="008B0716"/>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B9C"/>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1BC4"/>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A9A"/>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3CA"/>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1F"/>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5DD"/>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44B"/>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5CF"/>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BD2"/>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E65"/>
    <w:rsid w:val="009A6472"/>
    <w:rsid w:val="009A66AF"/>
    <w:rsid w:val="009A690D"/>
    <w:rsid w:val="009A6A6B"/>
    <w:rsid w:val="009A74A6"/>
    <w:rsid w:val="009A7969"/>
    <w:rsid w:val="009A7F58"/>
    <w:rsid w:val="009A7FA2"/>
    <w:rsid w:val="009B02B0"/>
    <w:rsid w:val="009B032C"/>
    <w:rsid w:val="009B0DDF"/>
    <w:rsid w:val="009B107D"/>
    <w:rsid w:val="009B1291"/>
    <w:rsid w:val="009B12C8"/>
    <w:rsid w:val="009B17C5"/>
    <w:rsid w:val="009B1AEC"/>
    <w:rsid w:val="009B1C51"/>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0F43"/>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13D"/>
    <w:rsid w:val="009C7320"/>
    <w:rsid w:val="009C75CE"/>
    <w:rsid w:val="009C7896"/>
    <w:rsid w:val="009D00BD"/>
    <w:rsid w:val="009D0342"/>
    <w:rsid w:val="009D0487"/>
    <w:rsid w:val="009D0615"/>
    <w:rsid w:val="009D071A"/>
    <w:rsid w:val="009D0729"/>
    <w:rsid w:val="009D07BB"/>
    <w:rsid w:val="009D0DA7"/>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2CF2"/>
    <w:rsid w:val="009D319C"/>
    <w:rsid w:val="009D32E6"/>
    <w:rsid w:val="009D3B30"/>
    <w:rsid w:val="009D4964"/>
    <w:rsid w:val="009D5098"/>
    <w:rsid w:val="009D50E3"/>
    <w:rsid w:val="009D511C"/>
    <w:rsid w:val="009D5350"/>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A2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8B1"/>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4A1A"/>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071"/>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5B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B56"/>
    <w:rsid w:val="00A41D64"/>
    <w:rsid w:val="00A422A7"/>
    <w:rsid w:val="00A42358"/>
    <w:rsid w:val="00A42457"/>
    <w:rsid w:val="00A42861"/>
    <w:rsid w:val="00A42BEE"/>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676F9"/>
    <w:rsid w:val="00A7025E"/>
    <w:rsid w:val="00A703FC"/>
    <w:rsid w:val="00A70469"/>
    <w:rsid w:val="00A7075B"/>
    <w:rsid w:val="00A70AC2"/>
    <w:rsid w:val="00A70B0D"/>
    <w:rsid w:val="00A7169C"/>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A9"/>
    <w:rsid w:val="00A842BA"/>
    <w:rsid w:val="00A84318"/>
    <w:rsid w:val="00A843F2"/>
    <w:rsid w:val="00A8443A"/>
    <w:rsid w:val="00A84694"/>
    <w:rsid w:val="00A84722"/>
    <w:rsid w:val="00A8479C"/>
    <w:rsid w:val="00A84CDB"/>
    <w:rsid w:val="00A85051"/>
    <w:rsid w:val="00A8510F"/>
    <w:rsid w:val="00A85399"/>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00D"/>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B5"/>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2F8"/>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4A"/>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3FF9"/>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182"/>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189"/>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5CB"/>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1E33"/>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3A"/>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700"/>
    <w:rsid w:val="00BC6B13"/>
    <w:rsid w:val="00BC6B4A"/>
    <w:rsid w:val="00BC6FD6"/>
    <w:rsid w:val="00BC73B2"/>
    <w:rsid w:val="00BC7494"/>
    <w:rsid w:val="00BC74CC"/>
    <w:rsid w:val="00BC7C75"/>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D67"/>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18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3E"/>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E78"/>
    <w:rsid w:val="00C56FA8"/>
    <w:rsid w:val="00C570F7"/>
    <w:rsid w:val="00C57314"/>
    <w:rsid w:val="00C57638"/>
    <w:rsid w:val="00C57D55"/>
    <w:rsid w:val="00C6085D"/>
    <w:rsid w:val="00C609CA"/>
    <w:rsid w:val="00C60B99"/>
    <w:rsid w:val="00C611B7"/>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49F"/>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95D"/>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3FEA"/>
    <w:rsid w:val="00C8416A"/>
    <w:rsid w:val="00C841DE"/>
    <w:rsid w:val="00C843AD"/>
    <w:rsid w:val="00C84EA6"/>
    <w:rsid w:val="00C8530B"/>
    <w:rsid w:val="00C8535E"/>
    <w:rsid w:val="00C85997"/>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181"/>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3F6"/>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6765"/>
    <w:rsid w:val="00CA70A7"/>
    <w:rsid w:val="00CA7AD5"/>
    <w:rsid w:val="00CB008E"/>
    <w:rsid w:val="00CB01FA"/>
    <w:rsid w:val="00CB04C9"/>
    <w:rsid w:val="00CB0737"/>
    <w:rsid w:val="00CB097A"/>
    <w:rsid w:val="00CB0CE2"/>
    <w:rsid w:val="00CB121D"/>
    <w:rsid w:val="00CB1B58"/>
    <w:rsid w:val="00CB2329"/>
    <w:rsid w:val="00CB26EC"/>
    <w:rsid w:val="00CB2D2A"/>
    <w:rsid w:val="00CB310B"/>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A60"/>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73F"/>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4B"/>
    <w:rsid w:val="00CD087D"/>
    <w:rsid w:val="00CD0934"/>
    <w:rsid w:val="00CD0D55"/>
    <w:rsid w:val="00CD0F5D"/>
    <w:rsid w:val="00CD1580"/>
    <w:rsid w:val="00CD1AB1"/>
    <w:rsid w:val="00CD1BCB"/>
    <w:rsid w:val="00CD1C0B"/>
    <w:rsid w:val="00CD1C73"/>
    <w:rsid w:val="00CD1DB5"/>
    <w:rsid w:val="00CD1EB7"/>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08"/>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465"/>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9D"/>
    <w:rsid w:val="00D37FEC"/>
    <w:rsid w:val="00D4055B"/>
    <w:rsid w:val="00D40663"/>
    <w:rsid w:val="00D406E7"/>
    <w:rsid w:val="00D4094B"/>
    <w:rsid w:val="00D40C09"/>
    <w:rsid w:val="00D40D10"/>
    <w:rsid w:val="00D4138B"/>
    <w:rsid w:val="00D413CA"/>
    <w:rsid w:val="00D417AE"/>
    <w:rsid w:val="00D41830"/>
    <w:rsid w:val="00D418FE"/>
    <w:rsid w:val="00D41BB1"/>
    <w:rsid w:val="00D41BC1"/>
    <w:rsid w:val="00D41E3C"/>
    <w:rsid w:val="00D41E6D"/>
    <w:rsid w:val="00D42895"/>
    <w:rsid w:val="00D42DCF"/>
    <w:rsid w:val="00D42F41"/>
    <w:rsid w:val="00D4334E"/>
    <w:rsid w:val="00D437D8"/>
    <w:rsid w:val="00D43A5B"/>
    <w:rsid w:val="00D43AB8"/>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47EC6"/>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0E0E"/>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7FC"/>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4E41"/>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5ECE"/>
    <w:rsid w:val="00DB63D0"/>
    <w:rsid w:val="00DB67F4"/>
    <w:rsid w:val="00DB691A"/>
    <w:rsid w:val="00DB6C80"/>
    <w:rsid w:val="00DB7D98"/>
    <w:rsid w:val="00DC04AC"/>
    <w:rsid w:val="00DC0CED"/>
    <w:rsid w:val="00DC0DE0"/>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415"/>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5E2"/>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7FC"/>
    <w:rsid w:val="00E04022"/>
    <w:rsid w:val="00E0433A"/>
    <w:rsid w:val="00E0446A"/>
    <w:rsid w:val="00E045D2"/>
    <w:rsid w:val="00E045F0"/>
    <w:rsid w:val="00E0536B"/>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2EB"/>
    <w:rsid w:val="00E12E22"/>
    <w:rsid w:val="00E134B7"/>
    <w:rsid w:val="00E13DB6"/>
    <w:rsid w:val="00E13E0C"/>
    <w:rsid w:val="00E14665"/>
    <w:rsid w:val="00E146EB"/>
    <w:rsid w:val="00E14A7E"/>
    <w:rsid w:val="00E14E94"/>
    <w:rsid w:val="00E1503A"/>
    <w:rsid w:val="00E15108"/>
    <w:rsid w:val="00E151E1"/>
    <w:rsid w:val="00E159ED"/>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D0E"/>
    <w:rsid w:val="00E63F25"/>
    <w:rsid w:val="00E63F8B"/>
    <w:rsid w:val="00E6416C"/>
    <w:rsid w:val="00E64424"/>
    <w:rsid w:val="00E645D1"/>
    <w:rsid w:val="00E64C66"/>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040"/>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4C35"/>
    <w:rsid w:val="00E75174"/>
    <w:rsid w:val="00E751A2"/>
    <w:rsid w:val="00E75653"/>
    <w:rsid w:val="00E75731"/>
    <w:rsid w:val="00E7585B"/>
    <w:rsid w:val="00E758FC"/>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1E5"/>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6302"/>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45E"/>
    <w:rsid w:val="00EB16E6"/>
    <w:rsid w:val="00EB17BD"/>
    <w:rsid w:val="00EB1819"/>
    <w:rsid w:val="00EB1B27"/>
    <w:rsid w:val="00EB1CFE"/>
    <w:rsid w:val="00EB1D22"/>
    <w:rsid w:val="00EB1DA8"/>
    <w:rsid w:val="00EB2388"/>
    <w:rsid w:val="00EB3519"/>
    <w:rsid w:val="00EB3524"/>
    <w:rsid w:val="00EB371F"/>
    <w:rsid w:val="00EB3D15"/>
    <w:rsid w:val="00EB428C"/>
    <w:rsid w:val="00EB45A1"/>
    <w:rsid w:val="00EB473A"/>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28"/>
    <w:rsid w:val="00EB6F83"/>
    <w:rsid w:val="00EB70B0"/>
    <w:rsid w:val="00EB75B7"/>
    <w:rsid w:val="00EB7633"/>
    <w:rsid w:val="00EB7736"/>
    <w:rsid w:val="00EB78D6"/>
    <w:rsid w:val="00EB7F5E"/>
    <w:rsid w:val="00EC019F"/>
    <w:rsid w:val="00EC026C"/>
    <w:rsid w:val="00EC0C86"/>
    <w:rsid w:val="00EC0E6F"/>
    <w:rsid w:val="00EC138E"/>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032"/>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1C8"/>
    <w:rsid w:val="00ED242F"/>
    <w:rsid w:val="00ED25C1"/>
    <w:rsid w:val="00ED2962"/>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5EA"/>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446"/>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5B91"/>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21A"/>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2E3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D2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0"/>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46"/>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08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7F2"/>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72D"/>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6F803"/>
  <w15:docId w15:val="{99669D85-9C74-4D36-B649-DC518F9E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26E"/>
    <w:pPr>
      <w:autoSpaceDE w:val="0"/>
      <w:autoSpaceDN w:val="0"/>
      <w:adjustRightInd w:val="0"/>
      <w:snapToGrid w:val="0"/>
      <w:spacing w:after="120"/>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autoRedefine/>
    <w:qFormat/>
    <w:rsid w:val="00F43BCA"/>
    <w:pPr>
      <w:keepNext/>
      <w:spacing w:before="240"/>
      <w:outlineLvl w:val="0"/>
    </w:pPr>
    <w:rPr>
      <w:rFonts w:ascii="Arial" w:hAnsi="Arial"/>
      <w:b/>
      <w:bCs/>
      <w:szCs w:val="28"/>
      <w:lang w:val="en-GB"/>
    </w:rPr>
  </w:style>
  <w:style w:type="paragraph" w:styleId="2">
    <w:name w:val="heading 2"/>
    <w:aliases w:val="H2,h2,DO NOT USE_h2,h21,Head2A,2,UNDERRUBRIK 1-2,Heading 2 Char,H2 Char,h2 Char"/>
    <w:basedOn w:val="a"/>
    <w:next w:val="a"/>
    <w:link w:val="20"/>
    <w:autoRedefine/>
    <w:qFormat/>
    <w:rsid w:val="007C026E"/>
    <w:pPr>
      <w:keepNext/>
      <w:numPr>
        <w:ilvl w:val="1"/>
        <w:numId w:val="11"/>
      </w:numPr>
      <w:spacing w:before="240"/>
      <w:ind w:left="578" w:hanging="578"/>
      <w:outlineLvl w:val="1"/>
    </w:pPr>
    <w:rPr>
      <w:rFonts w:ascii="Arial" w:hAnsi="Arial"/>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pPr>
    <w:rPr>
      <w:sz w:val="20"/>
      <w:szCs w:val="20"/>
      <w:lang w:val="en-GB"/>
    </w:rPr>
  </w:style>
  <w:style w:type="paragraph" w:styleId="a8">
    <w:name w:val="List Bullet"/>
    <w:basedOn w:val="a9"/>
    <w:rsid w:val="00A03961"/>
    <w:pPr>
      <w:autoSpaceDE/>
      <w:autoSpaceDN/>
      <w:adjustRightInd/>
      <w:spacing w:after="180"/>
      <w:ind w:left="568" w:hanging="284"/>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標號 字元"/>
    <w:aliases w:val="cap 字元,Caption Char 字元,Caption Char1 Char 字元,cap Char Char1 字元,Caption Char Char1 Char 字元,cap Char2 字元,cap1 字元,cap2 字元,cap11 字元,cap3 字元,cap4 字元,cap5 字元,cap6 字元,cap7 字元,cap8 字元,cap9 字元,cap10 字元,cap21 字元,cap31 字元,cap41 字元,cap51 字元,cap61 字元,cap71 字元"/>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AB3F38"/>
    <w:pPr>
      <w:tabs>
        <w:tab w:val="center" w:pos="4680"/>
        <w:tab w:val="right" w:pos="9360"/>
      </w:tabs>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頁尾 字元"/>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목록 단락,リスト段落,列出段落,Lista1,?? ??,?????,????"/>
    <w:basedOn w:val="a"/>
    <w:link w:val="af7"/>
    <w:uiPriority w:val="34"/>
    <w:qFormat/>
    <w:rsid w:val="0050765C"/>
    <w:pPr>
      <w:autoSpaceDE/>
      <w:autoSpaceDN/>
      <w:adjustRightInd/>
      <w:spacing w:after="0"/>
      <w:ind w:left="720"/>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文件引導模式 字元"/>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
    <w:link w:val="afc"/>
    <w:uiPriority w:val="99"/>
    <w:rsid w:val="00F8144C"/>
    <w:rPr>
      <w:sz w:val="20"/>
      <w:szCs w:val="20"/>
    </w:rPr>
  </w:style>
  <w:style w:type="character" w:customStyle="1" w:styleId="afc">
    <w:name w:val="註解文字 字元"/>
    <w:basedOn w:val="a0"/>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註解主旨 字元"/>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標題 字元"/>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Web">
    <w:name w:val="Normal (Web)"/>
    <w:basedOn w:val="a"/>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textAlignment w:val="baseline"/>
    </w:pPr>
    <w:rPr>
      <w:rFonts w:eastAsia="MS Mincho"/>
      <w:szCs w:val="20"/>
      <w:lang w:val="en-GB"/>
    </w:rPr>
  </w:style>
  <w:style w:type="paragraph" w:styleId="12">
    <w:name w:val="index 1"/>
    <w:basedOn w:val="a"/>
    <w:rsid w:val="00471C55"/>
    <w:pPr>
      <w:keepLines/>
      <w:overflowPunct w:val="0"/>
      <w:snapToGrid/>
      <w:spacing w:after="0"/>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3">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4">
    <w:name w:val="Plain Text"/>
    <w:basedOn w:val="a"/>
    <w:link w:val="aff5"/>
    <w:unhideWhenUsed/>
    <w:rsid w:val="00726F1C"/>
    <w:pPr>
      <w:autoSpaceDE/>
      <w:autoSpaceDN/>
      <w:adjustRightInd/>
      <w:snapToGrid/>
      <w:spacing w:after="0"/>
    </w:pPr>
    <w:rPr>
      <w:rFonts w:ascii="Consolas" w:eastAsia="Calibri" w:hAnsi="Consolas"/>
      <w:sz w:val="21"/>
      <w:szCs w:val="21"/>
    </w:rPr>
  </w:style>
  <w:style w:type="character" w:customStyle="1" w:styleId="aff5">
    <w:name w:val="純文字 字元"/>
    <w:link w:val="aff4"/>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6">
    <w:name w:val="No Spacing"/>
    <w:uiPriority w:val="1"/>
    <w:qFormat/>
    <w:rsid w:val="001D398E"/>
    <w:rPr>
      <w:rFonts w:eastAsia="MS Mincho"/>
      <w:lang w:eastAsia="en-US"/>
    </w:rPr>
  </w:style>
  <w:style w:type="character" w:customStyle="1" w:styleId="10">
    <w:name w:val="標題 1 字元"/>
    <w:aliases w:val="H1 字元,h1 字元,app heading 1 字元,l1 字元,Memo Heading 1 字元,h11 字元,h12 字元,h13 字元,h14 字元,h15 字元,h16 字元,Heading 1_a 字元,h17 字元,h111 字元,h121 字元,h131 字元,h141 字元,h151 字元,h161 字元,h18 字元,h112 字元,h122 字元,h132 字元,h142 字元,h152 字元,h162 字元,h19 字元,h113 字元,h123 字元"/>
    <w:link w:val="1"/>
    <w:rsid w:val="00F43BCA"/>
    <w:rPr>
      <w:rFonts w:ascii="Arial" w:hAnsi="Arial"/>
      <w:b/>
      <w:bCs/>
      <w:sz w:val="22"/>
      <w:szCs w:val="28"/>
      <w:lang w:val="en-GB" w:eastAsia="en-US"/>
    </w:rPr>
  </w:style>
  <w:style w:type="paragraph" w:customStyle="1" w:styleId="B1">
    <w:name w:val="B1"/>
    <w:basedOn w:val="a9"/>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7"/>
    <w:rsid w:val="00B37F15"/>
    <w:pPr>
      <w:ind w:left="851"/>
    </w:pPr>
  </w:style>
  <w:style w:type="paragraph" w:styleId="aff7">
    <w:name w:val="List Number"/>
    <w:basedOn w:val="a9"/>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link w:val="B4Char"/>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8">
    <w:name w:val="index heading"/>
    <w:basedOn w:val="a"/>
    <w:next w:val="a"/>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B37F15"/>
    <w:rPr>
      <w:lang w:eastAsia="en-US"/>
    </w:rPr>
  </w:style>
  <w:style w:type="paragraph" w:customStyle="1" w:styleId="Guidance">
    <w:name w:val="Guidance"/>
    <w:basedOn w:val="a"/>
    <w:rsid w:val="00B37F15"/>
    <w:pPr>
      <w:overflowPunct w:val="0"/>
      <w:snapToGrid/>
      <w:spacing w:after="180"/>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本文縮排 2 字元"/>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textAlignment w:val="baseline"/>
    </w:pPr>
    <w:rPr>
      <w:rFonts w:eastAsia="Times New Roman"/>
      <w:sz w:val="20"/>
      <w:szCs w:val="20"/>
      <w:lang w:eastAsia="ja-JP"/>
    </w:rPr>
  </w:style>
  <w:style w:type="character" w:customStyle="1" w:styleId="36">
    <w:name w:val="本文縮排 3 字元"/>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aff9">
    <w:name w:val="Date"/>
    <w:basedOn w:val="a"/>
    <w:next w:val="a"/>
    <w:link w:val="affa"/>
    <w:rsid w:val="00B37F15"/>
    <w:pPr>
      <w:overflowPunct w:val="0"/>
      <w:snapToGrid/>
      <w:spacing w:after="0"/>
      <w:textAlignment w:val="baseline"/>
    </w:pPr>
    <w:rPr>
      <w:rFonts w:eastAsia="Times New Roman"/>
      <w:sz w:val="20"/>
      <w:szCs w:val="20"/>
      <w:lang w:val="en-GB" w:eastAsia="en-GB"/>
    </w:rPr>
  </w:style>
  <w:style w:type="character" w:customStyle="1" w:styleId="affa">
    <w:name w:val="日期 字元"/>
    <w:basedOn w:val="a0"/>
    <w:link w:val="aff9"/>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標題 2 字元"/>
    <w:aliases w:val="H2 字元,h2 字元,DO NOT USE_h2 字元,h21 字元,Head2A 字元,2 字元,UNDERRUBRIK 1-2 字元,Heading 2 Char 字元,H2 Char 字元,h2 Char 字元"/>
    <w:link w:val="2"/>
    <w:rsid w:val="007C026E"/>
    <w:rPr>
      <w:rFonts w:ascii="Arial" w:hAnsi="Arial"/>
      <w:b/>
      <w:bCs/>
      <w:sz w:val="24"/>
      <w:szCs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37F15"/>
    <w:rPr>
      <w:b/>
      <w:bCs/>
      <w:sz w:val="28"/>
      <w:szCs w:val="28"/>
      <w:lang w:eastAsia="en-US"/>
    </w:rPr>
  </w:style>
  <w:style w:type="character" w:customStyle="1" w:styleId="50">
    <w:name w:val="標題 5 字元"/>
    <w:aliases w:val="h5 字元,Heading5 字元"/>
    <w:link w:val="5"/>
    <w:rsid w:val="00B37F15"/>
    <w:rPr>
      <w:b/>
      <w:bCs/>
      <w:i/>
      <w:iCs/>
      <w:sz w:val="26"/>
      <w:szCs w:val="26"/>
      <w:lang w:eastAsia="en-US"/>
    </w:rPr>
  </w:style>
  <w:style w:type="character" w:customStyle="1" w:styleId="60">
    <w:name w:val="標題 6 字元"/>
    <w:link w:val="6"/>
    <w:rsid w:val="00B37F15"/>
    <w:rPr>
      <w:b/>
      <w:bCs/>
      <w:sz w:val="22"/>
      <w:szCs w:val="22"/>
      <w:lang w:eastAsia="en-US"/>
    </w:rPr>
  </w:style>
  <w:style w:type="character" w:customStyle="1" w:styleId="70">
    <w:name w:val="標題 7 字元"/>
    <w:link w:val="7"/>
    <w:rsid w:val="00B37F15"/>
    <w:rPr>
      <w:sz w:val="24"/>
      <w:szCs w:val="24"/>
      <w:lang w:eastAsia="en-US"/>
    </w:rPr>
  </w:style>
  <w:style w:type="character" w:customStyle="1" w:styleId="80">
    <w:name w:val="標題 8 字元"/>
    <w:link w:val="8"/>
    <w:rsid w:val="00B37F15"/>
    <w:rPr>
      <w:i/>
      <w:iCs/>
      <w:sz w:val="24"/>
      <w:szCs w:val="24"/>
      <w:lang w:eastAsia="en-US"/>
    </w:rPr>
  </w:style>
  <w:style w:type="character" w:customStyle="1" w:styleId="90">
    <w:name w:val="標題 9 字元"/>
    <w:aliases w:val="Figure Heading 字元,FH 字元"/>
    <w:link w:val="9"/>
    <w:rsid w:val="00B37F15"/>
    <w:rPr>
      <w:rFonts w:ascii="Arial" w:hAnsi="Arial"/>
      <w:sz w:val="22"/>
      <w:szCs w:val="22"/>
      <w:lang w:eastAsia="en-US"/>
    </w:rPr>
  </w:style>
  <w:style w:type="character" w:customStyle="1" w:styleId="aa">
    <w:name w:val="清單 字元"/>
    <w:link w:val="a9"/>
    <w:rsid w:val="00B37F15"/>
    <w:rPr>
      <w:sz w:val="22"/>
      <w:szCs w:val="22"/>
      <w:lang w:eastAsia="en-US"/>
    </w:rPr>
  </w:style>
  <w:style w:type="character" w:customStyle="1" w:styleId="af">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DN 字元"/>
    <w:link w:val="ae"/>
    <w:uiPriority w:val="99"/>
    <w:rsid w:val="00B37F15"/>
    <w:rPr>
      <w:lang w:eastAsia="en-US"/>
    </w:rPr>
  </w:style>
  <w:style w:type="character" w:customStyle="1" w:styleId="PLChar">
    <w:name w:val="PL Char"/>
    <w:link w:val="PL"/>
    <w:qFormat/>
    <w:locked/>
    <w:rsid w:val="00B37F15"/>
    <w:rPr>
      <w:rFonts w:ascii="Courier New" w:eastAsia="Times New Roman" w:hAnsi="Courier New"/>
      <w:noProof/>
      <w:sz w:val="16"/>
      <w:lang w:val="en-GB" w:eastAsia="en-GB" w:bidi="ar-SA"/>
    </w:rPr>
  </w:style>
  <w:style w:type="character" w:customStyle="1" w:styleId="24">
    <w:name w:val="清單 2 字元"/>
    <w:link w:val="23"/>
    <w:rsid w:val="00B37F15"/>
    <w:rPr>
      <w:sz w:val="22"/>
      <w:szCs w:val="22"/>
      <w:lang w:eastAsia="en-US"/>
    </w:rPr>
  </w:style>
  <w:style w:type="character" w:customStyle="1" w:styleId="34">
    <w:name w:val="清單 3 字元"/>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註解方塊文字 字元"/>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本文 2 字元"/>
    <w:link w:val="21"/>
    <w:rsid w:val="00B37F15"/>
    <w:rPr>
      <w:sz w:val="22"/>
      <w:lang w:eastAsia="en-US"/>
    </w:rPr>
  </w:style>
  <w:style w:type="character" w:customStyle="1" w:styleId="af7">
    <w:name w:val="清單段落 字元"/>
    <w:aliases w:val="- Bullets 字元,목록 단락 字元,リスト段落 字元,列出段落 字元,Lista1 字元,?? ?? 字元,????? 字元,???? 字元"/>
    <w:link w:val="af6"/>
    <w:uiPriority w:val="34"/>
    <w:locked/>
    <w:rsid w:val="00433563"/>
    <w:rPr>
      <w:rFonts w:ascii="Calibri" w:hAnsi="Calibri" w:cs="Calibri"/>
      <w:sz w:val="22"/>
      <w:szCs w:val="22"/>
    </w:rPr>
  </w:style>
  <w:style w:type="paragraph" w:customStyle="1" w:styleId="Doc-text2">
    <w:name w:val="Doc-text2"/>
    <w:basedOn w:val="a"/>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a0"/>
    <w:rsid w:val="00F37196"/>
    <w:rPr>
      <w:rFonts w:ascii="Times New Roman" w:eastAsia="Times New Roman" w:hAnsi="Times New Roman" w:cs="Times New Roman"/>
      <w:sz w:val="20"/>
      <w:szCs w:val="20"/>
      <w:lang w:val="en-GB" w:eastAsia="ko-KR"/>
    </w:rPr>
  </w:style>
  <w:style w:type="paragraph" w:customStyle="1" w:styleId="Proposal">
    <w:name w:val="Proposal"/>
    <w:basedOn w:val="a"/>
    <w:qFormat/>
    <w:rsid w:val="0094298E"/>
    <w:pPr>
      <w:numPr>
        <w:numId w:val="12"/>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14618558">
      <w:bodyDiv w:val="1"/>
      <w:marLeft w:val="0"/>
      <w:marRight w:val="0"/>
      <w:marTop w:val="0"/>
      <w:marBottom w:val="0"/>
      <w:divBdr>
        <w:top w:val="none" w:sz="0" w:space="0" w:color="auto"/>
        <w:left w:val="none" w:sz="0" w:space="0" w:color="auto"/>
        <w:bottom w:val="none" w:sz="0" w:space="0" w:color="auto"/>
        <w:right w:val="none" w:sz="0" w:space="0" w:color="auto"/>
      </w:divBdr>
      <w:divsChild>
        <w:div w:id="69349778">
          <w:marLeft w:val="360"/>
          <w:marRight w:val="0"/>
          <w:marTop w:val="200"/>
          <w:marBottom w:val="0"/>
          <w:divBdr>
            <w:top w:val="none" w:sz="0" w:space="0" w:color="auto"/>
            <w:left w:val="none" w:sz="0" w:space="0" w:color="auto"/>
            <w:bottom w:val="none" w:sz="0" w:space="0" w:color="auto"/>
            <w:right w:val="none" w:sz="0" w:space="0" w:color="auto"/>
          </w:divBdr>
        </w:div>
        <w:div w:id="157431346">
          <w:marLeft w:val="1800"/>
          <w:marRight w:val="0"/>
          <w:marTop w:val="100"/>
          <w:marBottom w:val="0"/>
          <w:divBdr>
            <w:top w:val="none" w:sz="0" w:space="0" w:color="auto"/>
            <w:left w:val="none" w:sz="0" w:space="0" w:color="auto"/>
            <w:bottom w:val="none" w:sz="0" w:space="0" w:color="auto"/>
            <w:right w:val="none" w:sz="0" w:space="0" w:color="auto"/>
          </w:divBdr>
        </w:div>
        <w:div w:id="492767742">
          <w:marLeft w:val="1800"/>
          <w:marRight w:val="0"/>
          <w:marTop w:val="100"/>
          <w:marBottom w:val="0"/>
          <w:divBdr>
            <w:top w:val="none" w:sz="0" w:space="0" w:color="auto"/>
            <w:left w:val="none" w:sz="0" w:space="0" w:color="auto"/>
            <w:bottom w:val="none" w:sz="0" w:space="0" w:color="auto"/>
            <w:right w:val="none" w:sz="0" w:space="0" w:color="auto"/>
          </w:divBdr>
        </w:div>
        <w:div w:id="949969546">
          <w:marLeft w:val="1800"/>
          <w:marRight w:val="0"/>
          <w:marTop w:val="100"/>
          <w:marBottom w:val="0"/>
          <w:divBdr>
            <w:top w:val="none" w:sz="0" w:space="0" w:color="auto"/>
            <w:left w:val="none" w:sz="0" w:space="0" w:color="auto"/>
            <w:bottom w:val="none" w:sz="0" w:space="0" w:color="auto"/>
            <w:right w:val="none" w:sz="0" w:space="0" w:color="auto"/>
          </w:divBdr>
        </w:div>
        <w:div w:id="1297099680">
          <w:marLeft w:val="1080"/>
          <w:marRight w:val="0"/>
          <w:marTop w:val="100"/>
          <w:marBottom w:val="0"/>
          <w:divBdr>
            <w:top w:val="none" w:sz="0" w:space="0" w:color="auto"/>
            <w:left w:val="none" w:sz="0" w:space="0" w:color="auto"/>
            <w:bottom w:val="none" w:sz="0" w:space="0" w:color="auto"/>
            <w:right w:val="none" w:sz="0" w:space="0" w:color="auto"/>
          </w:divBdr>
        </w:div>
        <w:div w:id="1435203176">
          <w:marLeft w:val="1800"/>
          <w:marRight w:val="0"/>
          <w:marTop w:val="100"/>
          <w:marBottom w:val="0"/>
          <w:divBdr>
            <w:top w:val="none" w:sz="0" w:space="0" w:color="auto"/>
            <w:left w:val="none" w:sz="0" w:space="0" w:color="auto"/>
            <w:bottom w:val="none" w:sz="0" w:space="0" w:color="auto"/>
            <w:right w:val="none" w:sz="0" w:space="0" w:color="auto"/>
          </w:divBdr>
        </w:div>
      </w:divsChild>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3965">
      <w:bodyDiv w:val="1"/>
      <w:marLeft w:val="0"/>
      <w:marRight w:val="0"/>
      <w:marTop w:val="0"/>
      <w:marBottom w:val="0"/>
      <w:divBdr>
        <w:top w:val="none" w:sz="0" w:space="0" w:color="auto"/>
        <w:left w:val="none" w:sz="0" w:space="0" w:color="auto"/>
        <w:bottom w:val="none" w:sz="0" w:space="0" w:color="auto"/>
        <w:right w:val="none" w:sz="0" w:space="0" w:color="auto"/>
      </w:divBdr>
      <w:divsChild>
        <w:div w:id="127211361">
          <w:marLeft w:val="1800"/>
          <w:marRight w:val="0"/>
          <w:marTop w:val="100"/>
          <w:marBottom w:val="0"/>
          <w:divBdr>
            <w:top w:val="none" w:sz="0" w:space="0" w:color="auto"/>
            <w:left w:val="none" w:sz="0" w:space="0" w:color="auto"/>
            <w:bottom w:val="none" w:sz="0" w:space="0" w:color="auto"/>
            <w:right w:val="none" w:sz="0" w:space="0" w:color="auto"/>
          </w:divBdr>
        </w:div>
        <w:div w:id="165903768">
          <w:marLeft w:val="360"/>
          <w:marRight w:val="0"/>
          <w:marTop w:val="200"/>
          <w:marBottom w:val="0"/>
          <w:divBdr>
            <w:top w:val="none" w:sz="0" w:space="0" w:color="auto"/>
            <w:left w:val="none" w:sz="0" w:space="0" w:color="auto"/>
            <w:bottom w:val="none" w:sz="0" w:space="0" w:color="auto"/>
            <w:right w:val="none" w:sz="0" w:space="0" w:color="auto"/>
          </w:divBdr>
        </w:div>
        <w:div w:id="393091215">
          <w:marLeft w:val="1800"/>
          <w:marRight w:val="0"/>
          <w:marTop w:val="100"/>
          <w:marBottom w:val="0"/>
          <w:divBdr>
            <w:top w:val="none" w:sz="0" w:space="0" w:color="auto"/>
            <w:left w:val="none" w:sz="0" w:space="0" w:color="auto"/>
            <w:bottom w:val="none" w:sz="0" w:space="0" w:color="auto"/>
            <w:right w:val="none" w:sz="0" w:space="0" w:color="auto"/>
          </w:divBdr>
        </w:div>
        <w:div w:id="505873157">
          <w:marLeft w:val="1800"/>
          <w:marRight w:val="0"/>
          <w:marTop w:val="100"/>
          <w:marBottom w:val="0"/>
          <w:divBdr>
            <w:top w:val="none" w:sz="0" w:space="0" w:color="auto"/>
            <w:left w:val="none" w:sz="0" w:space="0" w:color="auto"/>
            <w:bottom w:val="none" w:sz="0" w:space="0" w:color="auto"/>
            <w:right w:val="none" w:sz="0" w:space="0" w:color="auto"/>
          </w:divBdr>
        </w:div>
        <w:div w:id="675769591">
          <w:marLeft w:val="1800"/>
          <w:marRight w:val="0"/>
          <w:marTop w:val="100"/>
          <w:marBottom w:val="0"/>
          <w:divBdr>
            <w:top w:val="none" w:sz="0" w:space="0" w:color="auto"/>
            <w:left w:val="none" w:sz="0" w:space="0" w:color="auto"/>
            <w:bottom w:val="none" w:sz="0" w:space="0" w:color="auto"/>
            <w:right w:val="none" w:sz="0" w:space="0" w:color="auto"/>
          </w:divBdr>
        </w:div>
        <w:div w:id="1093864355">
          <w:marLeft w:val="1800"/>
          <w:marRight w:val="0"/>
          <w:marTop w:val="100"/>
          <w:marBottom w:val="0"/>
          <w:divBdr>
            <w:top w:val="none" w:sz="0" w:space="0" w:color="auto"/>
            <w:left w:val="none" w:sz="0" w:space="0" w:color="auto"/>
            <w:bottom w:val="none" w:sz="0" w:space="0" w:color="auto"/>
            <w:right w:val="none" w:sz="0" w:space="0" w:color="auto"/>
          </w:divBdr>
        </w:div>
        <w:div w:id="1429888458">
          <w:marLeft w:val="1080"/>
          <w:marRight w:val="0"/>
          <w:marTop w:val="100"/>
          <w:marBottom w:val="0"/>
          <w:divBdr>
            <w:top w:val="none" w:sz="0" w:space="0" w:color="auto"/>
            <w:left w:val="none" w:sz="0" w:space="0" w:color="auto"/>
            <w:bottom w:val="none" w:sz="0" w:space="0" w:color="auto"/>
            <w:right w:val="none" w:sz="0" w:space="0" w:color="auto"/>
          </w:divBdr>
        </w:div>
        <w:div w:id="1469975094">
          <w:marLeft w:val="360"/>
          <w:marRight w:val="0"/>
          <w:marTop w:val="200"/>
          <w:marBottom w:val="0"/>
          <w:divBdr>
            <w:top w:val="none" w:sz="0" w:space="0" w:color="auto"/>
            <w:left w:val="none" w:sz="0" w:space="0" w:color="auto"/>
            <w:bottom w:val="none" w:sz="0" w:space="0" w:color="auto"/>
            <w:right w:val="none" w:sz="0" w:space="0" w:color="auto"/>
          </w:divBdr>
        </w:div>
        <w:div w:id="1803422905">
          <w:marLeft w:val="1080"/>
          <w:marRight w:val="0"/>
          <w:marTop w:val="1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56925550">
      <w:bodyDiv w:val="1"/>
      <w:marLeft w:val="0"/>
      <w:marRight w:val="0"/>
      <w:marTop w:val="0"/>
      <w:marBottom w:val="0"/>
      <w:divBdr>
        <w:top w:val="none" w:sz="0" w:space="0" w:color="auto"/>
        <w:left w:val="none" w:sz="0" w:space="0" w:color="auto"/>
        <w:bottom w:val="none" w:sz="0" w:space="0" w:color="auto"/>
        <w:right w:val="none" w:sz="0" w:space="0" w:color="auto"/>
      </w:divBdr>
      <w:divsChild>
        <w:div w:id="13966418">
          <w:marLeft w:val="360"/>
          <w:marRight w:val="0"/>
          <w:marTop w:val="200"/>
          <w:marBottom w:val="0"/>
          <w:divBdr>
            <w:top w:val="none" w:sz="0" w:space="0" w:color="auto"/>
            <w:left w:val="none" w:sz="0" w:space="0" w:color="auto"/>
            <w:bottom w:val="none" w:sz="0" w:space="0" w:color="auto"/>
            <w:right w:val="none" w:sz="0" w:space="0" w:color="auto"/>
          </w:divBdr>
        </w:div>
        <w:div w:id="33193575">
          <w:marLeft w:val="1080"/>
          <w:marRight w:val="0"/>
          <w:marTop w:val="100"/>
          <w:marBottom w:val="0"/>
          <w:divBdr>
            <w:top w:val="none" w:sz="0" w:space="0" w:color="auto"/>
            <w:left w:val="none" w:sz="0" w:space="0" w:color="auto"/>
            <w:bottom w:val="none" w:sz="0" w:space="0" w:color="auto"/>
            <w:right w:val="none" w:sz="0" w:space="0" w:color="auto"/>
          </w:divBdr>
        </w:div>
        <w:div w:id="700135146">
          <w:marLeft w:val="1800"/>
          <w:marRight w:val="0"/>
          <w:marTop w:val="100"/>
          <w:marBottom w:val="0"/>
          <w:divBdr>
            <w:top w:val="none" w:sz="0" w:space="0" w:color="auto"/>
            <w:left w:val="none" w:sz="0" w:space="0" w:color="auto"/>
            <w:bottom w:val="none" w:sz="0" w:space="0" w:color="auto"/>
            <w:right w:val="none" w:sz="0" w:space="0" w:color="auto"/>
          </w:divBdr>
        </w:div>
        <w:div w:id="721487062">
          <w:marLeft w:val="360"/>
          <w:marRight w:val="0"/>
          <w:marTop w:val="200"/>
          <w:marBottom w:val="0"/>
          <w:divBdr>
            <w:top w:val="none" w:sz="0" w:space="0" w:color="auto"/>
            <w:left w:val="none" w:sz="0" w:space="0" w:color="auto"/>
            <w:bottom w:val="none" w:sz="0" w:space="0" w:color="auto"/>
            <w:right w:val="none" w:sz="0" w:space="0" w:color="auto"/>
          </w:divBdr>
        </w:div>
        <w:div w:id="1122113910">
          <w:marLeft w:val="1080"/>
          <w:marRight w:val="0"/>
          <w:marTop w:val="100"/>
          <w:marBottom w:val="0"/>
          <w:divBdr>
            <w:top w:val="none" w:sz="0" w:space="0" w:color="auto"/>
            <w:left w:val="none" w:sz="0" w:space="0" w:color="auto"/>
            <w:bottom w:val="none" w:sz="0" w:space="0" w:color="auto"/>
            <w:right w:val="none" w:sz="0" w:space="0" w:color="auto"/>
          </w:divBdr>
        </w:div>
        <w:div w:id="1221214500">
          <w:marLeft w:val="1800"/>
          <w:marRight w:val="0"/>
          <w:marTop w:val="100"/>
          <w:marBottom w:val="0"/>
          <w:divBdr>
            <w:top w:val="none" w:sz="0" w:space="0" w:color="auto"/>
            <w:left w:val="none" w:sz="0" w:space="0" w:color="auto"/>
            <w:bottom w:val="none" w:sz="0" w:space="0" w:color="auto"/>
            <w:right w:val="none" w:sz="0" w:space="0" w:color="auto"/>
          </w:divBdr>
        </w:div>
        <w:div w:id="1358197646">
          <w:marLeft w:val="1800"/>
          <w:marRight w:val="0"/>
          <w:marTop w:val="100"/>
          <w:marBottom w:val="0"/>
          <w:divBdr>
            <w:top w:val="none" w:sz="0" w:space="0" w:color="auto"/>
            <w:left w:val="none" w:sz="0" w:space="0" w:color="auto"/>
            <w:bottom w:val="none" w:sz="0" w:space="0" w:color="auto"/>
            <w:right w:val="none" w:sz="0" w:space="0" w:color="auto"/>
          </w:divBdr>
        </w:div>
        <w:div w:id="1445074902">
          <w:marLeft w:val="1800"/>
          <w:marRight w:val="0"/>
          <w:marTop w:val="100"/>
          <w:marBottom w:val="0"/>
          <w:divBdr>
            <w:top w:val="none" w:sz="0" w:space="0" w:color="auto"/>
            <w:left w:val="none" w:sz="0" w:space="0" w:color="auto"/>
            <w:bottom w:val="none" w:sz="0" w:space="0" w:color="auto"/>
            <w:right w:val="none" w:sz="0" w:space="0" w:color="auto"/>
          </w:divBdr>
        </w:div>
        <w:div w:id="1681732440">
          <w:marLeft w:val="1800"/>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F0CC07-30B6-47CB-B563-7F10AF54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992</TotalTime>
  <Pages>3</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Ming-Yuan Cheng</dc:creator>
  <cp:keywords/>
  <dc:description/>
  <cp:lastModifiedBy>Ming-Yuan Cheng</cp:lastModifiedBy>
  <cp:revision>31</cp:revision>
  <cp:lastPrinted>2016-08-12T06:06:00Z</cp:lastPrinted>
  <dcterms:created xsi:type="dcterms:W3CDTF">2019-11-07T02:02:00Z</dcterms:created>
  <dcterms:modified xsi:type="dcterms:W3CDTF">2020-02-13T08:28:00Z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