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3GPP TSG RAN WG</w:t>
      </w:r>
      <w:r>
        <w:rPr>
          <w:rFonts w:hint="eastAsia" w:ascii="Arial" w:hAnsi="Arial" w:eastAsia="宋体" w:cs="Arial"/>
          <w:b/>
          <w:sz w:val="24"/>
          <w:szCs w:val="24"/>
          <w:lang w:val="en-US" w:eastAsia="zh-CN"/>
        </w:rPr>
        <w:t>2</w:t>
      </w:r>
      <w:r>
        <w:rPr>
          <w:rFonts w:ascii="Arial" w:hAnsi="Arial" w:cs="Arial"/>
          <w:b/>
          <w:sz w:val="24"/>
          <w:szCs w:val="24"/>
        </w:rPr>
        <w:t xml:space="preserve"> Meeting </w:t>
      </w:r>
      <w:r>
        <w:rPr>
          <w:rFonts w:hint="eastAsia" w:ascii="Arial" w:hAnsi="Arial" w:eastAsia="宋体" w:cs="Arial"/>
          <w:b/>
          <w:sz w:val="24"/>
          <w:szCs w:val="24"/>
          <w:lang w:val="en-US" w:eastAsia="zh-CN"/>
        </w:rPr>
        <w:t xml:space="preserve">#107bis               </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bookmarkStart w:id="3" w:name="_GoBack"/>
      <w:r>
        <w:rPr>
          <w:rFonts w:ascii="Arial" w:hAnsi="Arial" w:cs="Arial"/>
          <w:b/>
          <w:sz w:val="24"/>
          <w:szCs w:val="24"/>
        </w:rPr>
        <w:t>R</w:t>
      </w:r>
      <w:r>
        <w:rPr>
          <w:rFonts w:hint="eastAsia" w:ascii="Arial" w:hAnsi="Arial" w:eastAsia="宋体" w:cs="Arial"/>
          <w:b/>
          <w:sz w:val="24"/>
          <w:szCs w:val="24"/>
          <w:lang w:val="en-US" w:eastAsia="zh-CN"/>
        </w:rPr>
        <w:t>2-</w:t>
      </w:r>
      <w:r>
        <w:rPr>
          <w:rFonts w:ascii="Arial" w:hAnsi="Arial" w:cs="Arial"/>
          <w:b/>
          <w:sz w:val="24"/>
          <w:szCs w:val="24"/>
        </w:rPr>
        <w:t>1912080</w:t>
      </w:r>
      <w:bookmarkEnd w:id="3"/>
    </w:p>
    <w:p>
      <w:pPr>
        <w:tabs>
          <w:tab w:val="center" w:pos="4536"/>
          <w:tab w:val="right" w:pos="8280"/>
          <w:tab w:val="right" w:pos="9639"/>
        </w:tabs>
        <w:snapToGrid w:val="0"/>
        <w:spacing w:after="0" w:line="264" w:lineRule="auto"/>
        <w:rPr>
          <w:rFonts w:ascii="Arial" w:hAnsi="Arial" w:cs="Arial"/>
          <w:b/>
          <w:bCs/>
          <w:sz w:val="28"/>
          <w:lang w:eastAsia="ja-JP"/>
        </w:rPr>
      </w:pPr>
      <w:r>
        <w:rPr>
          <w:rFonts w:hint="eastAsia" w:ascii="Arial" w:hAnsi="Arial" w:eastAsia="宋体" w:cs="Arial"/>
          <w:b/>
          <w:sz w:val="24"/>
          <w:lang w:val="en-US" w:eastAsia="zh-CN"/>
        </w:rPr>
        <w:t>Chongqing</w:t>
      </w:r>
      <w:r>
        <w:rPr>
          <w:rFonts w:ascii="Arial" w:hAnsi="Arial" w:cs="Arial"/>
          <w:b/>
          <w:sz w:val="24"/>
        </w:rPr>
        <w:t xml:space="preserve">, </w:t>
      </w:r>
      <w:r>
        <w:rPr>
          <w:rFonts w:hint="eastAsia" w:ascii="Arial" w:hAnsi="Arial" w:eastAsia="宋体" w:cs="Arial"/>
          <w:b/>
          <w:sz w:val="24"/>
          <w:lang w:val="en-US" w:eastAsia="zh-CN"/>
        </w:rPr>
        <w:t>China,</w:t>
      </w:r>
      <w:r>
        <w:rPr>
          <w:rFonts w:ascii="Arial" w:hAnsi="Arial" w:eastAsia="宋体" w:cs="Arial"/>
          <w:b/>
          <w:sz w:val="24"/>
          <w:lang w:val="en-US" w:eastAsia="zh-CN"/>
        </w:rPr>
        <w:t xml:space="preserve"> </w:t>
      </w:r>
      <w:r>
        <w:rPr>
          <w:rFonts w:hint="eastAsia" w:ascii="Arial" w:hAnsi="Arial" w:eastAsia="宋体" w:cs="Arial"/>
          <w:b/>
          <w:sz w:val="24"/>
          <w:lang w:val="en-US" w:eastAsia="zh-CN"/>
        </w:rPr>
        <w:t>14</w:t>
      </w:r>
      <w:r>
        <w:rPr>
          <w:rFonts w:ascii="Arial" w:hAnsi="Arial" w:cs="Arial"/>
          <w:b/>
          <w:sz w:val="24"/>
          <w:vertAlign w:val="superscript"/>
          <w:lang w:val="en-US"/>
        </w:rPr>
        <w:t>th</w:t>
      </w:r>
      <w:r>
        <w:rPr>
          <w:rFonts w:hint="eastAsia" w:ascii="Arial" w:hAnsi="Arial" w:cs="Arial"/>
          <w:b/>
          <w:sz w:val="24"/>
          <w:szCs w:val="22"/>
          <w:lang w:val="en-US" w:eastAsia="zh-CN"/>
        </w:rPr>
        <w:t>-18</w:t>
      </w:r>
      <w:r>
        <w:rPr>
          <w:rFonts w:ascii="Arial" w:hAnsi="Arial" w:eastAsia="宋体" w:cs="Arial"/>
          <w:b/>
          <w:sz w:val="24"/>
          <w:vertAlign w:val="superscript"/>
          <w:lang w:val="en-US" w:eastAsia="zh-CN"/>
        </w:rPr>
        <w:t>th</w:t>
      </w:r>
      <w:r>
        <w:rPr>
          <w:rFonts w:hint="eastAsia" w:ascii="Arial" w:hAnsi="Arial" w:eastAsia="宋体" w:cs="Arial"/>
          <w:b/>
          <w:sz w:val="24"/>
          <w:vertAlign w:val="superscript"/>
          <w:lang w:val="en-US" w:eastAsia="zh-CN"/>
        </w:rPr>
        <w:t xml:space="preserve">   </w:t>
      </w:r>
      <w:r>
        <w:rPr>
          <w:rFonts w:hint="eastAsia" w:ascii="Arial" w:hAnsi="Arial" w:eastAsia="宋体" w:cs="Arial"/>
          <w:b/>
          <w:sz w:val="24"/>
          <w:szCs w:val="22"/>
          <w:lang w:val="en-US" w:eastAsia="zh-CN"/>
        </w:rPr>
        <w:t xml:space="preserve">Oct. </w:t>
      </w:r>
      <w:r>
        <w:rPr>
          <w:rFonts w:ascii="Arial" w:hAnsi="Arial" w:cs="Arial"/>
          <w:b/>
          <w:sz w:val="24"/>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,Sanechips</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Discussion on NR DL-TDOA positoning</w:t>
      </w:r>
    </w:p>
    <w:p>
      <w:pPr>
        <w:tabs>
          <w:tab w:val="center" w:pos="4536"/>
          <w:tab w:val="right" w:pos="8280"/>
          <w:tab w:val="right" w:pos="9781"/>
        </w:tabs>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6.8.2.1</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sz w:val="20"/>
          <w:lang w:val="en-US" w:eastAsia="zh-CN"/>
        </w:rPr>
        <w:t>In RAN#83, NR positioning WID was approved [1] to specify solutions to enable RAT dependent(for both FR1 and FR2) and RAT independent NR positioning techniques, including the following objectives.</w:t>
      </w:r>
    </w:p>
    <w:p>
      <w:pPr>
        <w:pStyle w:val="124"/>
        <w:numPr>
          <w:ilvl w:val="0"/>
          <w:numId w:val="0"/>
        </w:numPr>
        <w:ind w:left="284" w:leftChars="0"/>
        <w:rPr>
          <w:rFonts w:eastAsiaTheme="minorEastAsia"/>
          <w:i/>
          <w:iCs/>
          <w:sz w:val="20"/>
          <w:szCs w:val="22"/>
        </w:rPr>
      </w:pPr>
      <w:r>
        <w:rPr>
          <w:rFonts w:eastAsiaTheme="minorEastAsia"/>
          <w:i/>
          <w:iCs/>
          <w:sz w:val="20"/>
          <w:szCs w:val="22"/>
        </w:rPr>
        <w:t>“</w:t>
      </w:r>
      <w:r>
        <w:rPr>
          <w:rFonts w:ascii="Times New Roman" w:hAnsi="Times New Roman" w:cs="Times New Roman" w:eastAsiaTheme="minorEastAsia"/>
          <w:i/>
          <w:iCs/>
          <w:sz w:val="20"/>
          <w:szCs w:val="22"/>
          <w:lang w:val="en-US" w:eastAsia="zh-CN" w:bidi="ar-SA"/>
        </w:rPr>
        <w:t>Define new DL positioning reference signals applicable at least for DL-TDOA, DL-AoD, RTT</w:t>
      </w:r>
    </w:p>
    <w:p>
      <w:pPr>
        <w:overflowPunct/>
        <w:autoSpaceDE/>
        <w:autoSpaceDN/>
        <w:snapToGrid w:val="0"/>
        <w:spacing w:afterLines="50" w:line="264" w:lineRule="auto"/>
        <w:ind w:left="270"/>
        <w:textAlignment w:val="auto"/>
        <w:rPr>
          <w:rFonts w:ascii="Times New Roman" w:hAnsi="Times New Roman" w:cs="Times New Roman" w:eastAsiaTheme="minorEastAsia"/>
          <w:i/>
          <w:iCs/>
          <w:sz w:val="20"/>
          <w:szCs w:val="22"/>
        </w:rPr>
      </w:pPr>
      <w:r>
        <w:rPr>
          <w:rFonts w:ascii="Times New Roman" w:hAnsi="Times New Roman" w:cs="Times New Roman" w:eastAsiaTheme="minorEastAsia"/>
          <w:i/>
          <w:iCs/>
          <w:sz w:val="20"/>
          <w:szCs w:val="22"/>
        </w:rPr>
        <w:t>Define functional interfaces, signaling and procedures including UE reporting, to support NR RAT-dependent positioning for the NR positioning techniques listed in RAN1 objectives [RAN2]</w:t>
      </w:r>
    </w:p>
    <w:p>
      <w:pPr>
        <w:overflowPunct/>
        <w:autoSpaceDE/>
        <w:autoSpaceDN/>
        <w:snapToGrid w:val="0"/>
        <w:spacing w:afterLines="50" w:line="264" w:lineRule="auto"/>
        <w:ind w:left="270"/>
        <w:textAlignment w:val="auto"/>
        <w:rPr>
          <w:rFonts w:eastAsiaTheme="minorEastAsia"/>
          <w:i/>
          <w:iCs/>
          <w:sz w:val="20"/>
          <w:szCs w:val="22"/>
          <w:lang w:val="en-US" w:eastAsia="zh-CN"/>
        </w:rPr>
      </w:pPr>
      <w:r>
        <w:rPr>
          <w:rFonts w:ascii="Times New Roman" w:hAnsi="Times New Roman" w:cs="Times New Roman" w:eastAsiaTheme="minorEastAsia"/>
          <w:i/>
          <w:iCs/>
          <w:sz w:val="20"/>
          <w:szCs w:val="22"/>
        </w:rPr>
        <w:t>Define extensions of LPP protocol for NR RAT-dependent positioning [RAN2]</w:t>
      </w:r>
      <w:r>
        <w:rPr>
          <w:rFonts w:eastAsiaTheme="minorEastAsia"/>
          <w:i/>
          <w:iCs/>
          <w:sz w:val="20"/>
          <w:szCs w:val="22"/>
          <w:lang w:val="en-US" w:eastAsia="zh-CN"/>
        </w:rPr>
        <w:t>”</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After several meetings of discussion, some initial agreements about DL PRS has been made [2], RAN1 has sent a LS to RAN2 about their progress on measurements for NR positioning [3] and a table of IEs and fields for NR positioning was also discussed in RAN1 email reflector [4]. RAN2 need to define the signals to support the changes. In this contribution, we provide our understanding to corresponding modifications to support DL-TDOA positioning in NR.</w:t>
      </w:r>
    </w:p>
    <w:p>
      <w:pPr>
        <w:pStyle w:val="2"/>
        <w:tabs>
          <w:tab w:val="left" w:pos="450"/>
          <w:tab w:val="clear" w:pos="612"/>
        </w:tabs>
        <w:ind w:hanging="612"/>
      </w:pPr>
      <w:r>
        <w:t>D</w:t>
      </w:r>
      <w:r>
        <w:rPr>
          <w:rFonts w:hint="eastAsia"/>
          <w:lang w:val="en-US" w:eastAsia="zh-CN"/>
        </w:rPr>
        <w:t xml:space="preserve">iscussion </w:t>
      </w:r>
    </w:p>
    <w:p>
      <w:pPr>
        <w:pStyle w:val="3"/>
        <w:spacing w:before="0" w:after="0" w:line="276" w:lineRule="auto"/>
        <w:rPr>
          <w:rFonts w:eastAsiaTheme="minorEastAsia"/>
        </w:rPr>
      </w:pPr>
      <w:r>
        <w:rPr>
          <w:rFonts w:hint="eastAsia" w:eastAsiaTheme="minorEastAsia"/>
          <w:lang w:val="en-US" w:eastAsia="zh-CN"/>
        </w:rPr>
        <w:t>Cell specific or UE specific</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textAlignment w:val="baseline"/>
        <w:outlineLvl w:val="9"/>
        <w:rPr>
          <w:rFonts w:hint="eastAsia" w:cs="Times New Roman" w:eastAsiaTheme="minorEastAsia"/>
          <w:sz w:val="20"/>
          <w:szCs w:val="22"/>
          <w:lang w:val="en-US" w:eastAsia="zh-CN"/>
        </w:rPr>
      </w:pPr>
      <w:r>
        <w:rPr>
          <w:rFonts w:hint="eastAsia" w:cs="Times New Roman" w:eastAsiaTheme="minorEastAsia"/>
          <w:sz w:val="20"/>
          <w:szCs w:val="22"/>
          <w:lang w:val="en-US" w:eastAsia="zh-CN"/>
        </w:rPr>
        <w:t>To support beam sweeping pattern is always a design objective of NR DL PRS since the SI, and the measurement of DL PRS has already been agreed as in table 1.</w:t>
      </w:r>
    </w:p>
    <w:tbl>
      <w:tblPr>
        <w:tblStyle w:val="31"/>
        <w:tblW w:w="73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2455"/>
        <w:gridCol w:w="2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55" w:type="dxa"/>
            <w:tcBorders>
              <w:bottom w:val="single" w:color="auto" w:sz="4" w:space="0"/>
            </w:tcBorders>
            <w:shd w:val="clear" w:color="auto" w:fill="FFE599"/>
            <w:vAlign w:val="center"/>
          </w:tcPr>
          <w:p>
            <w:pPr>
              <w:pStyle w:val="126"/>
              <w:spacing w:before="0" w:after="0" w:line="240" w:lineRule="auto"/>
              <w:jc w:val="center"/>
              <w:rPr>
                <w:b/>
                <w:sz w:val="18"/>
              </w:rPr>
            </w:pPr>
            <w:r>
              <w:rPr>
                <w:b/>
                <w:sz w:val="18"/>
              </w:rPr>
              <w:t>DL/UL Reference Signals</w:t>
            </w:r>
          </w:p>
        </w:tc>
        <w:tc>
          <w:tcPr>
            <w:tcW w:w="2455" w:type="dxa"/>
            <w:tcBorders>
              <w:bottom w:val="single" w:color="auto" w:sz="4" w:space="0"/>
            </w:tcBorders>
            <w:shd w:val="clear" w:color="auto" w:fill="FFE599"/>
            <w:vAlign w:val="center"/>
          </w:tcPr>
          <w:p>
            <w:pPr>
              <w:pStyle w:val="126"/>
              <w:spacing w:before="0" w:after="0" w:line="240" w:lineRule="auto"/>
              <w:jc w:val="center"/>
              <w:rPr>
                <w:b/>
                <w:sz w:val="18"/>
              </w:rPr>
            </w:pPr>
            <w:r>
              <w:rPr>
                <w:b/>
                <w:sz w:val="18"/>
              </w:rPr>
              <w:t>UE Measurements</w:t>
            </w:r>
          </w:p>
        </w:tc>
        <w:tc>
          <w:tcPr>
            <w:tcW w:w="2456" w:type="dxa"/>
            <w:tcBorders>
              <w:bottom w:val="single" w:color="auto" w:sz="4" w:space="0"/>
            </w:tcBorders>
            <w:shd w:val="clear" w:color="auto" w:fill="FFE599"/>
            <w:vAlign w:val="top"/>
          </w:tcPr>
          <w:p>
            <w:pPr>
              <w:pStyle w:val="126"/>
              <w:spacing w:before="0" w:after="0" w:line="240" w:lineRule="auto"/>
              <w:jc w:val="center"/>
              <w:rPr>
                <w:b/>
                <w:sz w:val="18"/>
              </w:rPr>
            </w:pPr>
            <w:r>
              <w:rPr>
                <w:b/>
                <w:sz w:val="18"/>
              </w:rPr>
              <w:t>To facilitate support of the following positioning techniques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 w:hRule="atLeast"/>
          <w:jc w:val="center"/>
        </w:trPr>
        <w:tc>
          <w:tcPr>
            <w:tcW w:w="2455" w:type="dxa"/>
            <w:shd w:val="clear" w:color="auto" w:fill="E2EFD9"/>
            <w:vAlign w:val="center"/>
          </w:tcPr>
          <w:p>
            <w:pPr>
              <w:pStyle w:val="126"/>
              <w:spacing w:before="0" w:after="0" w:line="240" w:lineRule="auto"/>
              <w:jc w:val="center"/>
              <w:rPr>
                <w:sz w:val="20"/>
              </w:rPr>
            </w:pPr>
            <w:r>
              <w:rPr>
                <w:sz w:val="20"/>
              </w:rPr>
              <w:t>Rel.16 DL PRS</w:t>
            </w:r>
          </w:p>
        </w:tc>
        <w:tc>
          <w:tcPr>
            <w:tcW w:w="2455" w:type="dxa"/>
            <w:shd w:val="clear" w:color="auto" w:fill="E2EFD9"/>
            <w:vAlign w:val="center"/>
          </w:tcPr>
          <w:p>
            <w:pPr>
              <w:pStyle w:val="126"/>
              <w:spacing w:before="0" w:after="0" w:line="240" w:lineRule="auto"/>
              <w:jc w:val="center"/>
              <w:rPr>
                <w:sz w:val="20"/>
              </w:rPr>
            </w:pPr>
            <w:r>
              <w:rPr>
                <w:sz w:val="20"/>
              </w:rPr>
              <w:t>DL RSTD</w:t>
            </w:r>
          </w:p>
        </w:tc>
        <w:tc>
          <w:tcPr>
            <w:tcW w:w="2456" w:type="dxa"/>
            <w:shd w:val="clear" w:color="auto" w:fill="E2EFD9"/>
            <w:vAlign w:val="top"/>
          </w:tcPr>
          <w:p>
            <w:pPr>
              <w:pStyle w:val="126"/>
              <w:spacing w:before="0" w:after="0" w:line="240" w:lineRule="auto"/>
              <w:jc w:val="center"/>
              <w:rPr>
                <w:sz w:val="20"/>
              </w:rPr>
            </w:pPr>
            <w:r>
              <w:rPr>
                <w:sz w:val="20"/>
              </w:rPr>
              <w:t>DL-TDOA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 w:hRule="atLeast"/>
          <w:jc w:val="center"/>
        </w:trPr>
        <w:tc>
          <w:tcPr>
            <w:tcW w:w="2455" w:type="dxa"/>
            <w:shd w:val="clear" w:color="auto" w:fill="E2EFD9"/>
            <w:vAlign w:val="center"/>
          </w:tcPr>
          <w:p>
            <w:pPr>
              <w:pStyle w:val="126"/>
              <w:spacing w:before="0" w:after="0" w:line="240" w:lineRule="auto"/>
              <w:jc w:val="center"/>
              <w:rPr>
                <w:sz w:val="20"/>
              </w:rPr>
            </w:pPr>
            <w:r>
              <w:rPr>
                <w:sz w:val="20"/>
              </w:rPr>
              <w:t>Rel.16 DL PRS</w:t>
            </w:r>
          </w:p>
        </w:tc>
        <w:tc>
          <w:tcPr>
            <w:tcW w:w="2455" w:type="dxa"/>
            <w:shd w:val="clear" w:color="auto" w:fill="E2EFD9"/>
            <w:vAlign w:val="center"/>
          </w:tcPr>
          <w:p>
            <w:pPr>
              <w:pStyle w:val="126"/>
              <w:spacing w:before="0" w:after="0" w:line="240" w:lineRule="auto"/>
              <w:jc w:val="center"/>
              <w:rPr>
                <w:sz w:val="20"/>
              </w:rPr>
            </w:pPr>
            <w:r>
              <w:rPr>
                <w:sz w:val="20"/>
              </w:rPr>
              <w:t>DL PRS RSRP</w:t>
            </w:r>
          </w:p>
        </w:tc>
        <w:tc>
          <w:tcPr>
            <w:tcW w:w="2456" w:type="dxa"/>
            <w:shd w:val="clear" w:color="auto" w:fill="E2EFD9"/>
            <w:vAlign w:val="top"/>
          </w:tcPr>
          <w:p>
            <w:pPr>
              <w:pStyle w:val="126"/>
              <w:spacing w:before="0" w:after="0" w:line="240" w:lineRule="auto"/>
              <w:jc w:val="center"/>
              <w:rPr>
                <w:sz w:val="20"/>
              </w:rPr>
            </w:pPr>
            <w:r>
              <w:rPr>
                <w:sz w:val="20"/>
              </w:rPr>
              <w:t>DL-TDOA, DL-AoD, Multi-RTT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2455" w:type="dxa"/>
            <w:shd w:val="clear" w:color="auto" w:fill="E2EFD9"/>
            <w:vAlign w:val="center"/>
          </w:tcPr>
          <w:p>
            <w:pPr>
              <w:pStyle w:val="126"/>
              <w:spacing w:before="0" w:after="0" w:line="240" w:lineRule="auto"/>
              <w:jc w:val="center"/>
              <w:rPr>
                <w:sz w:val="20"/>
              </w:rPr>
            </w:pPr>
            <w:r>
              <w:rPr>
                <w:sz w:val="20"/>
              </w:rPr>
              <w:t xml:space="preserve">Rel.16 DL PRS / Rel.16 SRS for positioning </w:t>
            </w:r>
          </w:p>
        </w:tc>
        <w:tc>
          <w:tcPr>
            <w:tcW w:w="2455" w:type="dxa"/>
            <w:shd w:val="clear" w:color="auto" w:fill="E2EFD9"/>
            <w:vAlign w:val="center"/>
          </w:tcPr>
          <w:p>
            <w:pPr>
              <w:pStyle w:val="126"/>
              <w:spacing w:before="0" w:after="0" w:line="240" w:lineRule="auto"/>
              <w:jc w:val="center"/>
              <w:rPr>
                <w:sz w:val="20"/>
              </w:rPr>
            </w:pPr>
            <w:r>
              <w:rPr>
                <w:sz w:val="20"/>
              </w:rPr>
              <w:t>UE Rx-Tx time difference</w:t>
            </w:r>
          </w:p>
        </w:tc>
        <w:tc>
          <w:tcPr>
            <w:tcW w:w="2456" w:type="dxa"/>
            <w:shd w:val="clear" w:color="auto" w:fill="E2EFD9"/>
            <w:vAlign w:val="top"/>
          </w:tcPr>
          <w:p>
            <w:pPr>
              <w:pStyle w:val="126"/>
              <w:spacing w:before="0" w:after="0" w:line="240" w:lineRule="auto"/>
              <w:jc w:val="center"/>
              <w:rPr>
                <w:sz w:val="20"/>
              </w:rPr>
            </w:pPr>
            <w:r>
              <w:rPr>
                <w:sz w:val="20"/>
              </w:rPr>
              <w:t>Multi-RTT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2455" w:type="dxa"/>
            <w:shd w:val="clear" w:color="auto" w:fill="E2EFD9"/>
            <w:vAlign w:val="center"/>
          </w:tcPr>
          <w:p>
            <w:pPr>
              <w:pStyle w:val="126"/>
              <w:spacing w:before="0" w:after="0" w:line="240" w:lineRule="auto"/>
              <w:jc w:val="center"/>
              <w:rPr>
                <w:sz w:val="20"/>
              </w:rPr>
            </w:pPr>
            <w:r>
              <w:rPr>
                <w:sz w:val="20"/>
              </w:rPr>
              <w:t>Rel. 15 SSB / CSI-RS for RRM</w:t>
            </w:r>
          </w:p>
        </w:tc>
        <w:tc>
          <w:tcPr>
            <w:tcW w:w="2455" w:type="dxa"/>
            <w:shd w:val="clear" w:color="auto" w:fill="E2EFD9"/>
            <w:vAlign w:val="center"/>
          </w:tcPr>
          <w:p>
            <w:pPr>
              <w:pStyle w:val="126"/>
              <w:spacing w:before="0" w:after="0" w:line="240" w:lineRule="auto"/>
              <w:jc w:val="center"/>
              <w:rPr>
                <w:sz w:val="20"/>
              </w:rPr>
            </w:pPr>
            <w:r>
              <w:rPr>
                <w:sz w:val="20"/>
              </w:rPr>
              <w:t>SS-RSRP(RSRP for RRM), SS-RSRQ(for RRM), CSI-RSRP (for RRM), CSI-RSRQ (for RRM), SS-RSRPB (for RRM)</w:t>
            </w:r>
          </w:p>
        </w:tc>
        <w:tc>
          <w:tcPr>
            <w:tcW w:w="2456" w:type="dxa"/>
            <w:shd w:val="clear" w:color="auto" w:fill="E2EFD9"/>
            <w:vAlign w:val="top"/>
          </w:tcPr>
          <w:p>
            <w:pPr>
              <w:pStyle w:val="126"/>
              <w:spacing w:before="0" w:after="0" w:line="240" w:lineRule="auto"/>
              <w:jc w:val="center"/>
              <w:rPr>
                <w:sz w:val="20"/>
              </w:rPr>
            </w:pPr>
            <w:r>
              <w:rPr>
                <w:sz w:val="20"/>
              </w:rPr>
              <w:t>E-CID</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jc w:val="center"/>
        <w:textAlignment w:val="baseline"/>
        <w:outlineLvl w:val="9"/>
        <w:rPr>
          <w:rFonts w:hint="eastAsia" w:cs="Times New Roman" w:eastAsiaTheme="minorEastAsia"/>
          <w:sz w:val="20"/>
          <w:szCs w:val="22"/>
          <w:lang w:val="en-US" w:eastAsia="zh-CN"/>
        </w:rPr>
      </w:pPr>
      <w:r>
        <w:rPr>
          <w:rFonts w:hint="eastAsia" w:cs="Times New Roman" w:eastAsiaTheme="minorEastAsia"/>
          <w:sz w:val="20"/>
          <w:szCs w:val="22"/>
          <w:lang w:val="en-US" w:eastAsia="zh-CN"/>
        </w:rPr>
        <w:t>Table 1: RAN1 agreement on DL measurements</w:t>
      </w:r>
    </w:p>
    <w:p>
      <w:pPr>
        <w:widowControl w:val="0"/>
        <w:snapToGrid w:val="0"/>
        <w:spacing w:before="120" w:after="120" w:line="276" w:lineRule="auto"/>
      </w:pPr>
      <w:r>
        <w:rPr>
          <w:rFonts w:hint="eastAsia" w:cs="Times New Roman" w:eastAsiaTheme="minorEastAsia"/>
          <w:sz w:val="20"/>
          <w:szCs w:val="22"/>
          <w:lang w:val="en-US" w:eastAsia="zh-CN"/>
        </w:rPr>
        <w:t>According to our understanding, the</w:t>
      </w:r>
      <w:r>
        <w:rPr>
          <w:rFonts w:hint="eastAsia" w:ascii="Times New Roman" w:hAnsi="Times New Roman" w:cs="Times New Roman" w:eastAsiaTheme="minorEastAsia"/>
          <w:sz w:val="20"/>
          <w:szCs w:val="22"/>
          <w:lang w:val="en-US" w:eastAsia="zh-CN"/>
        </w:rPr>
        <w:t xml:space="preserve"> general frame of the NR PRS </w:t>
      </w:r>
      <w:r>
        <w:rPr>
          <w:rFonts w:hint="eastAsia" w:cs="Times New Roman" w:eastAsiaTheme="minorEastAsia"/>
          <w:sz w:val="20"/>
          <w:szCs w:val="22"/>
          <w:lang w:val="en-US" w:eastAsia="zh-CN"/>
        </w:rPr>
        <w:t>should</w:t>
      </w:r>
      <w:r>
        <w:rPr>
          <w:rFonts w:hint="eastAsia" w:ascii="Times New Roman" w:hAnsi="Times New Roman" w:cs="Times New Roman" w:eastAsiaTheme="minorEastAsia"/>
          <w:sz w:val="20"/>
          <w:szCs w:val="22"/>
          <w:lang w:val="en-US" w:eastAsia="zh-CN"/>
        </w:rPr>
        <w:t xml:space="preserve"> be </w:t>
      </w:r>
      <w:r>
        <w:rPr>
          <w:rFonts w:hint="eastAsia" w:cs="Times New Roman" w:eastAsiaTheme="minorEastAsia"/>
          <w:sz w:val="20"/>
          <w:szCs w:val="22"/>
          <w:lang w:val="en-US" w:eastAsia="zh-CN"/>
        </w:rPr>
        <w:t>like F</w:t>
      </w:r>
      <w:r>
        <w:rPr>
          <w:rFonts w:hint="eastAsia" w:ascii="Times New Roman" w:hAnsi="Times New Roman" w:cs="Times New Roman" w:eastAsiaTheme="minorEastAsia"/>
          <w:sz w:val="20"/>
          <w:szCs w:val="22"/>
          <w:lang w:val="en-US" w:eastAsia="zh-CN"/>
        </w:rPr>
        <w:t xml:space="preserve">igure 1. </w:t>
      </w:r>
      <w:r>
        <w:rPr>
          <w:rFonts w:hint="eastAsia" w:cs="Times New Roman" w:eastAsiaTheme="minorEastAsia"/>
          <w:sz w:val="20"/>
          <w:szCs w:val="22"/>
          <w:lang w:val="en-US" w:eastAsia="zh-CN"/>
        </w:rPr>
        <w:t>A</w:t>
      </w:r>
      <w:r>
        <w:rPr>
          <w:rFonts w:hint="eastAsia" w:ascii="Times New Roman" w:hAnsi="Times New Roman" w:cs="Times New Roman" w:eastAsiaTheme="minorEastAsia"/>
          <w:sz w:val="20"/>
          <w:szCs w:val="22"/>
          <w:lang w:val="en-US" w:eastAsia="zh-CN"/>
        </w:rPr>
        <w:t xml:space="preserve"> </w:t>
      </w:r>
      <w:r>
        <w:rPr>
          <w:rFonts w:hint="eastAsia" w:cs="Times New Roman" w:eastAsiaTheme="minorEastAsia"/>
          <w:sz w:val="20"/>
          <w:szCs w:val="22"/>
          <w:lang w:val="en-US" w:eastAsia="zh-CN"/>
        </w:rPr>
        <w:t>typical</w:t>
      </w:r>
      <w:r>
        <w:rPr>
          <w:rFonts w:hint="eastAsia" w:ascii="Times New Roman" w:hAnsi="Times New Roman" w:cs="Times New Roman" w:eastAsiaTheme="minorEastAsia"/>
          <w:sz w:val="20"/>
          <w:szCs w:val="22"/>
          <w:lang w:val="en-US" w:eastAsia="zh-CN"/>
        </w:rPr>
        <w:t xml:space="preserve"> deployment of base station</w:t>
      </w:r>
      <w:r>
        <w:rPr>
          <w:rFonts w:hint="eastAsia" w:cs="Times New Roman" w:eastAsiaTheme="minorEastAsia"/>
          <w:sz w:val="20"/>
          <w:szCs w:val="22"/>
          <w:lang w:val="en-US" w:eastAsia="zh-CN"/>
        </w:rPr>
        <w:t xml:space="preserve"> in 5G</w:t>
      </w:r>
      <w:r>
        <w:rPr>
          <w:rFonts w:hint="eastAsia" w:ascii="Times New Roman" w:hAnsi="Times New Roman" w:cs="Times New Roman" w:eastAsiaTheme="minorEastAsia"/>
          <w:sz w:val="20"/>
          <w:szCs w:val="22"/>
          <w:lang w:val="en-US" w:eastAsia="zh-CN"/>
        </w:rPr>
        <w:t xml:space="preserve"> is three-sector site, because the use of 120 degree sector can reduce the significant co-channel interference [</w:t>
      </w:r>
      <w:r>
        <w:rPr>
          <w:rFonts w:hint="eastAsia" w:cs="Times New Roman" w:eastAsiaTheme="minorEastAsia"/>
          <w:sz w:val="20"/>
          <w:szCs w:val="22"/>
          <w:lang w:val="en-US" w:eastAsia="zh-CN"/>
        </w:rPr>
        <w:t>5</w:t>
      </w:r>
      <w:r>
        <w:rPr>
          <w:rFonts w:hint="eastAsia" w:ascii="Times New Roman" w:hAnsi="Times New Roman" w:cs="Times New Roman" w:eastAsiaTheme="minorEastAsia"/>
          <w:sz w:val="20"/>
          <w:szCs w:val="22"/>
          <w:lang w:val="en-US" w:eastAsia="zh-CN"/>
        </w:rPr>
        <w:t xml:space="preserve">]. Each sector would have its own PCI or PRS-ID and will be covered by beam sweeping. Inevitably this feature would bring changes to DL-TDOA positioning method. </w:t>
      </w:r>
      <w:r>
        <w:rPr>
          <w:sz w:val="22"/>
        </w:rPr>
        <mc:AlternateContent>
          <mc:Choice Requires="wps">
            <w:drawing>
              <wp:anchor distT="0" distB="0" distL="114300" distR="114300" simplePos="0" relativeHeight="251665408" behindDoc="0" locked="0" layoutInCell="1" allowOverlap="1">
                <wp:simplePos x="0" y="0"/>
                <wp:positionH relativeFrom="column">
                  <wp:posOffset>3676650</wp:posOffset>
                </wp:positionH>
                <wp:positionV relativeFrom="paragraph">
                  <wp:posOffset>3103880</wp:posOffset>
                </wp:positionV>
                <wp:extent cx="1367790" cy="95250"/>
                <wp:effectExtent l="635" t="4445" r="3175" b="14605"/>
                <wp:wrapNone/>
                <wp:docPr id="13" name="直线 9"/>
                <wp:cNvGraphicFramePr/>
                <a:graphic xmlns:a="http://schemas.openxmlformats.org/drawingml/2006/main">
                  <a:graphicData uri="http://schemas.microsoft.com/office/word/2010/wordprocessingShape">
                    <wps:wsp>
                      <wps:cNvCnPr/>
                      <wps:spPr>
                        <a:xfrm flipH="1">
                          <a:off x="4577080" y="4018280"/>
                          <a:ext cx="1367790" cy="95250"/>
                        </a:xfrm>
                        <a:prstGeom prst="line">
                          <a:avLst/>
                        </a:prstGeom>
                        <a:ln w="9525" cap="flat" cmpd="sng">
                          <a:solidFill>
                            <a:srgbClr val="00B050"/>
                          </a:solidFill>
                          <a:prstDash val="solid"/>
                          <a:headEnd type="none" w="med" len="med"/>
                          <a:tailEnd type="none" w="med" len="med"/>
                        </a:ln>
                      </wps:spPr>
                      <wps:bodyPr upright="1"/>
                    </wps:wsp>
                  </a:graphicData>
                </a:graphic>
              </wp:anchor>
            </w:drawing>
          </mc:Choice>
          <mc:Fallback>
            <w:pict>
              <v:line id="直线 9" o:spid="_x0000_s1026" o:spt="20" style="position:absolute;left:0pt;flip:x;margin-left:289.5pt;margin-top:244.4pt;height:7.5pt;width:107.7pt;z-index:251665408;mso-width-relative:page;mso-height-relative:page;" filled="f" stroked="t" coordsize="21600,21600" o:gfxdata="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AA1icnaAAAA&#10;CwEAAA8AAAAAAAAAAQAgAAAAIgAAAGRycy9kb3ducmV2LnhtbFBLAQIUABQAAAAIAIdO4kDkWmDg&#10;4gEAAKgDAAAOAAAAAAAAAAEAIAAAACkBAABkcnMvZTJvRG9jLnhtbFBLBQYAAAAABgAGAFkBAAB9&#10;BQAAAAA=&#10;">
                <v:fill on="f" focussize="0,0"/>
                <v:stroke color="#00B050" joinstyle="round"/>
                <v:imagedata o:title=""/>
                <o:lock v:ext="edit" aspectratio="f"/>
              </v:line>
            </w:pict>
          </mc:Fallback>
        </mc:AlternateContent>
      </w:r>
      <w:r>
        <w:rPr>
          <w:sz w:val="22"/>
        </w:rPr>
        <mc:AlternateContent>
          <mc:Choice Requires="wps">
            <w:drawing>
              <wp:anchor distT="0" distB="0" distL="114300" distR="114300" simplePos="0" relativeHeight="251664384" behindDoc="0" locked="0" layoutInCell="1" allowOverlap="1">
                <wp:simplePos x="0" y="0"/>
                <wp:positionH relativeFrom="column">
                  <wp:posOffset>751205</wp:posOffset>
                </wp:positionH>
                <wp:positionV relativeFrom="paragraph">
                  <wp:posOffset>3151505</wp:posOffset>
                </wp:positionV>
                <wp:extent cx="918210" cy="81280"/>
                <wp:effectExtent l="635" t="4445" r="14605" b="9525"/>
                <wp:wrapNone/>
                <wp:docPr id="12" name="直线 8"/>
                <wp:cNvGraphicFramePr/>
                <a:graphic xmlns:a="http://schemas.openxmlformats.org/drawingml/2006/main">
                  <a:graphicData uri="http://schemas.microsoft.com/office/word/2010/wordprocessingShape">
                    <wps:wsp>
                      <wps:cNvCnPr/>
                      <wps:spPr>
                        <a:xfrm>
                          <a:off x="1651635" y="4065905"/>
                          <a:ext cx="918210" cy="81280"/>
                        </a:xfrm>
                        <a:prstGeom prst="line">
                          <a:avLst/>
                        </a:prstGeom>
                        <a:ln w="9525" cap="flat" cmpd="sng">
                          <a:solidFill>
                            <a:srgbClr val="00B050"/>
                          </a:solidFill>
                          <a:prstDash val="solid"/>
                          <a:headEnd type="none" w="med" len="med"/>
                          <a:tailEnd type="none" w="med" len="med"/>
                        </a:ln>
                      </wps:spPr>
                      <wps:bodyPr upright="1"/>
                    </wps:wsp>
                  </a:graphicData>
                </a:graphic>
              </wp:anchor>
            </w:drawing>
          </mc:Choice>
          <mc:Fallback>
            <w:pict>
              <v:line id="直线 8" o:spid="_x0000_s1026" o:spt="20" style="position:absolute;left:0pt;margin-left:59.15pt;margin-top:248.15pt;height:6.4pt;width:72.3pt;z-index:251664384;mso-width-relative:page;mso-height-relative:page;" filled="f" stroked="t" coordsize="21600,21600" o:gfxdata="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9woiDbAAAACwEA&#10;AA8AAAAAAAAAAQAgAAAAIgAAAGRycy9kb3ducmV2LnhtbFBLAQIUABQAAAAIAIdO4kAF2unW3gEA&#10;AJ0DAAAOAAAAAAAAAAEAIAAAACoBAABkcnMvZTJvRG9jLnhtbFBLBQYAAAAABgAGAFkBAAB6BQAA&#10;AAA=&#10;">
                <v:fill on="f" focussize="0,0"/>
                <v:stroke color="#00B050" joinstyle="round"/>
                <v:imagedata o:title=""/>
                <o:lock v:ext="edit" aspectratio="f"/>
              </v:line>
            </w:pict>
          </mc:Fallback>
        </mc:AlternateContent>
      </w:r>
    </w:p>
    <w:p>
      <w:pPr>
        <w:widowControl w:val="0"/>
        <w:snapToGrid w:val="0"/>
        <w:spacing w:before="181" w:beforeLines="50" w:after="181" w:afterLines="50" w:line="240" w:lineRule="auto"/>
        <w:textAlignment w:val="center"/>
        <w:rPr>
          <w:rFonts w:hint="eastAsia" w:eastAsiaTheme="minorEastAsia"/>
          <w:sz w:val="20"/>
          <w:szCs w:val="22"/>
          <w:lang w:val="en-US" w:eastAsia="zh-CN"/>
        </w:rPr>
      </w:pPr>
      <w:r>
        <w:rPr>
          <w:rFonts w:hint="eastAsia" w:ascii="Times New Roman" w:hAnsi="Times New Roman" w:cs="Times New Roman" w:eastAsiaTheme="minorEastAsia"/>
          <w:sz w:val="20"/>
          <w:szCs w:val="22"/>
          <w:lang w:val="en-US" w:eastAsia="zh-CN"/>
        </w:rPr>
        <w:t xml:space="preserve">In order to support beam sweeping, the PRS configuration would contain more information. </w:t>
      </w:r>
      <w:r>
        <w:rPr>
          <w:rFonts w:hint="eastAsia" w:cs="Times New Roman" w:eastAsiaTheme="minorEastAsia"/>
          <w:sz w:val="20"/>
          <w:szCs w:val="22"/>
          <w:lang w:val="en-US" w:eastAsia="zh-CN"/>
        </w:rPr>
        <w:t xml:space="preserve">A table of new IEs and fields was also discussed, although not formally sent to RAN1 yet. A main issue for RAN2 to decide is whether these new fields should be UE-specific or cell-specific, </w:t>
      </w:r>
      <w:r>
        <w:rPr>
          <w:rFonts w:hint="eastAsia" w:eastAsiaTheme="minorEastAsia"/>
          <w:sz w:val="20"/>
          <w:szCs w:val="22"/>
          <w:lang w:val="en-US" w:eastAsia="zh-CN"/>
        </w:rPr>
        <w:t>there was a good contribution in the past RAN1 meetings [6] explaining that the PRS configuration from gNB side is always cell-specific but the LMF may inform different UE with different information. This is mainly to support different level of location service, if one UE only requires very coarse accuracy or it is a free LCS user who does not pay money for this service, the LMF can inform it only a subset of current PRS configuration so its positioning performance is worse than others taking use the full PRS information. It looks beautiful but is actually useless. Once a UE get the full PRS configuration once, it can stop paying and continue using the full configure, even if it does not know the exact information, it can infer the full PRS configuration according to our specification. A simple way to support UE-differentiating PRS configuration is to introduce a time-varying encryption ID to the PRS sequence generation, only paid subscribers can get the updated encryption ID.</w:t>
      </w:r>
    </w:p>
    <w:p>
      <w:pPr>
        <w:widowControl w:val="0"/>
        <w:snapToGrid w:val="0"/>
        <w:spacing w:after="0"/>
        <w:textAlignment w:val="center"/>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Proposal 1: Consider time-varying encryption ID for PRS generation, or only support Cell-specific configuration.</w:t>
      </w:r>
    </w:p>
    <w:p>
      <w:pPr>
        <w:pStyle w:val="3"/>
        <w:spacing w:before="0" w:after="0" w:line="276" w:lineRule="auto"/>
        <w:rPr>
          <w:rFonts w:hint="eastAsia" w:eastAsiaTheme="minorEastAsia"/>
          <w:b/>
          <w:bCs/>
          <w:i w:val="0"/>
          <w:iCs w:val="0"/>
          <w:sz w:val="20"/>
          <w:szCs w:val="20"/>
          <w:lang w:val="en-US" w:eastAsia="zh-CN"/>
        </w:rPr>
      </w:pPr>
      <w:r>
        <w:rPr>
          <w:rFonts w:hint="eastAsia" w:eastAsiaTheme="minorEastAsia"/>
          <w:lang w:val="en-US" w:eastAsia="zh-CN"/>
        </w:rPr>
        <w:t>AO</w:t>
      </w:r>
      <w:r>
        <w:rPr>
          <w:rStyle w:val="127"/>
          <w:rFonts w:hint="eastAsia"/>
          <w:bCs/>
          <w:iCs/>
          <w:lang w:val="en-US" w:eastAsia="zh-CN"/>
        </w:rPr>
        <w:t>D based on PRS</w:t>
      </w:r>
    </w:p>
    <w:p>
      <w:pPr>
        <w:widowControl w:val="0"/>
        <w:snapToGrid w:val="0"/>
        <w:spacing w:before="181" w:beforeLines="50" w:after="181"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Dl-AOD or beam index is obvious beneficial for DL-TDOA positioning, our past paper [7] has explained how this could be used to determine LOS/NLOS paths. Of course PRS AOD information can also generate a positioning result independently without combination with TDOA, although it may seem a little strange. But the general procedure is still same as OTDOA positioning, so no extra term or procedure need to be defined for AOD positioning based on PRS.</w:t>
      </w:r>
    </w:p>
    <w:p>
      <w:pPr>
        <w:widowControl w:val="0"/>
        <w:snapToGrid w:val="0"/>
        <w:spacing w:after="0"/>
        <w:textAlignment w:val="center"/>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 xml:space="preserve">Proposal 2: Define AOD based on PRS as OTDOA measurements. </w:t>
      </w:r>
    </w:p>
    <w:p>
      <w:pPr>
        <w:widowControl w:val="0"/>
        <w:snapToGrid w:val="0"/>
        <w:spacing w:before="181" w:beforeLines="50" w:after="181"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 xml:space="preserve">No matter how where the AOD information is used, the mapping of AOD and the geographic node where the position calculation happened. For UE-based mode, this mapping need to be known by UE and for UE-assisted need to be reported to the LMF. </w:t>
      </w:r>
    </w:p>
    <w:p>
      <w:pPr>
        <w:widowControl w:val="0"/>
        <w:snapToGrid w:val="0"/>
        <w:spacing w:after="0"/>
        <w:textAlignment w:val="center"/>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Proposal 3: AOD</w:t>
      </w:r>
      <w:r>
        <w:rPr>
          <w:rFonts w:hint="default" w:eastAsiaTheme="minorEastAsia"/>
          <w:b/>
          <w:bCs/>
          <w:i w:val="0"/>
          <w:iCs w:val="0"/>
          <w:sz w:val="20"/>
          <w:szCs w:val="20"/>
          <w:lang w:val="en-US" w:eastAsia="zh-CN"/>
        </w:rPr>
        <w:t>’</w:t>
      </w:r>
      <w:r>
        <w:rPr>
          <w:rFonts w:hint="eastAsia" w:eastAsiaTheme="minorEastAsia"/>
          <w:b/>
          <w:bCs/>
          <w:i w:val="0"/>
          <w:iCs w:val="0"/>
          <w:sz w:val="20"/>
          <w:szCs w:val="20"/>
          <w:lang w:val="en-US" w:eastAsia="zh-CN"/>
        </w:rPr>
        <w:t xml:space="preserve">s geographic direction should be defined as OTDOA assistance data of reference cell and neighbouring cells. </w:t>
      </w:r>
    </w:p>
    <w:p>
      <w:pPr>
        <w:pStyle w:val="3"/>
        <w:spacing w:before="0" w:after="0" w:line="276" w:lineRule="auto"/>
        <w:rPr>
          <w:rFonts w:hint="default" w:eastAsiaTheme="minorEastAsia"/>
          <w:b/>
          <w:bCs/>
          <w:i w:val="0"/>
          <w:iCs w:val="0"/>
          <w:sz w:val="20"/>
          <w:szCs w:val="20"/>
          <w:lang w:val="en-US" w:eastAsia="zh-CN"/>
        </w:rPr>
      </w:pPr>
      <w:r>
        <w:rPr>
          <w:rFonts w:hint="eastAsia" w:eastAsiaTheme="minorEastAsia"/>
          <w:lang w:val="en-US" w:eastAsia="zh-CN"/>
        </w:rPr>
        <w:t>Connecting beam</w:t>
      </w:r>
    </w:p>
    <w:p>
      <w:pPr>
        <w:widowControl w:val="0"/>
        <w:snapToGrid w:val="0"/>
        <w:spacing w:before="120" w:after="120" w:line="276" w:lineRule="auto"/>
        <w:rPr>
          <w:rFonts w:hint="default"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 xml:space="preserve">To perform DL-TDOA positioning, UE need to measure RSTD between at least 3 different transmission points, so the location server need choose some candidates and then send their information to target UE. Not all the candidates can be </w:t>
      </w:r>
      <w:r>
        <w:rPr>
          <w:rFonts w:hint="eastAsia" w:cs="Times New Roman" w:eastAsiaTheme="minorEastAsia"/>
          <w:sz w:val="20"/>
          <w:szCs w:val="22"/>
          <w:lang w:val="en-US" w:eastAsia="zh-CN"/>
        </w:rPr>
        <w:t xml:space="preserve">actually </w:t>
      </w:r>
      <w:r>
        <w:rPr>
          <w:rFonts w:hint="eastAsia" w:ascii="Times New Roman" w:hAnsi="Times New Roman" w:cs="Times New Roman" w:eastAsiaTheme="minorEastAsia"/>
          <w:sz w:val="20"/>
          <w:szCs w:val="22"/>
          <w:lang w:val="en-US" w:eastAsia="zh-CN"/>
        </w:rPr>
        <w:t>detected by UE, those who could not be detected will add the PRS searching latency and complexity. Actually in NR there are some information that could be used to make the recommendation more wise. The UE would detect SSB/CSI-RS from the serving cell and feed</w:t>
      </w:r>
      <w:r>
        <w:rPr>
          <w:rFonts w:hint="eastAsia" w:cs="Times New Roman" w:eastAsiaTheme="minorEastAsia"/>
          <w:sz w:val="20"/>
          <w:szCs w:val="22"/>
          <w:lang w:val="en-US" w:eastAsia="zh-CN"/>
        </w:rPr>
        <w:t xml:space="preserve"> </w:t>
      </w:r>
      <w:r>
        <w:rPr>
          <w:rFonts w:hint="eastAsia" w:ascii="Times New Roman" w:hAnsi="Times New Roman" w:cs="Times New Roman" w:eastAsiaTheme="minorEastAsia"/>
          <w:sz w:val="20"/>
          <w:szCs w:val="22"/>
          <w:lang w:val="en-US" w:eastAsia="zh-CN"/>
        </w:rPr>
        <w:t xml:space="preserve">back, then serving cell can know a rough direction of the UE and transmit the information needed by the target UE to that direction by </w:t>
      </w:r>
      <w:r>
        <w:rPr>
          <w:rFonts w:hint="eastAsia" w:cs="Times New Roman" w:eastAsiaTheme="minorEastAsia"/>
          <w:sz w:val="20"/>
          <w:szCs w:val="22"/>
          <w:lang w:val="en-US" w:eastAsia="zh-CN"/>
        </w:rPr>
        <w:t xml:space="preserve">a narrow </w:t>
      </w:r>
      <w:r>
        <w:rPr>
          <w:rFonts w:hint="eastAsia" w:ascii="Times New Roman" w:hAnsi="Times New Roman" w:cs="Times New Roman" w:eastAsiaTheme="minorEastAsia"/>
          <w:sz w:val="20"/>
          <w:szCs w:val="22"/>
          <w:lang w:val="en-US" w:eastAsia="zh-CN"/>
        </w:rPr>
        <w:t>beam, let</w:t>
      </w:r>
      <w:r>
        <w:rPr>
          <w:rFonts w:hint="default" w:ascii="Times New Roman" w:hAnsi="Times New Roman" w:cs="Times New Roman" w:eastAsiaTheme="minorEastAsia"/>
          <w:sz w:val="20"/>
          <w:szCs w:val="22"/>
          <w:lang w:val="en-US" w:eastAsia="zh-CN"/>
        </w:rPr>
        <w:t>’</w:t>
      </w:r>
      <w:r>
        <w:rPr>
          <w:rFonts w:hint="eastAsia" w:ascii="Times New Roman" w:hAnsi="Times New Roman" w:cs="Times New Roman" w:eastAsiaTheme="minorEastAsia"/>
          <w:sz w:val="20"/>
          <w:szCs w:val="22"/>
          <w:lang w:val="en-US" w:eastAsia="zh-CN"/>
        </w:rPr>
        <w:t xml:space="preserve">s just name it the connecting beam in this paper. It would be very beneficial for location server to know this information before recommending candidate transmission points to UE for positioning. For example, in </w:t>
      </w:r>
      <w:r>
        <w:rPr>
          <w:rFonts w:hint="eastAsia" w:cs="Times New Roman" w:eastAsiaTheme="minorEastAsia"/>
          <w:sz w:val="20"/>
          <w:szCs w:val="22"/>
          <w:lang w:val="en-US" w:eastAsia="zh-CN"/>
        </w:rPr>
        <w:t>F</w:t>
      </w:r>
      <w:r>
        <w:rPr>
          <w:rFonts w:hint="eastAsia" w:ascii="Times New Roman" w:hAnsi="Times New Roman" w:cs="Times New Roman" w:eastAsiaTheme="minorEastAsia"/>
          <w:sz w:val="20"/>
          <w:szCs w:val="22"/>
          <w:lang w:val="en-US" w:eastAsia="zh-CN"/>
        </w:rPr>
        <w:t xml:space="preserve">igure </w:t>
      </w:r>
      <w:r>
        <w:rPr>
          <w:rFonts w:hint="eastAsia" w:cs="Times New Roman" w:eastAsiaTheme="minorEastAsia"/>
          <w:sz w:val="20"/>
          <w:szCs w:val="22"/>
          <w:lang w:val="en-US" w:eastAsia="zh-CN"/>
        </w:rPr>
        <w:t>1</w:t>
      </w:r>
      <w:r>
        <w:rPr>
          <w:rFonts w:hint="eastAsia" w:ascii="Times New Roman" w:hAnsi="Times New Roman" w:cs="Times New Roman" w:eastAsiaTheme="minorEastAsia"/>
          <w:sz w:val="20"/>
          <w:szCs w:val="22"/>
          <w:lang w:val="en-US" w:eastAsia="zh-CN"/>
        </w:rPr>
        <w:t xml:space="preserve"> if the location server only know that the UE is inside the area of a1 without considering the connecting beam, the b1,b2,b3 are equal by the standard of distance to a1 and they all may have some overlap in terms of coverage overlap with a1, which means the location server can not know which cell has bigger chance to be detected by the UE so it would recommend them all. But as we can see in this picture, the b2,b1 are impossible to be detected if the UE is just within the area of beam 3 from a1. </w:t>
      </w:r>
      <w:r>
        <w:rPr>
          <w:rFonts w:hint="eastAsia" w:cs="Times New Roman" w:eastAsiaTheme="minorEastAsia"/>
          <w:sz w:val="20"/>
          <w:szCs w:val="22"/>
          <w:lang w:val="en-US" w:eastAsia="zh-CN"/>
        </w:rPr>
        <w:t xml:space="preserve">Assuming </w:t>
      </w:r>
      <w:r>
        <w:rPr>
          <w:rFonts w:hint="eastAsia" w:ascii="Times New Roman" w:hAnsi="Times New Roman" w:cs="Times New Roman" w:eastAsiaTheme="minorEastAsia"/>
          <w:sz w:val="20"/>
          <w:szCs w:val="22"/>
          <w:lang w:val="en-US" w:eastAsia="zh-CN"/>
        </w:rPr>
        <w:t xml:space="preserve">the location server could know that the target UE is inside the beam 3 of a1, this situation can be avoided. Besides gNB, UE may also know some index of the beam from SSB or CSI-RS. So the connecting beam information should be transmitted to location server either from gNB or UE. But to map indexes with direction, the mapping information of SSBs and direction should also need to be sent to location server. </w:t>
      </w:r>
    </w:p>
    <w:p>
      <w:pPr>
        <w:widowControl w:val="0"/>
        <w:snapToGrid w:val="0"/>
        <w:spacing w:before="120" w:after="120" w:line="276" w:lineRule="auto"/>
        <w:rPr>
          <w:rFonts w:hint="eastAsia" w:ascii="Times New Roman" w:hAnsi="Times New Roman" w:cs="Times New Roman" w:eastAsiaTheme="minorEastAsia"/>
          <w:sz w:val="20"/>
          <w:szCs w:val="22"/>
          <w:lang w:val="en-US" w:eastAsia="zh-CN"/>
        </w:rPr>
      </w:pPr>
    </w:p>
    <w:p>
      <w:pPr>
        <w:widowControl w:val="0"/>
        <w:snapToGrid w:val="0"/>
        <w:spacing w:before="120" w:after="120" w:line="276" w:lineRule="auto"/>
        <w:jc w:val="center"/>
        <w:rPr>
          <w:rFonts w:hint="default" w:eastAsiaTheme="minorEastAsia"/>
          <w:sz w:val="20"/>
          <w:lang w:val="en-US" w:eastAsia="zh-CN"/>
        </w:rPr>
      </w:pPr>
      <w:r>
        <w:rPr>
          <w:rFonts w:hint="default" w:eastAsiaTheme="minorEastAsia"/>
          <w:sz w:val="20"/>
          <w:lang w:val="en-US" w:eastAsia="zh-CN"/>
        </w:rPr>
        <w:drawing>
          <wp:inline distT="0" distB="0" distL="114300" distR="114300">
            <wp:extent cx="3542030" cy="2134235"/>
            <wp:effectExtent l="0" t="0" r="1270" b="18415"/>
            <wp:docPr id="4" name="图片 4" descr="PRS轮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PRS轮询"/>
                    <pic:cNvPicPr>
                      <a:picLocks noChangeAspect="1"/>
                    </pic:cNvPicPr>
                  </pic:nvPicPr>
                  <pic:blipFill>
                    <a:blip r:embed="rId5"/>
                    <a:stretch>
                      <a:fillRect/>
                    </a:stretch>
                  </pic:blipFill>
                  <pic:spPr>
                    <a:xfrm>
                      <a:off x="0" y="0"/>
                      <a:ext cx="3542030" cy="2134235"/>
                    </a:xfrm>
                    <a:prstGeom prst="rect">
                      <a:avLst/>
                    </a:prstGeom>
                  </pic:spPr>
                </pic:pic>
              </a:graphicData>
            </a:graphic>
          </wp:inline>
        </w:drawing>
      </w:r>
    </w:p>
    <w:p>
      <w:pPr>
        <w:jc w:val="center"/>
        <w:rPr>
          <w:rFonts w:hint="eastAsia" w:ascii="Times New Roman" w:hAnsi="Times New Roman" w:eastAsia="宋体"/>
          <w:sz w:val="20"/>
          <w:szCs w:val="20"/>
          <w:lang w:val="en-US" w:eastAsia="zh-CN"/>
        </w:rPr>
      </w:pPr>
      <w:r>
        <w:rPr>
          <w:rFonts w:hint="eastAsia" w:ascii="Times New Roman" w:hAnsi="Times New Roman" w:eastAsia="宋体" w:cs="Times New Roman"/>
          <w:sz w:val="20"/>
          <w:szCs w:val="20"/>
          <w:lang w:val="en-US" w:eastAsia="zh-CN"/>
        </w:rPr>
        <w:t xml:space="preserve">Figure </w:t>
      </w:r>
      <w:r>
        <w:rPr>
          <w:rFonts w:hint="eastAsia" w:eastAsia="宋体" w:cs="Times New Roman"/>
          <w:sz w:val="20"/>
          <w:szCs w:val="20"/>
          <w:lang w:val="en-US" w:eastAsia="zh-CN"/>
        </w:rPr>
        <w:t>1</w:t>
      </w:r>
      <w:r>
        <w:rPr>
          <w:rFonts w:hint="eastAsia" w:ascii="Times New Roman" w:hAnsi="Times New Roman" w:eastAsia="宋体" w:cs="Times New Roman"/>
          <w:sz w:val="20"/>
          <w:szCs w:val="20"/>
          <w:lang w:val="en-US" w:eastAsia="zh-CN"/>
        </w:rPr>
        <w:t xml:space="preserve"> OTDOA positioning under beam sweeping </w:t>
      </w:r>
    </w:p>
    <w:p>
      <w:pPr>
        <w:overflowPunct/>
        <w:autoSpaceDE/>
        <w:autoSpaceDN/>
        <w:snapToGrid w:val="0"/>
        <w:spacing w:afterLines="50" w:line="264" w:lineRule="auto"/>
        <w:textAlignment w:val="auto"/>
      </w:pPr>
      <w:r>
        <w:rPr>
          <w:rFonts w:hint="eastAsia" w:ascii="Times New Roman" w:hAnsi="Times New Roman" w:cs="Times New Roman" w:eastAsiaTheme="minorEastAsia"/>
          <w:b/>
          <w:sz w:val="20"/>
          <w:szCs w:val="22"/>
          <w:lang w:val="en-US" w:eastAsia="zh-CN"/>
        </w:rPr>
        <w:t xml:space="preserve">Proposal </w:t>
      </w:r>
      <w:r>
        <w:rPr>
          <w:rFonts w:hint="eastAsia" w:cs="Times New Roman" w:eastAsiaTheme="minorEastAsia"/>
          <w:b/>
          <w:sz w:val="20"/>
          <w:szCs w:val="22"/>
          <w:lang w:val="en-US" w:eastAsia="zh-CN"/>
        </w:rPr>
        <w:t>4</w:t>
      </w:r>
      <w:r>
        <w:rPr>
          <w:rFonts w:hint="eastAsia" w:ascii="Times New Roman" w:hAnsi="Times New Roman" w:cs="Times New Roman" w:eastAsiaTheme="minorEastAsia"/>
          <w:b/>
          <w:sz w:val="20"/>
          <w:szCs w:val="22"/>
          <w:lang w:val="en-US" w:eastAsia="zh-CN"/>
        </w:rPr>
        <w:t>:The connecting beam information should be transmitted from the gNB to location server.</w:t>
      </w:r>
    </w:p>
    <w:p>
      <w:pPr>
        <w:jc w:val="center"/>
        <w:rPr>
          <w:rFonts w:hint="eastAsia" w:ascii="Times New Roman" w:hAnsi="Times New Roman" w:eastAsia="宋体"/>
          <w:b/>
          <w:bCs/>
          <w:sz w:val="20"/>
          <w:szCs w:val="20"/>
          <w:lang w:val="en-US" w:eastAsia="zh-CN"/>
        </w:rPr>
      </w:pPr>
      <w:r>
        <w:drawing>
          <wp:inline distT="0" distB="0" distL="114300" distR="114300">
            <wp:extent cx="4827905" cy="1856105"/>
            <wp:effectExtent l="0" t="0" r="0"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rcRect r="-1903" b="23160"/>
                    <a:stretch>
                      <a:fillRect/>
                    </a:stretch>
                  </pic:blipFill>
                  <pic:spPr>
                    <a:xfrm>
                      <a:off x="0" y="0"/>
                      <a:ext cx="4827905" cy="1856105"/>
                    </a:xfrm>
                    <a:prstGeom prst="rect">
                      <a:avLst/>
                    </a:prstGeom>
                    <a:noFill/>
                    <a:ln>
                      <a:noFill/>
                    </a:ln>
                  </pic:spPr>
                </pic:pic>
              </a:graphicData>
            </a:graphic>
          </wp:inline>
        </w:drawing>
      </w:r>
    </w:p>
    <w:p>
      <w:pPr>
        <w:numPr>
          <w:ilvl w:val="0"/>
          <w:numId w:val="0"/>
        </w:numPr>
        <w:spacing w:after="180" w:line="240" w:lineRule="auto"/>
        <w:jc w:val="center"/>
        <w:rPr>
          <w:rFonts w:hint="default" w:ascii="Times New Roman" w:hAnsi="Times New Roman" w:eastAsia="宋体"/>
          <w:b/>
          <w:bCs/>
          <w:sz w:val="20"/>
          <w:szCs w:val="20"/>
          <w:lang w:val="en-US" w:eastAsia="zh-CN"/>
        </w:rPr>
      </w:pPr>
      <w:r>
        <w:rPr>
          <w:rFonts w:hint="eastAsia" w:ascii="Times New Roman" w:hAnsi="Times New Roman" w:eastAsia="宋体" w:cs="Times New Roman"/>
          <w:sz w:val="20"/>
          <w:szCs w:val="20"/>
          <w:lang w:val="en-US" w:eastAsia="zh-CN"/>
        </w:rPr>
        <w:t xml:space="preserve">Figure </w:t>
      </w:r>
      <w:r>
        <w:rPr>
          <w:rFonts w:hint="eastAsia" w:eastAsia="宋体" w:cs="Times New Roman"/>
          <w:sz w:val="20"/>
          <w:szCs w:val="20"/>
          <w:lang w:val="en-US" w:eastAsia="zh-CN"/>
        </w:rPr>
        <w:t>2</w:t>
      </w:r>
      <w:r>
        <w:rPr>
          <w:rFonts w:hint="eastAsia" w:ascii="Times New Roman" w:hAnsi="Times New Roman" w:eastAsia="宋体" w:cs="Times New Roman"/>
          <w:sz w:val="20"/>
          <w:szCs w:val="20"/>
          <w:lang w:val="en-US" w:eastAsia="zh-CN"/>
        </w:rPr>
        <w:t xml:space="preserve"> Connecting beam reporting procedure from gNB</w:t>
      </w:r>
    </w:p>
    <w:p>
      <w:pPr>
        <w:overflowPunct/>
        <w:autoSpaceDE/>
        <w:autoSpaceDN/>
        <w:snapToGrid w:val="0"/>
        <w:spacing w:afterLines="50" w:line="264" w:lineRule="auto"/>
        <w:textAlignment w:val="auto"/>
        <w:rPr>
          <w:rFonts w:hint="eastAsia" w:ascii="Times New Roman" w:hAnsi="Times New Roman" w:eastAsia="宋体"/>
          <w:sz w:val="20"/>
          <w:szCs w:val="20"/>
          <w:lang w:val="en-US" w:eastAsia="zh-CN"/>
        </w:rPr>
      </w:pPr>
      <w:r>
        <w:rPr>
          <w:rFonts w:hint="eastAsia" w:ascii="Times New Roman" w:hAnsi="Times New Roman" w:cs="Times New Roman" w:eastAsiaTheme="minorEastAsia"/>
          <w:b/>
          <w:sz w:val="20"/>
          <w:szCs w:val="22"/>
          <w:lang w:val="en-US" w:eastAsia="zh-CN"/>
        </w:rPr>
        <w:t xml:space="preserve">Proposal </w:t>
      </w:r>
      <w:r>
        <w:rPr>
          <w:rFonts w:hint="eastAsia" w:cs="Times New Roman" w:eastAsiaTheme="minorEastAsia"/>
          <w:b/>
          <w:sz w:val="20"/>
          <w:szCs w:val="22"/>
          <w:lang w:val="en-US" w:eastAsia="zh-CN"/>
        </w:rPr>
        <w:t>5</w:t>
      </w:r>
      <w:r>
        <w:rPr>
          <w:rFonts w:hint="eastAsia" w:ascii="Times New Roman" w:hAnsi="Times New Roman" w:cs="Times New Roman" w:eastAsiaTheme="minorEastAsia"/>
          <w:b/>
          <w:sz w:val="20"/>
          <w:szCs w:val="22"/>
          <w:lang w:val="en-US" w:eastAsia="zh-CN"/>
        </w:rPr>
        <w:t>:The connecting beam information should be transmitted from UE to location server.</w:t>
      </w:r>
    </w:p>
    <w:p>
      <w:pPr>
        <w:widowControl w:val="0"/>
        <w:snapToGrid w:val="0"/>
        <w:spacing w:after="0"/>
        <w:jc w:val="center"/>
        <w:rPr>
          <w:rFonts w:hint="eastAsia" w:eastAsiaTheme="minorEastAsia"/>
          <w:sz w:val="20"/>
          <w:lang w:val="en-US" w:eastAsia="zh-CN"/>
        </w:rPr>
      </w:pPr>
      <w:r>
        <w:drawing>
          <wp:inline distT="0" distB="0" distL="114300" distR="114300">
            <wp:extent cx="3930650" cy="1788160"/>
            <wp:effectExtent l="0" t="0" r="12700" b="254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7"/>
                    <a:stretch>
                      <a:fillRect/>
                    </a:stretch>
                  </pic:blipFill>
                  <pic:spPr>
                    <a:xfrm>
                      <a:off x="0" y="0"/>
                      <a:ext cx="3930650" cy="1788160"/>
                    </a:xfrm>
                    <a:prstGeom prst="rect">
                      <a:avLst/>
                    </a:prstGeom>
                    <a:noFill/>
                    <a:ln>
                      <a:noFill/>
                    </a:ln>
                  </pic:spPr>
                </pic:pic>
              </a:graphicData>
            </a:graphic>
          </wp:inline>
        </w:drawing>
      </w:r>
    </w:p>
    <w:p>
      <w:pPr>
        <w:widowControl w:val="0"/>
        <w:snapToGrid w:val="0"/>
        <w:spacing w:after="0"/>
        <w:rPr>
          <w:rFonts w:hint="eastAsia" w:eastAsiaTheme="minorEastAsia"/>
          <w:sz w:val="20"/>
          <w:lang w:val="en-US" w:eastAsia="zh-CN"/>
        </w:rPr>
      </w:pPr>
    </w:p>
    <w:p>
      <w:pPr>
        <w:numPr>
          <w:ilvl w:val="0"/>
          <w:numId w:val="0"/>
        </w:numPr>
        <w:spacing w:after="180" w:line="240" w:lineRule="auto"/>
        <w:jc w:val="center"/>
        <w:rPr>
          <w:rFonts w:hint="eastAsia" w:eastAsiaTheme="minorEastAsia"/>
          <w:sz w:val="20"/>
          <w:lang w:val="en-US" w:eastAsia="zh-CN"/>
        </w:rPr>
      </w:pPr>
      <w:r>
        <w:rPr>
          <w:rFonts w:hint="eastAsia" w:ascii="Times New Roman" w:hAnsi="Times New Roman" w:eastAsia="宋体" w:cs="Times New Roman"/>
          <w:sz w:val="20"/>
          <w:szCs w:val="20"/>
          <w:lang w:val="en-US" w:eastAsia="zh-CN"/>
        </w:rPr>
        <w:t xml:space="preserve">Figure </w:t>
      </w:r>
      <w:r>
        <w:rPr>
          <w:rFonts w:hint="eastAsia" w:eastAsia="宋体" w:cs="Times New Roman"/>
          <w:sz w:val="20"/>
          <w:szCs w:val="20"/>
          <w:lang w:val="en-US" w:eastAsia="zh-CN"/>
        </w:rPr>
        <w:t>3</w:t>
      </w:r>
      <w:r>
        <w:rPr>
          <w:rFonts w:hint="eastAsia" w:ascii="Times New Roman" w:hAnsi="Times New Roman" w:eastAsia="宋体" w:cs="Times New Roman"/>
          <w:sz w:val="20"/>
          <w:szCs w:val="20"/>
          <w:lang w:val="en-US" w:eastAsia="zh-CN"/>
        </w:rPr>
        <w:t xml:space="preserve"> Connecting beam reporting procedure from UE</w:t>
      </w:r>
    </w:p>
    <w:p>
      <w:pPr>
        <w:widowControl w:val="0"/>
        <w:snapToGrid w:val="0"/>
        <w:spacing w:after="0"/>
        <w:rPr>
          <w:rFonts w:hint="eastAsia" w:eastAsiaTheme="minorEastAsia"/>
          <w:sz w:val="20"/>
          <w:lang w:val="en-US" w:eastAsia="zh-CN"/>
        </w:rPr>
      </w:pPr>
      <w:r>
        <w:rPr>
          <w:rFonts w:hint="eastAsia" w:eastAsiaTheme="minorEastAsia"/>
          <w:sz w:val="20"/>
          <w:lang w:val="en-US" w:eastAsia="zh-CN"/>
        </w:rPr>
        <w:t>In addition to connecting beam, UE could also know that some neighbour cell have bigger change to be detected from RRM measurements. If UE could recommend these neighbour cells, the location server would have very authoritative reference.</w:t>
      </w:r>
    </w:p>
    <w:p>
      <w:pPr>
        <w:overflowPunct/>
        <w:autoSpaceDE/>
        <w:autoSpaceDN/>
        <w:snapToGrid w:val="0"/>
        <w:spacing w:afterLines="50" w:line="264" w:lineRule="auto"/>
        <w:textAlignment w:val="auto"/>
        <w:rPr>
          <w:rFonts w:hint="eastAsia" w:ascii="Times New Roman" w:hAnsi="Times New Roman" w:cs="Times New Roman" w:eastAsiaTheme="minorEastAsia"/>
          <w:b/>
          <w:sz w:val="20"/>
          <w:szCs w:val="22"/>
          <w:lang w:val="en-US" w:eastAsia="zh-CN"/>
        </w:rPr>
      </w:pPr>
      <w:r>
        <w:rPr>
          <w:rFonts w:hint="eastAsia" w:ascii="Times New Roman" w:hAnsi="Times New Roman" w:cs="Times New Roman" w:eastAsiaTheme="minorEastAsia"/>
          <w:b/>
          <w:sz w:val="20"/>
          <w:szCs w:val="22"/>
          <w:lang w:val="en-US" w:eastAsia="zh-CN"/>
        </w:rPr>
        <w:t xml:space="preserve">Proposal </w:t>
      </w:r>
      <w:r>
        <w:rPr>
          <w:rFonts w:hint="eastAsia" w:cs="Times New Roman" w:eastAsiaTheme="minorEastAsia"/>
          <w:b/>
          <w:sz w:val="20"/>
          <w:szCs w:val="22"/>
          <w:lang w:val="en-US" w:eastAsia="zh-CN"/>
        </w:rPr>
        <w:t>6</w:t>
      </w:r>
      <w:r>
        <w:rPr>
          <w:rFonts w:hint="eastAsia" w:ascii="Times New Roman" w:hAnsi="Times New Roman" w:cs="Times New Roman" w:eastAsiaTheme="minorEastAsia"/>
          <w:b/>
          <w:sz w:val="20"/>
          <w:szCs w:val="22"/>
          <w:lang w:val="en-US" w:eastAsia="zh-CN"/>
        </w:rPr>
        <w:t>:</w:t>
      </w:r>
      <w:bookmarkStart w:id="0" w:name="OLE_LINK1"/>
      <w:r>
        <w:rPr>
          <w:rFonts w:hint="eastAsia" w:ascii="Times New Roman" w:hAnsi="Times New Roman" w:cs="Times New Roman" w:eastAsiaTheme="minorEastAsia"/>
          <w:b/>
          <w:sz w:val="20"/>
          <w:szCs w:val="22"/>
          <w:lang w:val="en-US" w:eastAsia="zh-CN"/>
        </w:rPr>
        <w:t>The UE should send message to location server to recommend cells for RSTD measurement.</w:t>
      </w:r>
      <w:bookmarkEnd w:id="0"/>
    </w:p>
    <w:p>
      <w:pPr>
        <w:jc w:val="center"/>
        <w:rPr>
          <w:rFonts w:eastAsiaTheme="minorEastAsia"/>
          <w:sz w:val="20"/>
          <w:szCs w:val="22"/>
          <w:lang w:val="en-US" w:eastAsia="zh-CN"/>
        </w:rPr>
      </w:pPr>
      <w:r>
        <w:drawing>
          <wp:inline distT="0" distB="0" distL="114300" distR="114300">
            <wp:extent cx="4384675" cy="1846580"/>
            <wp:effectExtent l="0" t="0" r="15875" b="127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8"/>
                    <a:stretch>
                      <a:fillRect/>
                    </a:stretch>
                  </pic:blipFill>
                  <pic:spPr>
                    <a:xfrm>
                      <a:off x="0" y="0"/>
                      <a:ext cx="4384675" cy="1846580"/>
                    </a:xfrm>
                    <a:prstGeom prst="rect">
                      <a:avLst/>
                    </a:prstGeom>
                    <a:noFill/>
                    <a:ln>
                      <a:noFill/>
                    </a:ln>
                  </pic:spPr>
                </pic:pic>
              </a:graphicData>
            </a:graphic>
          </wp:inline>
        </w:drawing>
      </w:r>
    </w:p>
    <w:p>
      <w:pPr>
        <w:numPr>
          <w:ilvl w:val="0"/>
          <w:numId w:val="0"/>
        </w:numPr>
        <w:spacing w:after="180" w:line="240" w:lineRule="auto"/>
        <w:jc w:val="center"/>
        <w:rPr>
          <w:rFonts w:hint="default" w:eastAsiaTheme="minorEastAsia"/>
          <w:sz w:val="20"/>
          <w:lang w:val="en-US" w:eastAsia="zh-CN"/>
        </w:rPr>
      </w:pPr>
      <w:r>
        <w:rPr>
          <w:rFonts w:hint="eastAsia" w:ascii="Times New Roman" w:hAnsi="Times New Roman" w:eastAsia="宋体" w:cs="Times New Roman"/>
          <w:sz w:val="20"/>
          <w:szCs w:val="20"/>
          <w:lang w:val="en-US" w:eastAsia="zh-CN"/>
        </w:rPr>
        <w:t xml:space="preserve">Figure </w:t>
      </w:r>
      <w:r>
        <w:rPr>
          <w:rFonts w:hint="eastAsia" w:eastAsia="宋体" w:cs="Times New Roman"/>
          <w:sz w:val="20"/>
          <w:szCs w:val="20"/>
          <w:lang w:val="en-US" w:eastAsia="zh-CN"/>
        </w:rPr>
        <w:t>4</w:t>
      </w:r>
      <w:r>
        <w:rPr>
          <w:rFonts w:hint="eastAsia" w:ascii="Times New Roman" w:hAnsi="Times New Roman" w:eastAsia="宋体" w:cs="Times New Roman"/>
          <w:sz w:val="20"/>
          <w:szCs w:val="20"/>
          <w:lang w:val="en-US" w:eastAsia="zh-CN"/>
        </w:rPr>
        <w:t xml:space="preserve"> UE recommend cells for RSTD measurement</w:t>
      </w:r>
    </w:p>
    <w:p>
      <w:pPr>
        <w:widowControl w:val="0"/>
        <w:snapToGrid w:val="0"/>
        <w:spacing w:after="0"/>
        <w:textAlignment w:val="center"/>
        <w:rPr>
          <w:rFonts w:eastAsiaTheme="minorEastAsia"/>
          <w:sz w:val="20"/>
          <w:szCs w:val="22"/>
          <w:lang w:val="en-US" w:eastAsia="zh-CN"/>
        </w:rPr>
      </w:pPr>
    </w:p>
    <w:p>
      <w:pPr>
        <w:pStyle w:val="2"/>
        <w:tabs>
          <w:tab w:val="left" w:pos="450"/>
          <w:tab w:val="clear" w:pos="612"/>
        </w:tabs>
        <w:ind w:hanging="612"/>
      </w:pPr>
      <w:r>
        <w:t>Conclusion</w:t>
      </w:r>
    </w:p>
    <w:p>
      <w:pPr>
        <w:snapToGrid w:val="0"/>
        <w:spacing w:after="120"/>
        <w:rPr>
          <w:rFonts w:hint="eastAsia" w:eastAsiaTheme="minorEastAsia"/>
          <w:sz w:val="20"/>
          <w:lang w:val="en-US" w:eastAsia="zh-CN"/>
        </w:rPr>
      </w:pPr>
      <w:r>
        <w:rPr>
          <w:rFonts w:eastAsiaTheme="minorEastAsia"/>
          <w:sz w:val="20"/>
          <w:lang w:eastAsia="zh-CN"/>
        </w:rPr>
        <w:t xml:space="preserve">Based on the </w:t>
      </w:r>
      <w:r>
        <w:rPr>
          <w:rFonts w:hint="eastAsia" w:eastAsiaTheme="minorEastAsia"/>
          <w:sz w:val="20"/>
          <w:lang w:val="en-US" w:eastAsia="zh-CN"/>
        </w:rPr>
        <w:t>analysis above, we provide the following proposals:</w:t>
      </w:r>
    </w:p>
    <w:p>
      <w:pPr>
        <w:snapToGrid w:val="0"/>
        <w:spacing w:after="120"/>
        <w:rPr>
          <w:rFonts w:hint="eastAsia"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sz w:val="20"/>
          <w:szCs w:val="22"/>
          <w:lang w:val="en-US" w:eastAsia="zh-CN"/>
        </w:rPr>
        <w:t>Proposal 1:</w:t>
      </w:r>
      <w:r>
        <w:rPr>
          <w:rFonts w:hint="eastAsia" w:eastAsiaTheme="minorEastAsia"/>
          <w:b w:val="0"/>
          <w:bCs w:val="0"/>
          <w:i/>
          <w:iCs/>
          <w:sz w:val="20"/>
          <w:szCs w:val="20"/>
          <w:lang w:val="en-US" w:eastAsia="zh-CN"/>
        </w:rPr>
        <w:t>Consider time-varying encryption ID for PRS generation, or only support Cell-specific configuration.</w:t>
      </w:r>
    </w:p>
    <w:p>
      <w:pPr>
        <w:snapToGrid w:val="0"/>
        <w:spacing w:after="120"/>
        <w:rPr>
          <w:rFonts w:hint="eastAsia"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sz w:val="20"/>
          <w:szCs w:val="22"/>
          <w:lang w:val="en-US" w:eastAsia="zh-CN"/>
        </w:rPr>
        <w:t>Proposal 2:</w:t>
      </w:r>
      <w:r>
        <w:rPr>
          <w:rFonts w:hint="eastAsia" w:eastAsiaTheme="minorEastAsia"/>
          <w:b w:val="0"/>
          <w:bCs w:val="0"/>
          <w:i/>
          <w:iCs/>
          <w:sz w:val="20"/>
          <w:szCs w:val="20"/>
          <w:lang w:val="en-US" w:eastAsia="zh-CN"/>
        </w:rPr>
        <w:t xml:space="preserve">Define AOD based on PRS as OTDOA positioning assistance data. </w:t>
      </w:r>
    </w:p>
    <w:p>
      <w:pPr>
        <w:snapToGrid w:val="0"/>
        <w:spacing w:after="120"/>
        <w:rPr>
          <w:rFonts w:hint="eastAsia" w:ascii="Times New Roman" w:hAnsi="Times New Roman" w:cs="Times New Roman" w:eastAsiaTheme="minorEastAsia"/>
          <w:sz w:val="20"/>
          <w:szCs w:val="22"/>
          <w:lang w:val="en-US" w:eastAsia="zh-CN"/>
        </w:rPr>
      </w:pPr>
      <w:r>
        <w:rPr>
          <w:rFonts w:hint="eastAsia" w:ascii="Times New Roman" w:hAnsi="Times New Roman" w:cs="Times New Roman" w:eastAsiaTheme="minorEastAsia"/>
          <w:b/>
          <w:bCs/>
          <w:sz w:val="20"/>
          <w:szCs w:val="22"/>
          <w:lang w:val="en-US" w:eastAsia="zh-CN"/>
        </w:rPr>
        <w:t>Proposal 3:</w:t>
      </w:r>
      <w:r>
        <w:rPr>
          <w:rFonts w:hint="eastAsia" w:eastAsiaTheme="minorEastAsia"/>
          <w:b w:val="0"/>
          <w:bCs w:val="0"/>
          <w:i/>
          <w:iCs/>
          <w:sz w:val="20"/>
          <w:szCs w:val="20"/>
          <w:lang w:val="en-US" w:eastAsia="zh-CN"/>
        </w:rPr>
        <w:t>AOD</w:t>
      </w:r>
      <w:r>
        <w:rPr>
          <w:rFonts w:hint="default" w:eastAsiaTheme="minorEastAsia"/>
          <w:b w:val="0"/>
          <w:bCs w:val="0"/>
          <w:i/>
          <w:iCs/>
          <w:sz w:val="20"/>
          <w:szCs w:val="20"/>
          <w:lang w:val="en-US" w:eastAsia="zh-CN"/>
        </w:rPr>
        <w:t>’</w:t>
      </w:r>
      <w:r>
        <w:rPr>
          <w:rFonts w:hint="eastAsia" w:eastAsiaTheme="minorEastAsia"/>
          <w:b w:val="0"/>
          <w:bCs w:val="0"/>
          <w:i/>
          <w:iCs/>
          <w:sz w:val="20"/>
          <w:szCs w:val="20"/>
          <w:lang w:val="en-US" w:eastAsia="zh-CN"/>
        </w:rPr>
        <w:t xml:space="preserve">s geographic direction should be defined as assistance data of reference cell and neighbouring cells. </w:t>
      </w:r>
    </w:p>
    <w:p>
      <w:pPr>
        <w:snapToGrid w:val="0"/>
        <w:spacing w:after="120"/>
        <w:rPr>
          <w:rFonts w:hint="eastAsia" w:ascii="Times New Roman" w:hAnsi="Times New Roman" w:cs="Times New Roman" w:eastAsiaTheme="minorEastAsia"/>
          <w:sz w:val="20"/>
          <w:szCs w:val="22"/>
          <w:lang w:val="en-US" w:eastAsia="zh-CN"/>
        </w:rPr>
      </w:pPr>
      <w:r>
        <w:rPr>
          <w:rFonts w:hint="eastAsia" w:ascii="Times New Roman" w:hAnsi="Times New Roman" w:cs="Times New Roman" w:eastAsiaTheme="minorEastAsia"/>
          <w:b/>
          <w:bCs/>
          <w:sz w:val="20"/>
          <w:szCs w:val="22"/>
          <w:lang w:val="en-US" w:eastAsia="zh-CN"/>
        </w:rPr>
        <w:t>Proposal 4:</w:t>
      </w:r>
      <w:r>
        <w:rPr>
          <w:rFonts w:hint="eastAsia" w:eastAsiaTheme="minorEastAsia"/>
          <w:b w:val="0"/>
          <w:bCs w:val="0"/>
          <w:i/>
          <w:iCs/>
          <w:sz w:val="20"/>
          <w:szCs w:val="20"/>
          <w:lang w:val="en-US" w:eastAsia="zh-CN"/>
        </w:rPr>
        <w:t>The connecting beam information should be transmitted from the gNB to location server.</w:t>
      </w:r>
    </w:p>
    <w:p>
      <w:pPr>
        <w:snapToGrid w:val="0"/>
        <w:spacing w:after="120"/>
        <w:rPr>
          <w:rFonts w:hint="eastAsia"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bCs/>
          <w:sz w:val="20"/>
          <w:szCs w:val="22"/>
          <w:lang w:val="en-US" w:eastAsia="zh-CN"/>
        </w:rPr>
        <w:t>Proposal 5:</w:t>
      </w:r>
      <w:r>
        <w:rPr>
          <w:rFonts w:hint="eastAsia" w:ascii="Times New Roman" w:hAnsi="Times New Roman" w:cs="Times New Roman" w:eastAsiaTheme="minorEastAsia"/>
          <w:b w:val="0"/>
          <w:bCs/>
          <w:i/>
          <w:iCs/>
          <w:sz w:val="20"/>
          <w:szCs w:val="22"/>
          <w:lang w:val="en-US" w:eastAsia="zh-CN"/>
        </w:rPr>
        <w:t>The connecting beam information should be transmitted from UE to location server.</w:t>
      </w:r>
    </w:p>
    <w:p>
      <w:pPr>
        <w:snapToGrid w:val="0"/>
        <w:spacing w:after="120"/>
        <w:rPr>
          <w:rFonts w:hint="default"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bCs/>
          <w:sz w:val="20"/>
          <w:szCs w:val="22"/>
          <w:lang w:val="en-US" w:eastAsia="zh-CN"/>
        </w:rPr>
        <w:t xml:space="preserve">Proposal </w:t>
      </w:r>
      <w:r>
        <w:rPr>
          <w:rFonts w:hint="eastAsia" w:cs="Times New Roman" w:eastAsiaTheme="minorEastAsia"/>
          <w:b/>
          <w:bCs/>
          <w:sz w:val="20"/>
          <w:szCs w:val="22"/>
          <w:lang w:val="en-US" w:eastAsia="zh-CN"/>
        </w:rPr>
        <w:t>6</w:t>
      </w:r>
      <w:r>
        <w:rPr>
          <w:rFonts w:hint="eastAsia" w:ascii="Times New Roman" w:hAnsi="Times New Roman" w:cs="Times New Roman" w:eastAsiaTheme="minorEastAsia"/>
          <w:b/>
          <w:bCs/>
          <w:sz w:val="20"/>
          <w:szCs w:val="22"/>
          <w:lang w:val="en-US" w:eastAsia="zh-CN"/>
        </w:rPr>
        <w:t>:</w:t>
      </w:r>
      <w:r>
        <w:rPr>
          <w:rFonts w:hint="eastAsia" w:ascii="Times New Roman" w:hAnsi="Times New Roman" w:cs="Times New Roman" w:eastAsiaTheme="minorEastAsia"/>
          <w:b w:val="0"/>
          <w:bCs/>
          <w:i/>
          <w:iCs/>
          <w:sz w:val="20"/>
          <w:szCs w:val="22"/>
          <w:lang w:val="en-US" w:eastAsia="zh-CN"/>
        </w:rPr>
        <w:t>The UE should send message to location server to recommend cells for RSTD measurement.</w:t>
      </w: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1"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1"/>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3GPP RP-1</w:t>
      </w:r>
      <w:r>
        <w:rPr>
          <w:rFonts w:hint="eastAsia" w:ascii="Times New Roman" w:hAnsi="Times New Roman" w:cs="Times New Roman"/>
          <w:b w:val="0"/>
          <w:bCs w:val="0"/>
          <w:sz w:val="20"/>
          <w:szCs w:val="22"/>
        </w:rPr>
        <w:t>90752</w:t>
      </w:r>
      <w:r>
        <w:rPr>
          <w:rFonts w:ascii="Times New Roman" w:hAnsi="Times New Roman" w:eastAsia="Times New Roman" w:cs="Times New Roman"/>
          <w:b w:val="0"/>
          <w:bCs w:val="0"/>
          <w:sz w:val="20"/>
          <w:szCs w:val="22"/>
        </w:rPr>
        <w:t xml:space="preserve">, “New </w:t>
      </w:r>
      <w:r>
        <w:rPr>
          <w:rFonts w:hint="eastAsia" w:ascii="Times New Roman" w:hAnsi="Times New Roman" w:cs="Times New Roman"/>
          <w:b w:val="0"/>
          <w:bCs w:val="0"/>
          <w:sz w:val="20"/>
          <w:szCs w:val="22"/>
        </w:rPr>
        <w:t>W</w:t>
      </w:r>
      <w:r>
        <w:rPr>
          <w:rFonts w:ascii="Times New Roman" w:hAnsi="Times New Roman" w:eastAsia="Times New Roman" w:cs="Times New Roman"/>
          <w:b w:val="0"/>
          <w:bCs w:val="0"/>
          <w:sz w:val="20"/>
          <w:szCs w:val="22"/>
        </w:rPr>
        <w:t xml:space="preserve">ID: NR positioning support,”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p>
    <w:p>
      <w:pPr>
        <w:pStyle w:val="4"/>
        <w:numPr>
          <w:ilvl w:val="0"/>
          <w:numId w:val="0"/>
        </w:numPr>
        <w:spacing w:before="0" w:after="0"/>
        <w:ind w:left="360" w:hanging="360"/>
        <w:rPr>
          <w:rFonts w:ascii="Times New Roman" w:hAnsi="Times New Roman" w:eastAsia="Times New Roman" w:cs="Times New Roman"/>
          <w:b w:val="0"/>
          <w:bCs w:val="0"/>
          <w:sz w:val="20"/>
          <w:szCs w:val="22"/>
        </w:rPr>
      </w:pPr>
      <w:r>
        <w:rPr>
          <w:rFonts w:ascii="Times New Roman" w:hAnsi="Times New Roman" w:eastAsia="Times New Roman" w:cs="Times New Roman"/>
          <w:b w:val="0"/>
          <w:bCs w:val="0"/>
          <w:sz w:val="20"/>
          <w:szCs w:val="22"/>
          <w:lang w:eastAsia="ja-JP"/>
        </w:rPr>
        <w:t>[</w:t>
      </w:r>
      <w:bookmarkStart w:id="2"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2"/>
      <w:r>
        <w:rPr>
          <w:rFonts w:ascii="Times New Roman" w:hAnsi="Times New Roman" w:eastAsia="Times New Roman" w:cs="Times New Roman"/>
          <w:b w:val="0"/>
          <w:bCs w:val="0"/>
          <w:sz w:val="20"/>
          <w:szCs w:val="22"/>
          <w:lang w:eastAsia="ja-JP"/>
        </w:rPr>
        <w:t>]</w:t>
      </w:r>
      <w:r>
        <w:rPr>
          <w:rFonts w:ascii="Times New Roman" w:hAnsi="Times New Roman" w:eastAsia="Times New Roman" w:cs="Times New Roman"/>
          <w:b w:val="0"/>
          <w:bCs w:val="0"/>
          <w:sz w:val="20"/>
          <w:szCs w:val="22"/>
          <w:lang w:eastAsia="ja-JP"/>
        </w:rPr>
        <w:tab/>
      </w:r>
      <w:r>
        <w:rPr>
          <w:rFonts w:hint="eastAsia" w:ascii="Times New Roman" w:hAnsi="Times New Roman" w:eastAsia="Times New Roman" w:cs="Times New Roman"/>
          <w:b w:val="0"/>
          <w:bCs w:val="0"/>
          <w:sz w:val="20"/>
          <w:szCs w:val="22"/>
        </w:rPr>
        <w:t xml:space="preserve">3GPP </w:t>
      </w:r>
      <w:r>
        <w:rPr>
          <w:rFonts w:hint="eastAsia" w:ascii="Times New Roman" w:hAnsi="Times New Roman" w:eastAsia="宋体" w:cs="Times New Roman"/>
          <w:b w:val="0"/>
          <w:bCs w:val="0"/>
          <w:sz w:val="20"/>
          <w:szCs w:val="22"/>
          <w:lang w:val="en-US" w:eastAsia="zh-CN"/>
        </w:rPr>
        <w:t>RAN1#97 Chairman</w:t>
      </w:r>
      <w:r>
        <w:rPr>
          <w:rFonts w:hint="default" w:ascii="Times New Roman" w:hAnsi="Times New Roman" w:eastAsia="宋体" w:cs="Times New Roman"/>
          <w:b w:val="0"/>
          <w:bCs w:val="0"/>
          <w:sz w:val="20"/>
          <w:szCs w:val="22"/>
          <w:lang w:val="en-US" w:eastAsia="zh-CN"/>
        </w:rPr>
        <w:t>’</w:t>
      </w:r>
      <w:r>
        <w:rPr>
          <w:rFonts w:hint="eastAsia" w:ascii="Times New Roman" w:hAnsi="Times New Roman" w:eastAsia="宋体" w:cs="Times New Roman"/>
          <w:b w:val="0"/>
          <w:bCs w:val="0"/>
          <w:sz w:val="20"/>
          <w:szCs w:val="22"/>
          <w:lang w:val="en-US" w:eastAsia="zh-CN"/>
        </w:rPr>
        <w:t>s Notes</w:t>
      </w:r>
    </w:p>
    <w:p>
      <w:pPr>
        <w:pStyle w:val="4"/>
        <w:numPr>
          <w:ilvl w:val="0"/>
          <w:numId w:val="8"/>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Times New Roman" w:cs="Times New Roman"/>
          <w:b w:val="0"/>
          <w:bCs w:val="0"/>
          <w:sz w:val="20"/>
          <w:szCs w:val="22"/>
        </w:rPr>
        <w:t xml:space="preserve">  </w:t>
      </w:r>
      <w:r>
        <w:rPr>
          <w:rFonts w:hint="eastAsia" w:ascii="Times New Roman" w:hAnsi="Times New Roman" w:eastAsia="宋体" w:cs="Times New Roman"/>
          <w:b w:val="0"/>
          <w:bCs w:val="0"/>
          <w:sz w:val="20"/>
          <w:szCs w:val="22"/>
          <w:lang w:val="en-US" w:eastAsia="zh-CN"/>
        </w:rPr>
        <w:t xml:space="preserve">3GPP R1-1909796, </w:t>
      </w:r>
      <w:r>
        <w:rPr>
          <w:rFonts w:hint="default" w:ascii="Times New Roman" w:hAnsi="Times New Roman" w:eastAsia="宋体" w:cs="Times New Roman"/>
          <w:b w:val="0"/>
          <w:bCs w:val="0"/>
          <w:sz w:val="20"/>
          <w:szCs w:val="22"/>
          <w:lang w:val="en-US" w:eastAsia="zh-CN"/>
        </w:rPr>
        <w:t>“</w:t>
      </w:r>
      <w:r>
        <w:rPr>
          <w:rFonts w:ascii="Times New Roman" w:hAnsi="Times New Roman" w:eastAsia="Times New Roman" w:cs="Times New Roman"/>
          <w:b w:val="0"/>
          <w:bCs w:val="0"/>
          <w:sz w:val="20"/>
          <w:szCs w:val="22"/>
        </w:rPr>
        <w:t>LS on DL/UL Reference Signals and Measurements for NR Positioning</w:t>
      </w:r>
      <w:r>
        <w:rPr>
          <w:rFonts w:hint="default" w:ascii="Times New Roman" w:hAnsi="Times New Roman" w:eastAsia="宋体" w:cs="Times New Roman"/>
          <w:b w:val="0"/>
          <w:bCs w:val="0"/>
          <w:sz w:val="20"/>
          <w:szCs w:val="22"/>
          <w:lang w:val="en-US" w:eastAsia="zh-CN"/>
        </w:rPr>
        <w:t>”</w:t>
      </w:r>
    </w:p>
    <w:p>
      <w:pPr>
        <w:pStyle w:val="4"/>
        <w:numPr>
          <w:ilvl w:val="0"/>
          <w:numId w:val="8"/>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宋体" w:cs="Times New Roman"/>
          <w:b w:val="0"/>
          <w:bCs w:val="0"/>
          <w:sz w:val="20"/>
          <w:szCs w:val="22"/>
          <w:lang w:val="en-US" w:eastAsia="zh-CN"/>
        </w:rPr>
        <w:t xml:space="preserve">  3GPP Ran1 email discussion, </w:t>
      </w:r>
      <w:r>
        <w:rPr>
          <w:rFonts w:hint="default" w:ascii="Times New Roman" w:hAnsi="Times New Roman" w:eastAsia="宋体" w:cs="Times New Roman"/>
          <w:b w:val="0"/>
          <w:bCs w:val="0"/>
          <w:sz w:val="20"/>
          <w:szCs w:val="22"/>
          <w:lang w:val="en-US" w:eastAsia="zh-CN"/>
        </w:rPr>
        <w:t>“</w:t>
      </w:r>
      <w:r>
        <w:rPr>
          <w:rFonts w:hint="eastAsia" w:ascii="Times New Roman" w:hAnsi="Times New Roman" w:eastAsia="宋体" w:cs="Times New Roman"/>
          <w:b w:val="0"/>
          <w:bCs w:val="0"/>
          <w:sz w:val="20"/>
          <w:szCs w:val="22"/>
          <w:lang w:val="en-US" w:eastAsia="zh-CN"/>
        </w:rPr>
        <w:t>List of higher parameters for NR positioning</w:t>
      </w:r>
      <w:r>
        <w:rPr>
          <w:rFonts w:hint="default" w:ascii="Times New Roman" w:hAnsi="Times New Roman" w:eastAsia="宋体" w:cs="Times New Roman"/>
          <w:b w:val="0"/>
          <w:bCs w:val="0"/>
          <w:sz w:val="20"/>
          <w:szCs w:val="22"/>
          <w:lang w:val="en-US" w:eastAsia="zh-CN"/>
        </w:rPr>
        <w:t>”</w:t>
      </w:r>
    </w:p>
    <w:p>
      <w:pPr>
        <w:pStyle w:val="4"/>
        <w:numPr>
          <w:ilvl w:val="0"/>
          <w:numId w:val="8"/>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宋体" w:cs="Times New Roman"/>
          <w:b w:val="0"/>
          <w:bCs w:val="0"/>
          <w:sz w:val="20"/>
          <w:szCs w:val="22"/>
          <w:lang w:eastAsia="zh-CN"/>
        </w:rPr>
        <w:t>“</w:t>
      </w:r>
      <w:r>
        <w:rPr>
          <w:rFonts w:hint="eastAsia" w:ascii="Times New Roman" w:hAnsi="Times New Roman" w:eastAsia="Times New Roman" w:cs="Times New Roman"/>
          <w:b w:val="0"/>
          <w:bCs w:val="0"/>
          <w:sz w:val="20"/>
          <w:szCs w:val="22"/>
        </w:rPr>
        <w:t>Performance Analysis of MB-MIMO under 120 Degree Sector Consideration for 5G Communications ”</w:t>
      </w:r>
      <w:r>
        <w:rPr>
          <w:rFonts w:hint="eastAsia" w:ascii="Times New Roman" w:hAnsi="Times New Roman" w:eastAsia="宋体" w:cs="Times New Roman"/>
          <w:b w:val="0"/>
          <w:bCs w:val="0"/>
          <w:sz w:val="20"/>
          <w:szCs w:val="22"/>
          <w:lang w:eastAsia="zh-CN"/>
        </w:rPr>
        <w:t>，</w:t>
      </w:r>
      <w:r>
        <w:rPr>
          <w:rFonts w:hint="eastAsia" w:ascii="Times New Roman" w:hAnsi="Times New Roman" w:eastAsia="Times New Roman" w:cs="Times New Roman"/>
          <w:b w:val="0"/>
          <w:bCs w:val="0"/>
          <w:sz w:val="20"/>
          <w:szCs w:val="22"/>
        </w:rPr>
        <w:t>K Narongrit, P Uthansakul- The 20th Asia-Pacific </w:t>
      </w:r>
      <w:r>
        <w:rPr>
          <w:rFonts w:hint="eastAsia" w:ascii="Times New Roman" w:hAnsi="Times New Roman" w:eastAsia="宋体" w:cs="Times New Roman"/>
          <w:b w:val="0"/>
          <w:bCs w:val="0"/>
          <w:sz w:val="20"/>
          <w:szCs w:val="22"/>
          <w:lang w:val="en-US" w:eastAsia="zh-CN"/>
        </w:rPr>
        <w:t>conference on communication,</w:t>
      </w:r>
      <w:r>
        <w:rPr>
          <w:rFonts w:hint="eastAsia" w:ascii="Times New Roman" w:hAnsi="Times New Roman" w:eastAsia="Times New Roman" w:cs="Times New Roman"/>
          <w:b w:val="0"/>
          <w:bCs w:val="0"/>
          <w:sz w:val="20"/>
          <w:szCs w:val="22"/>
        </w:rPr>
        <w:t xml:space="preserve"> 2014 - ieeexplore.ieee.org</w:t>
      </w:r>
    </w:p>
    <w:p>
      <w:pPr>
        <w:pStyle w:val="4"/>
        <w:numPr>
          <w:ilvl w:val="0"/>
          <w:numId w:val="8"/>
        </w:numPr>
        <w:spacing w:before="0" w:after="0"/>
        <w:ind w:left="360" w:leftChars="0" w:hanging="360" w:firstLineChars="0"/>
        <w:rPr>
          <w:rFonts w:hint="eastAsia" w:ascii="Times New Roman" w:hAnsi="Times New Roman" w:cs="Times New Roman"/>
          <w:b w:val="0"/>
          <w:sz w:val="20"/>
          <w:szCs w:val="20"/>
          <w:lang w:val="en-US" w:eastAsia="zh-CN"/>
        </w:rPr>
      </w:pPr>
      <w:r>
        <w:rPr>
          <w:rFonts w:hint="eastAsia" w:ascii="Times New Roman" w:hAnsi="Times New Roman" w:cs="Times New Roman"/>
          <w:b w:val="0"/>
          <w:sz w:val="20"/>
          <w:szCs w:val="20"/>
          <w:lang w:val="en-US" w:eastAsia="zh-CN"/>
        </w:rPr>
        <w:t xml:space="preserve">  </w:t>
      </w:r>
      <w:r>
        <w:rPr>
          <w:rFonts w:hint="default" w:ascii="Times New Roman" w:hAnsi="Times New Roman" w:cs="Times New Roman"/>
          <w:b w:val="0"/>
          <w:sz w:val="20"/>
          <w:szCs w:val="20"/>
          <w:lang w:val="en-US" w:eastAsia="zh-CN"/>
        </w:rPr>
        <w:t>3GPP R1-1906305,”DL Reference Signals for NR Positioning”</w:t>
      </w:r>
      <w:r>
        <w:rPr>
          <w:rFonts w:hint="eastAsia" w:ascii="Times New Roman" w:hAnsi="Times New Roman" w:cs="Times New Roman"/>
          <w:b w:val="0"/>
          <w:sz w:val="20"/>
          <w:szCs w:val="20"/>
          <w:lang w:val="en-US" w:eastAsia="zh-CN"/>
        </w:rPr>
        <w:t>, CATT</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ind w:left="363" w:leftChars="0" w:hanging="363" w:firstLineChars="0"/>
        <w:textAlignment w:val="baseline"/>
        <w:outlineLvl w:val="9"/>
        <w:rPr>
          <w:rFonts w:hint="default"/>
          <w:lang w:val="en-US" w:eastAsia="zh-CN"/>
        </w:rPr>
      </w:pPr>
      <w:r>
        <w:rPr>
          <w:rFonts w:hint="eastAsia"/>
          <w:lang w:val="en-US" w:eastAsia="zh-CN"/>
        </w:rPr>
        <w:t xml:space="preserve"> 3GPP R2-1903678,</w:t>
      </w:r>
      <w:r>
        <w:rPr>
          <w:rFonts w:hint="default"/>
          <w:lang w:val="en-US" w:eastAsia="zh-CN"/>
        </w:rPr>
        <w:t>”</w:t>
      </w:r>
      <w:r>
        <w:rPr>
          <w:rFonts w:hint="default" w:ascii="Times New Roman" w:hAnsi="Times New Roman" w:eastAsia="宋体" w:cs="Times New Roman"/>
          <w:b w:val="0"/>
          <w:bCs/>
          <w:iCs/>
          <w:sz w:val="20"/>
          <w:szCs w:val="20"/>
          <w:lang w:val="en-US" w:eastAsia="zh-CN" w:bidi="ar-SA"/>
        </w:rPr>
        <w:t>Enhancement for DL-TDOA positioning method</w:t>
      </w:r>
      <w:r>
        <w:rPr>
          <w:rFonts w:hint="default"/>
          <w:lang w:val="en-US" w:eastAsia="zh-CN"/>
        </w:rPr>
        <w:t>”</w:t>
      </w:r>
      <w:r>
        <w:rPr>
          <w:rFonts w:hint="eastAsia"/>
          <w:lang w:val="en-US" w:eastAsia="zh-CN"/>
        </w:rPr>
        <w:t>, ZTE</w:t>
      </w:r>
    </w:p>
    <w:p>
      <w:pPr>
        <w:numPr>
          <w:ilvl w:val="0"/>
          <w:numId w:val="0"/>
        </w:numPr>
        <w:ind w:leftChars="0"/>
        <w:rPr>
          <w:rFonts w:hint="default"/>
          <w:lang w:val="en-US" w:eastAsia="zh-CN"/>
        </w:rPr>
      </w:pPr>
    </w:p>
    <w:p/>
    <w:p/>
    <w:p/>
    <w:p>
      <w:pPr>
        <w:pStyle w:val="14"/>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3">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1B84F12"/>
    <w:multiLevelType w:val="singleLevel"/>
    <w:tmpl w:val="41B84F12"/>
    <w:lvl w:ilvl="0" w:tentative="0">
      <w:start w:val="3"/>
      <w:numFmt w:val="decimal"/>
      <w:suff w:val="space"/>
      <w:lvlText w:val="[%1]"/>
      <w:lvlJc w:val="left"/>
    </w:lvl>
  </w:abstractNum>
  <w:abstractNum w:abstractNumId="5">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6">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7"/>
  </w:num>
  <w:num w:numId="4">
    <w:abstractNumId w:val="5"/>
  </w:num>
  <w:num w:numId="5">
    <w:abstractNumId w:val="6"/>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263651"/>
    <w:rsid w:val="0E7640A8"/>
    <w:rsid w:val="0EC02BE6"/>
    <w:rsid w:val="0F433F3F"/>
    <w:rsid w:val="0F512AE4"/>
    <w:rsid w:val="0F974689"/>
    <w:rsid w:val="0FBC6E09"/>
    <w:rsid w:val="0FBE1CB2"/>
    <w:rsid w:val="0FD14118"/>
    <w:rsid w:val="100C1557"/>
    <w:rsid w:val="10206C98"/>
    <w:rsid w:val="107D33D6"/>
    <w:rsid w:val="10CB6F40"/>
    <w:rsid w:val="10DB530B"/>
    <w:rsid w:val="10E66C24"/>
    <w:rsid w:val="10EB6FCC"/>
    <w:rsid w:val="10FB0B18"/>
    <w:rsid w:val="11A75BA8"/>
    <w:rsid w:val="11AC3D53"/>
    <w:rsid w:val="11B5413C"/>
    <w:rsid w:val="11F20572"/>
    <w:rsid w:val="11F652A8"/>
    <w:rsid w:val="12225B65"/>
    <w:rsid w:val="12A04A8C"/>
    <w:rsid w:val="12C30776"/>
    <w:rsid w:val="131C406C"/>
    <w:rsid w:val="138A7A95"/>
    <w:rsid w:val="13CC6AC3"/>
    <w:rsid w:val="13E83435"/>
    <w:rsid w:val="14597E11"/>
    <w:rsid w:val="1482587A"/>
    <w:rsid w:val="14C75338"/>
    <w:rsid w:val="14E17706"/>
    <w:rsid w:val="14EE5BE4"/>
    <w:rsid w:val="14FA466D"/>
    <w:rsid w:val="14FD15E3"/>
    <w:rsid w:val="1528363E"/>
    <w:rsid w:val="15346082"/>
    <w:rsid w:val="155A6753"/>
    <w:rsid w:val="15993FD3"/>
    <w:rsid w:val="16091F83"/>
    <w:rsid w:val="161B1EE1"/>
    <w:rsid w:val="166B05BC"/>
    <w:rsid w:val="16720049"/>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BA27934"/>
    <w:rsid w:val="1C384EAA"/>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890208"/>
    <w:rsid w:val="20A50C21"/>
    <w:rsid w:val="2133281F"/>
    <w:rsid w:val="21A60491"/>
    <w:rsid w:val="226203F1"/>
    <w:rsid w:val="226B01B0"/>
    <w:rsid w:val="22705D1D"/>
    <w:rsid w:val="22BA06F8"/>
    <w:rsid w:val="230541AD"/>
    <w:rsid w:val="23375015"/>
    <w:rsid w:val="23B03966"/>
    <w:rsid w:val="240F0DC8"/>
    <w:rsid w:val="246675EA"/>
    <w:rsid w:val="24717BD2"/>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70331F"/>
    <w:rsid w:val="28925FAE"/>
    <w:rsid w:val="28F33755"/>
    <w:rsid w:val="29B02469"/>
    <w:rsid w:val="29BB2026"/>
    <w:rsid w:val="2A476F4B"/>
    <w:rsid w:val="2A4C0381"/>
    <w:rsid w:val="2A607EB6"/>
    <w:rsid w:val="2AC6341B"/>
    <w:rsid w:val="2B0760A2"/>
    <w:rsid w:val="2B165FD3"/>
    <w:rsid w:val="2B424B7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B07AF3"/>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43A3A12"/>
    <w:rsid w:val="344E09D0"/>
    <w:rsid w:val="34940E12"/>
    <w:rsid w:val="34D37DB2"/>
    <w:rsid w:val="35141047"/>
    <w:rsid w:val="35180A32"/>
    <w:rsid w:val="3554536F"/>
    <w:rsid w:val="35981AAD"/>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ACF184A"/>
    <w:rsid w:val="3B4476F3"/>
    <w:rsid w:val="3B4C52CF"/>
    <w:rsid w:val="3BEA4FCE"/>
    <w:rsid w:val="3C2705E0"/>
    <w:rsid w:val="3CB52021"/>
    <w:rsid w:val="3D123C30"/>
    <w:rsid w:val="3E861D88"/>
    <w:rsid w:val="3FB13684"/>
    <w:rsid w:val="3FBD08F4"/>
    <w:rsid w:val="3FF1461A"/>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9E056FA"/>
    <w:rsid w:val="4A88676A"/>
    <w:rsid w:val="4A916B3F"/>
    <w:rsid w:val="4A98729A"/>
    <w:rsid w:val="4AC7560F"/>
    <w:rsid w:val="4B040003"/>
    <w:rsid w:val="4B1568F7"/>
    <w:rsid w:val="4B735132"/>
    <w:rsid w:val="4B933FB5"/>
    <w:rsid w:val="4BA14B89"/>
    <w:rsid w:val="4BCA79AB"/>
    <w:rsid w:val="4BE16EAE"/>
    <w:rsid w:val="4C365A46"/>
    <w:rsid w:val="4C9E6485"/>
    <w:rsid w:val="4D516DC4"/>
    <w:rsid w:val="4D5704F6"/>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6D5688"/>
    <w:rsid w:val="56981D68"/>
    <w:rsid w:val="569A309B"/>
    <w:rsid w:val="569B5AFA"/>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AA764C9"/>
    <w:rsid w:val="5B0608A4"/>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416C4D"/>
    <w:rsid w:val="6855099E"/>
    <w:rsid w:val="6891110F"/>
    <w:rsid w:val="68DD19AC"/>
    <w:rsid w:val="68EF2641"/>
    <w:rsid w:val="68F94975"/>
    <w:rsid w:val="692D3A23"/>
    <w:rsid w:val="693A4AE6"/>
    <w:rsid w:val="698D2330"/>
    <w:rsid w:val="69AE15E7"/>
    <w:rsid w:val="69D36BF1"/>
    <w:rsid w:val="6A383C24"/>
    <w:rsid w:val="6B81035E"/>
    <w:rsid w:val="6BB22514"/>
    <w:rsid w:val="6C3B3E30"/>
    <w:rsid w:val="6D114D78"/>
    <w:rsid w:val="6D2E3F2F"/>
    <w:rsid w:val="6D4C705F"/>
    <w:rsid w:val="6D594031"/>
    <w:rsid w:val="6DBE706B"/>
    <w:rsid w:val="6DFF0DB9"/>
    <w:rsid w:val="6E470773"/>
    <w:rsid w:val="6E590AB8"/>
    <w:rsid w:val="6ED773B1"/>
    <w:rsid w:val="6F3B5685"/>
    <w:rsid w:val="6F72645F"/>
    <w:rsid w:val="700556DA"/>
    <w:rsid w:val="71DB63BE"/>
    <w:rsid w:val="71E54EEE"/>
    <w:rsid w:val="722F297B"/>
    <w:rsid w:val="727E7F67"/>
    <w:rsid w:val="731F187D"/>
    <w:rsid w:val="73770109"/>
    <w:rsid w:val="73BA09E1"/>
    <w:rsid w:val="73C734DE"/>
    <w:rsid w:val="73E76A24"/>
    <w:rsid w:val="747674F2"/>
    <w:rsid w:val="748E1E66"/>
    <w:rsid w:val="760102EA"/>
    <w:rsid w:val="76305CC2"/>
    <w:rsid w:val="764D3861"/>
    <w:rsid w:val="76524C31"/>
    <w:rsid w:val="765A641A"/>
    <w:rsid w:val="767E608D"/>
    <w:rsid w:val="771D5351"/>
    <w:rsid w:val="77720CF0"/>
    <w:rsid w:val="77BA518F"/>
    <w:rsid w:val="77BB4F79"/>
    <w:rsid w:val="78D2280F"/>
    <w:rsid w:val="78D25085"/>
    <w:rsid w:val="792148B1"/>
    <w:rsid w:val="79352B64"/>
    <w:rsid w:val="79473300"/>
    <w:rsid w:val="7959199E"/>
    <w:rsid w:val="79633F17"/>
    <w:rsid w:val="79CA09B0"/>
    <w:rsid w:val="79FD3E8A"/>
    <w:rsid w:val="7A260344"/>
    <w:rsid w:val="7A481DD3"/>
    <w:rsid w:val="7A565BB2"/>
    <w:rsid w:val="7A582F7A"/>
    <w:rsid w:val="7AE6075D"/>
    <w:rsid w:val="7BB66EFF"/>
    <w:rsid w:val="7BBA4EA9"/>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basedOn w:val="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link w:val="127"/>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 w:type="paragraph" w:customStyle="1" w:styleId="126">
    <w:name w:val="3GPP Text"/>
    <w:basedOn w:val="1"/>
    <w:qFormat/>
    <w:uiPriority w:val="0"/>
    <w:pPr>
      <w:overflowPunct w:val="0"/>
      <w:autoSpaceDE w:val="0"/>
      <w:autoSpaceDN w:val="0"/>
      <w:adjustRightInd w:val="0"/>
      <w:spacing w:before="120" w:after="120" w:line="276" w:lineRule="auto"/>
      <w:jc w:val="both"/>
      <w:textAlignment w:val="baseline"/>
    </w:pPr>
    <w:rPr>
      <w:rFonts w:ascii="Times New Roman" w:hAnsi="Times New Roman" w:eastAsia="宋体"/>
      <w:sz w:val="22"/>
      <w:szCs w:val="20"/>
      <w:lang w:val="en-US"/>
    </w:rPr>
  </w:style>
  <w:style w:type="character" w:customStyle="1" w:styleId="127">
    <w:name w:val="标题 2 Char"/>
    <w:link w:val="3"/>
    <w:qFormat/>
    <w:uiPriority w:val="0"/>
    <w:rPr>
      <w:rFonts w:eastAsia="宋体" w:cs="Arial"/>
      <w:bCs/>
      <w:iCs/>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1</TotalTime>
  <ScaleCrop>false</ScaleCrop>
  <LinksUpToDate>false</LinksUpToDate>
  <CharactersWithSpaces>13169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2019-08-15T02:49:00Z</cp:lastPrinted>
  <dcterms:modified xsi:type="dcterms:W3CDTF">2019-09-30T11:57:21Z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