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32FDB" w14:textId="5DB86745" w:rsidR="007809EA" w:rsidRPr="007809EA" w:rsidRDefault="007809EA" w:rsidP="007809EA">
      <w:pPr>
        <w:pStyle w:val="Header"/>
        <w:rPr>
          <w:rFonts w:ascii="Arial" w:hAnsi="Arial"/>
          <w:b/>
          <w:sz w:val="22"/>
          <w:szCs w:val="22"/>
          <w:lang w:val="sv-SE" w:eastAsia="zh-CN"/>
        </w:rPr>
      </w:pPr>
      <w:r w:rsidRPr="007809EA">
        <w:rPr>
          <w:rFonts w:ascii="Arial" w:hAnsi="Arial"/>
          <w:b/>
          <w:sz w:val="22"/>
          <w:szCs w:val="22"/>
          <w:lang w:val="sv-SE" w:eastAsia="zh-CN"/>
        </w:rPr>
        <w:t>3GPP TSG-RAN WG2 Meeting #103bis</w:t>
      </w:r>
      <w:r w:rsidRPr="007809EA">
        <w:rPr>
          <w:rFonts w:ascii="Arial" w:hAnsi="Arial"/>
          <w:b/>
          <w:sz w:val="22"/>
          <w:szCs w:val="22"/>
          <w:lang w:val="sv-SE" w:eastAsia="zh-CN"/>
        </w:rPr>
        <w:tab/>
      </w:r>
      <w:r w:rsidRPr="007809EA">
        <w:rPr>
          <w:rFonts w:ascii="Arial" w:hAnsi="Arial"/>
          <w:b/>
          <w:sz w:val="22"/>
          <w:szCs w:val="22"/>
          <w:lang w:val="sv-SE" w:eastAsia="zh-CN"/>
        </w:rPr>
        <w:tab/>
      </w:r>
      <w:r w:rsidR="00C45FF0" w:rsidRPr="00C45FF0">
        <w:rPr>
          <w:rFonts w:ascii="Arial" w:hAnsi="Arial"/>
          <w:b/>
          <w:sz w:val="22"/>
          <w:szCs w:val="22"/>
          <w:lang w:val="sv-SE" w:eastAsia="zh-CN"/>
        </w:rPr>
        <w:t>R2-1813990</w:t>
      </w:r>
    </w:p>
    <w:p w14:paraId="73932FDC" w14:textId="77777777" w:rsidR="007809EA" w:rsidRPr="007809EA" w:rsidRDefault="007809EA" w:rsidP="007809EA">
      <w:pPr>
        <w:pStyle w:val="Header"/>
        <w:rPr>
          <w:rFonts w:ascii="Arial" w:hAnsi="Arial"/>
          <w:b/>
          <w:sz w:val="22"/>
          <w:szCs w:val="22"/>
          <w:lang w:val="sv-SE" w:eastAsia="zh-CN"/>
        </w:rPr>
      </w:pPr>
      <w:r w:rsidRPr="007809EA">
        <w:rPr>
          <w:rFonts w:ascii="Arial" w:hAnsi="Arial"/>
          <w:b/>
          <w:sz w:val="22"/>
          <w:szCs w:val="22"/>
          <w:lang w:val="sv-SE" w:eastAsia="zh-CN"/>
        </w:rPr>
        <w:t>Chengdu, China, 8th - 12th October 2018</w:t>
      </w:r>
    </w:p>
    <w:p w14:paraId="73932FDD" w14:textId="77777777" w:rsidR="007809EA" w:rsidRDefault="007809EA"/>
    <w:p w14:paraId="73932FDE" w14:textId="77777777" w:rsidR="007809EA" w:rsidRPr="007730BD" w:rsidRDefault="007809EA" w:rsidP="007809EA">
      <w:pPr>
        <w:pStyle w:val="3GPPHeader"/>
        <w:rPr>
          <w:sz w:val="22"/>
          <w:szCs w:val="22"/>
          <w:lang w:val="sv-SE"/>
        </w:rPr>
      </w:pPr>
      <w:r w:rsidRPr="007730BD">
        <w:rPr>
          <w:sz w:val="22"/>
          <w:szCs w:val="22"/>
          <w:lang w:val="sv-SE"/>
        </w:rPr>
        <w:t>Agenda Item:</w:t>
      </w:r>
      <w:r w:rsidRPr="007730BD">
        <w:rPr>
          <w:sz w:val="22"/>
          <w:szCs w:val="22"/>
          <w:lang w:val="sv-SE"/>
        </w:rPr>
        <w:tab/>
      </w:r>
      <w:r w:rsidR="0074573A" w:rsidRPr="0074573A">
        <w:rPr>
          <w:sz w:val="22"/>
          <w:szCs w:val="22"/>
          <w:lang w:val="sv-SE"/>
        </w:rPr>
        <w:t>10.5.1</w:t>
      </w:r>
    </w:p>
    <w:p w14:paraId="73932FDF" w14:textId="77777777" w:rsidR="007809EA" w:rsidRPr="00CE0424" w:rsidRDefault="007809EA" w:rsidP="007809EA">
      <w:pPr>
        <w:pStyle w:val="3GPPHeader"/>
        <w:rPr>
          <w:sz w:val="22"/>
          <w:szCs w:val="22"/>
        </w:rPr>
      </w:pPr>
      <w:r>
        <w:rPr>
          <w:sz w:val="22"/>
          <w:szCs w:val="22"/>
        </w:rPr>
        <w:t>Source:</w:t>
      </w:r>
      <w:r w:rsidRPr="00CE0424">
        <w:rPr>
          <w:sz w:val="22"/>
          <w:szCs w:val="22"/>
        </w:rPr>
        <w:tab/>
      </w:r>
      <w:r>
        <w:rPr>
          <w:sz w:val="22"/>
          <w:szCs w:val="22"/>
        </w:rPr>
        <w:t>Intel Corporation</w:t>
      </w:r>
    </w:p>
    <w:p w14:paraId="73932FE0" w14:textId="77777777" w:rsidR="007809EA" w:rsidRPr="00CE0424" w:rsidRDefault="007809EA" w:rsidP="007809EA">
      <w:pPr>
        <w:pStyle w:val="3GPPHeader"/>
        <w:ind w:left="1701" w:hanging="1701"/>
        <w:rPr>
          <w:sz w:val="22"/>
          <w:szCs w:val="22"/>
        </w:rPr>
      </w:pPr>
      <w:r>
        <w:rPr>
          <w:sz w:val="22"/>
          <w:szCs w:val="22"/>
        </w:rPr>
        <w:t>Title:</w:t>
      </w:r>
      <w:r w:rsidRPr="00CE0424">
        <w:rPr>
          <w:sz w:val="22"/>
          <w:szCs w:val="22"/>
        </w:rPr>
        <w:tab/>
      </w:r>
      <w:r w:rsidR="0074573A">
        <w:rPr>
          <w:sz w:val="22"/>
          <w:szCs w:val="22"/>
        </w:rPr>
        <w:t>Integrity protection of DRBs in MR-DC</w:t>
      </w:r>
    </w:p>
    <w:p w14:paraId="73932FE1" w14:textId="77777777" w:rsidR="007809EA" w:rsidRDefault="007809EA" w:rsidP="007809EA">
      <w:pPr>
        <w:pStyle w:val="3GPPHeader"/>
        <w:rPr>
          <w:sz w:val="22"/>
          <w:szCs w:val="22"/>
        </w:rPr>
      </w:pPr>
      <w:r w:rsidRPr="00CE0424">
        <w:rPr>
          <w:sz w:val="22"/>
          <w:szCs w:val="22"/>
        </w:rPr>
        <w:t>Document for:</w:t>
      </w:r>
      <w:r w:rsidRPr="00CE0424">
        <w:rPr>
          <w:sz w:val="22"/>
          <w:szCs w:val="22"/>
        </w:rPr>
        <w:tab/>
      </w:r>
      <w:r>
        <w:rPr>
          <w:sz w:val="22"/>
          <w:szCs w:val="22"/>
        </w:rPr>
        <w:t>Discussion</w:t>
      </w:r>
    </w:p>
    <w:p w14:paraId="73932FE2" w14:textId="77777777" w:rsidR="007809EA" w:rsidRDefault="007809EA" w:rsidP="007809EA">
      <w:pPr>
        <w:pStyle w:val="Heading1"/>
        <w:pBdr>
          <w:top w:val="single" w:sz="12" w:space="3" w:color="auto"/>
        </w:pBdr>
        <w:tabs>
          <w:tab w:val="num" w:pos="432"/>
        </w:tabs>
        <w:overflowPunct w:val="0"/>
        <w:autoSpaceDE w:val="0"/>
        <w:autoSpaceDN w:val="0"/>
        <w:adjustRightInd w:val="0"/>
        <w:spacing w:after="180" w:line="240" w:lineRule="auto"/>
        <w:textAlignment w:val="baseline"/>
      </w:pPr>
      <w:r>
        <w:t>Introduction</w:t>
      </w:r>
    </w:p>
    <w:p w14:paraId="73932FE3" w14:textId="77777777" w:rsidR="00681090" w:rsidRDefault="00A820A2">
      <w:r>
        <w:t xml:space="preserve">During email discussion </w:t>
      </w:r>
      <w:r w:rsidR="001247F7" w:rsidRPr="001247F7">
        <w:t>[103#51][NR late drop] MR-DC security aspects</w:t>
      </w:r>
      <w:r>
        <w:t xml:space="preserve">, the applicability of integrity protection for DRBs for the different MR-DC combinations were discussed.  </w:t>
      </w:r>
      <w:r w:rsidR="001247F7">
        <w:t>This document discusses the topic of which architectures and bearer types DRB-IP is applicable for.</w:t>
      </w:r>
    </w:p>
    <w:p w14:paraId="73932FE4" w14:textId="77777777" w:rsidR="001247F7" w:rsidRDefault="001247F7" w:rsidP="001247F7">
      <w:pPr>
        <w:pStyle w:val="Heading1"/>
      </w:pPr>
      <w:r>
        <w:t>Discussion</w:t>
      </w:r>
    </w:p>
    <w:p w14:paraId="73932FE5" w14:textId="77777777" w:rsidR="00A820A2" w:rsidRDefault="00A820A2">
      <w:r>
        <w:t xml:space="preserve">SA3 in their LS </w:t>
      </w:r>
      <w:r w:rsidR="00492003" w:rsidRPr="00492003">
        <w:t>R2-1801752/S3-180348</w:t>
      </w:r>
      <w:r w:rsidR="00492003">
        <w:t xml:space="preserve"> </w:t>
      </w:r>
      <w:r>
        <w:t>provided the following feedback:</w:t>
      </w:r>
    </w:p>
    <w:p w14:paraId="73932FE6" w14:textId="77777777" w:rsidR="00492003" w:rsidRPr="001247F7" w:rsidRDefault="00492003" w:rsidP="00A26760">
      <w:pPr>
        <w:ind w:left="720"/>
        <w:rPr>
          <w:sz w:val="20"/>
        </w:rPr>
      </w:pPr>
      <w:r w:rsidRPr="001247F7">
        <w:rPr>
          <w:rFonts w:ascii="Arial" w:hAnsi="Arial" w:cs="Arial"/>
          <w:sz w:val="20"/>
        </w:rPr>
        <w:t>SA3 is not planning to update the LTE protocols to support negotiation and use of integrity protection for user plane. However, if RAN2 adopts corresponding NR protocols to LTE eNB, the feature can be optionally activated based on the UE capabilities in the same way as NR.</w:t>
      </w:r>
    </w:p>
    <w:p w14:paraId="73932FE7" w14:textId="77777777" w:rsidR="00F611E1" w:rsidRDefault="00F611E1">
      <w:r>
        <w:t xml:space="preserve">Based on this, RAN2 concluded not support DRB-IP for </w:t>
      </w:r>
      <w:r w:rsidR="0086579A">
        <w:t xml:space="preserve">eLTE. </w:t>
      </w:r>
    </w:p>
    <w:p w14:paraId="73932FE8" w14:textId="77777777" w:rsidR="00A26760" w:rsidRDefault="0086579A">
      <w:r>
        <w:t xml:space="preserve">However, the requirements for MR-DC is even less clear in SA3 specs.  </w:t>
      </w:r>
    </w:p>
    <w:p w14:paraId="73932FE9" w14:textId="77777777" w:rsidR="00A26760" w:rsidRDefault="00A26760">
      <w:r>
        <w:t xml:space="preserve">RAN2 uses the concept of unified bearers for MR-DC where the UE handling is not based on termination point of the bearer (MN or SN terminated) nor based on the radio interface used for the transfer of data (MSG, SCG, split).  </w:t>
      </w:r>
    </w:p>
    <w:p w14:paraId="73932FEA" w14:textId="77777777" w:rsidR="00492003" w:rsidRDefault="00492003">
      <w:r>
        <w:t>Based on SA3 TS 38.501, the following observations are made:</w:t>
      </w:r>
    </w:p>
    <w:p w14:paraId="73932FEB" w14:textId="77777777" w:rsidR="00A820A2" w:rsidRDefault="00492003" w:rsidP="00F611E1">
      <w:pPr>
        <w:pStyle w:val="ListParagraph"/>
        <w:numPr>
          <w:ilvl w:val="0"/>
          <w:numId w:val="2"/>
        </w:numPr>
      </w:pPr>
      <w:r>
        <w:t xml:space="preserve">SA3 TS </w:t>
      </w:r>
      <w:r w:rsidR="00A26760">
        <w:t xml:space="preserve">38.501 </w:t>
      </w:r>
      <w:r>
        <w:t xml:space="preserve">does not consider </w:t>
      </w:r>
      <w:r w:rsidR="00A26760">
        <w:t xml:space="preserve">the concept of </w:t>
      </w:r>
      <w:r>
        <w:t xml:space="preserve">unified bearers.  SA3 TS </w:t>
      </w:r>
      <w:r w:rsidR="00A26760">
        <w:t>instead</w:t>
      </w:r>
      <w:r>
        <w:t xml:space="preserve"> mention</w:t>
      </w:r>
      <w:r w:rsidR="00A26760">
        <w:t>s security</w:t>
      </w:r>
      <w:r>
        <w:t xml:space="preserve"> </w:t>
      </w:r>
      <w:r w:rsidR="00B810ED">
        <w:t xml:space="preserve">requirements </w:t>
      </w:r>
      <w:r w:rsidR="00A26760">
        <w:t xml:space="preserve">in terms of </w:t>
      </w:r>
      <w:r w:rsidR="00B810ED">
        <w:t>“</w:t>
      </w:r>
      <w:r w:rsidR="00B810ED" w:rsidRPr="007B0C8B">
        <w:t>user data between the UE and the gNB.</w:t>
      </w:r>
      <w:r w:rsidR="00B810ED">
        <w:t>”</w:t>
      </w:r>
      <w:r w:rsidR="00A26760">
        <w:t xml:space="preserve">  This seems to be based on LTE DC concept of </w:t>
      </w:r>
      <w:r w:rsidR="007A2477">
        <w:t xml:space="preserve">MCG and SCG bearers. The architectural diagrams too reinforce this.  </w:t>
      </w:r>
    </w:p>
    <w:p w14:paraId="73932FEC" w14:textId="5C8DA1BE" w:rsidR="005F5B24" w:rsidRDefault="005F5B24" w:rsidP="00F611E1">
      <w:pPr>
        <w:pStyle w:val="ListParagraph"/>
        <w:numPr>
          <w:ilvl w:val="0"/>
          <w:numId w:val="2"/>
        </w:numPr>
      </w:pPr>
      <w:r>
        <w:t xml:space="preserve">SA3 TS does </w:t>
      </w:r>
      <w:r w:rsidR="00CF4048">
        <w:t xml:space="preserve">not </w:t>
      </w:r>
      <w:r>
        <w:t xml:space="preserve">consider split bearers or </w:t>
      </w:r>
      <w:r w:rsidR="007A2477">
        <w:t xml:space="preserve">new bearer “types” </w:t>
      </w:r>
      <w:r>
        <w:t>such as SN terminated MCG bearer</w:t>
      </w:r>
      <w:bookmarkStart w:id="0" w:name="_GoBack"/>
      <w:bookmarkEnd w:id="0"/>
    </w:p>
    <w:p w14:paraId="73932FED" w14:textId="77777777" w:rsidR="005F5B24" w:rsidRDefault="005F5B24" w:rsidP="00F611E1">
      <w:pPr>
        <w:pStyle w:val="ListParagraph"/>
        <w:numPr>
          <w:ilvl w:val="0"/>
          <w:numId w:val="2"/>
        </w:numPr>
      </w:pPr>
      <w:r>
        <w:t>TS 38.501 refers to TS33.401 for E-UTRA requirements related to 5GC but TS 33.401 does not mention any such requirements</w:t>
      </w:r>
      <w:r w:rsidR="007A2477">
        <w:t xml:space="preserve"> (yet)</w:t>
      </w:r>
      <w:r>
        <w:t xml:space="preserve">.  </w:t>
      </w:r>
    </w:p>
    <w:p w14:paraId="73932FEE" w14:textId="77777777" w:rsidR="0086579A" w:rsidRDefault="00344038">
      <w:r>
        <w:t xml:space="preserve">Based on these observations and </w:t>
      </w:r>
      <w:r w:rsidR="0086579A">
        <w:t>RAN2 concept of unified bearer</w:t>
      </w:r>
      <w:r w:rsidR="00F611E1">
        <w:t xml:space="preserve"> it is difficult to conclude the DRB-IP requirements for MR-DC.</w:t>
      </w:r>
    </w:p>
    <w:p w14:paraId="73932FEF" w14:textId="7D46BE05" w:rsidR="007A2477" w:rsidRPr="007A2477" w:rsidRDefault="00F45C7F">
      <w:pPr>
        <w:rPr>
          <w:b/>
        </w:rPr>
      </w:pPr>
      <w:r>
        <w:rPr>
          <w:b/>
        </w:rPr>
        <w:t>Observation #1</w:t>
      </w:r>
      <w:r w:rsidR="007A2477" w:rsidRPr="007A2477">
        <w:rPr>
          <w:b/>
        </w:rPr>
        <w:t>: SA3 LS and SA3 specifications do not clearly provide requirements for MR-DC</w:t>
      </w:r>
      <w:r w:rsidR="00ED188B">
        <w:rPr>
          <w:b/>
        </w:rPr>
        <w:t xml:space="preserve"> with regard to integrity protection for DRBs</w:t>
      </w:r>
      <w:r w:rsidR="007A2477" w:rsidRPr="007A2477">
        <w:rPr>
          <w:b/>
        </w:rPr>
        <w:t>.</w:t>
      </w:r>
    </w:p>
    <w:p w14:paraId="73932FF0" w14:textId="77777777" w:rsidR="00F611E1" w:rsidRDefault="00596383">
      <w:r>
        <w:t xml:space="preserve">From RAN2 perspective, the impact to LTE RRC to support DRB-IP </w:t>
      </w:r>
      <w:r w:rsidR="00F45C7F">
        <w:t xml:space="preserve">for NG-EN-DC </w:t>
      </w:r>
      <w:r>
        <w:t xml:space="preserve">is minimal.  </w:t>
      </w:r>
      <w:r w:rsidR="0086579A">
        <w:t xml:space="preserve"> </w:t>
      </w:r>
      <w:r>
        <w:t>The following changes are identified and can be copied from NR-RRC:</w:t>
      </w:r>
    </w:p>
    <w:p w14:paraId="73932FF1" w14:textId="77777777" w:rsidR="00596383" w:rsidRDefault="00F45C7F" w:rsidP="00596383">
      <w:pPr>
        <w:ind w:left="720"/>
      </w:pPr>
      <w:r>
        <w:t>1) T</w:t>
      </w:r>
      <w:r w:rsidR="00596383">
        <w:t>ext for key derivation for DRB IP keys</w:t>
      </w:r>
    </w:p>
    <w:p w14:paraId="73932FF2" w14:textId="77777777" w:rsidR="00596383" w:rsidRDefault="00596383" w:rsidP="00596383">
      <w:pPr>
        <w:ind w:left="720"/>
      </w:pPr>
      <w:r>
        <w:lastRenderedPageBreak/>
        <w:t>2) DRB IP activation in Resume</w:t>
      </w:r>
    </w:p>
    <w:p w14:paraId="73932FF3" w14:textId="77777777" w:rsidR="00596383" w:rsidRDefault="00596383" w:rsidP="00596383">
      <w:pPr>
        <w:ind w:left="720"/>
      </w:pPr>
      <w:r>
        <w:t>3) Reporting of SCG Integrity check failure over MCG RRC</w:t>
      </w:r>
    </w:p>
    <w:p w14:paraId="73932FF4" w14:textId="77777777" w:rsidR="00596383" w:rsidRDefault="00596383">
      <w:r>
        <w:t>Furthe</w:t>
      </w:r>
      <w:r w:rsidR="00E14F8A">
        <w:t xml:space="preserve">r since NE-DC also uses NR PDCP, no additional impact to LTE spec is identified beyond the ones listed above.  </w:t>
      </w:r>
    </w:p>
    <w:p w14:paraId="73932FF5" w14:textId="77777777" w:rsidR="00596383" w:rsidRPr="00F45C7F" w:rsidRDefault="00596383">
      <w:pPr>
        <w:rPr>
          <w:b/>
        </w:rPr>
      </w:pPr>
      <w:r w:rsidRPr="00F45C7F">
        <w:rPr>
          <w:b/>
        </w:rPr>
        <w:t>Observation</w:t>
      </w:r>
      <w:r w:rsidR="00F45C7F" w:rsidRPr="00F45C7F">
        <w:rPr>
          <w:b/>
        </w:rPr>
        <w:t xml:space="preserve"> #2</w:t>
      </w:r>
      <w:r w:rsidR="00F45C7F">
        <w:rPr>
          <w:b/>
        </w:rPr>
        <w:t>: S</w:t>
      </w:r>
      <w:r w:rsidRPr="00F45C7F">
        <w:rPr>
          <w:b/>
        </w:rPr>
        <w:t xml:space="preserve">upporting DRB-IP for all </w:t>
      </w:r>
      <w:r w:rsidR="00E14F8A" w:rsidRPr="00F45C7F">
        <w:rPr>
          <w:b/>
        </w:rPr>
        <w:t>MR-DC architectures is possible with minimal RAN2 specification impact.</w:t>
      </w:r>
    </w:p>
    <w:p w14:paraId="73932FF6" w14:textId="77777777" w:rsidR="00E14F8A" w:rsidRDefault="00E14F8A">
      <w:r>
        <w:t>Based on the above discussion, it is hence proposed to check with SA3 the requirements to support DRB-IP for MR-DC.  RAN2 should also explain the concept of unified bearers and the combination of radio interface/termination points supported.</w:t>
      </w:r>
    </w:p>
    <w:p w14:paraId="73932FF7" w14:textId="77777777" w:rsidR="00E14F8A" w:rsidRPr="007710B8" w:rsidRDefault="00E14F8A">
      <w:pPr>
        <w:rPr>
          <w:b/>
        </w:rPr>
      </w:pPr>
      <w:r w:rsidRPr="007710B8">
        <w:rPr>
          <w:b/>
        </w:rPr>
        <w:t>Proposal</w:t>
      </w:r>
      <w:r w:rsidR="007710B8" w:rsidRPr="007710B8">
        <w:rPr>
          <w:b/>
        </w:rPr>
        <w:t xml:space="preserve"> #1</w:t>
      </w:r>
      <w:r w:rsidRPr="007710B8">
        <w:rPr>
          <w:b/>
        </w:rPr>
        <w:t xml:space="preserve">: Send LS to SA3 to explain the RAN2 unified bearer concept and request feedback from SA3 </w:t>
      </w:r>
      <w:r w:rsidR="00956F0B" w:rsidRPr="007710B8">
        <w:rPr>
          <w:b/>
        </w:rPr>
        <w:t>for which architectures DRB-IP has to be supported.</w:t>
      </w:r>
    </w:p>
    <w:p w14:paraId="73932FF8" w14:textId="77777777" w:rsidR="00956F0B" w:rsidRDefault="007710B8" w:rsidP="007710B8">
      <w:pPr>
        <w:pStyle w:val="Heading1"/>
      </w:pPr>
      <w:r>
        <w:t>Summary and proposal</w:t>
      </w:r>
    </w:p>
    <w:p w14:paraId="73932FFA" w14:textId="61E3570A" w:rsidR="007710B8" w:rsidRDefault="00C45FF0" w:rsidP="007710B8">
      <w:r>
        <w:t>This document examined that requirements for supporting integrity protection for the DRBs for MR-DC architecture.  The following observations and proposals were made.</w:t>
      </w:r>
    </w:p>
    <w:p w14:paraId="73932FFB" w14:textId="77777777" w:rsidR="007710B8" w:rsidRPr="00C45FF0" w:rsidRDefault="007710B8" w:rsidP="007710B8">
      <w:r>
        <w:rPr>
          <w:b/>
        </w:rPr>
        <w:t>Observation #1</w:t>
      </w:r>
      <w:r w:rsidRPr="007A2477">
        <w:rPr>
          <w:b/>
        </w:rPr>
        <w:t xml:space="preserve">: </w:t>
      </w:r>
      <w:r w:rsidRPr="00C45FF0">
        <w:t>SA3 LS and SA3 specifications do not clearly provide requirements for MR-DC.</w:t>
      </w:r>
    </w:p>
    <w:p w14:paraId="73932FFC" w14:textId="77777777" w:rsidR="007710B8" w:rsidRPr="00C45FF0" w:rsidRDefault="007710B8" w:rsidP="007710B8">
      <w:r w:rsidRPr="00F45C7F">
        <w:rPr>
          <w:b/>
        </w:rPr>
        <w:t>Observation #2</w:t>
      </w:r>
      <w:r>
        <w:rPr>
          <w:b/>
        </w:rPr>
        <w:t xml:space="preserve">: </w:t>
      </w:r>
      <w:r w:rsidRPr="00C45FF0">
        <w:t xml:space="preserve">Supporting DRB-IP for all MR-DC architectures is possible with minimal RAN2 </w:t>
      </w:r>
    </w:p>
    <w:p w14:paraId="73932FFD" w14:textId="77777777" w:rsidR="007710B8" w:rsidRPr="00C45FF0" w:rsidRDefault="007710B8" w:rsidP="007710B8">
      <w:r w:rsidRPr="00C45FF0">
        <w:t>specification impact.</w:t>
      </w:r>
    </w:p>
    <w:p w14:paraId="73932FFE" w14:textId="77777777" w:rsidR="007710B8" w:rsidRPr="00C45FF0" w:rsidRDefault="007710B8" w:rsidP="007710B8">
      <w:r w:rsidRPr="007710B8">
        <w:rPr>
          <w:b/>
        </w:rPr>
        <w:t xml:space="preserve">Proposal #1: </w:t>
      </w:r>
      <w:r w:rsidRPr="00C45FF0">
        <w:t>Send LS to SA3 to explain the RAN2 unified bearer concept and request feedback from SA3 for which architectures DRB-IP has to be supported.</w:t>
      </w:r>
    </w:p>
    <w:sectPr w:rsidR="007710B8" w:rsidRPr="00C45F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13049"/>
    <w:multiLevelType w:val="hybridMultilevel"/>
    <w:tmpl w:val="2CECD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1C6729E"/>
    <w:multiLevelType w:val="hybridMultilevel"/>
    <w:tmpl w:val="B48031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0A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7F7"/>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1CEC"/>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1FD4"/>
    <w:rsid w:val="002E20F8"/>
    <w:rsid w:val="002E35FA"/>
    <w:rsid w:val="002E4701"/>
    <w:rsid w:val="002E4813"/>
    <w:rsid w:val="002E5245"/>
    <w:rsid w:val="002E675A"/>
    <w:rsid w:val="002F03ED"/>
    <w:rsid w:val="002F056C"/>
    <w:rsid w:val="002F21C3"/>
    <w:rsid w:val="002F320B"/>
    <w:rsid w:val="002F37B6"/>
    <w:rsid w:val="002F62B7"/>
    <w:rsid w:val="002F72D8"/>
    <w:rsid w:val="00301541"/>
    <w:rsid w:val="003019C6"/>
    <w:rsid w:val="00301BA2"/>
    <w:rsid w:val="00302D57"/>
    <w:rsid w:val="0030351A"/>
    <w:rsid w:val="00303A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038"/>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224C"/>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2003"/>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871DB"/>
    <w:rsid w:val="00590137"/>
    <w:rsid w:val="00590694"/>
    <w:rsid w:val="00590DDE"/>
    <w:rsid w:val="005922E7"/>
    <w:rsid w:val="0059294B"/>
    <w:rsid w:val="00596383"/>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5B24"/>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31CF"/>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19F2"/>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573A"/>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0B8"/>
    <w:rsid w:val="007713D9"/>
    <w:rsid w:val="007716F1"/>
    <w:rsid w:val="00771F63"/>
    <w:rsid w:val="00776F5F"/>
    <w:rsid w:val="00777CC7"/>
    <w:rsid w:val="007809EA"/>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2477"/>
    <w:rsid w:val="007A38F1"/>
    <w:rsid w:val="007A43E9"/>
    <w:rsid w:val="007A5CE7"/>
    <w:rsid w:val="007A5FB0"/>
    <w:rsid w:val="007A778C"/>
    <w:rsid w:val="007B0411"/>
    <w:rsid w:val="007B175E"/>
    <w:rsid w:val="007B1D28"/>
    <w:rsid w:val="007B1DDA"/>
    <w:rsid w:val="007B442E"/>
    <w:rsid w:val="007B4B9C"/>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1C47"/>
    <w:rsid w:val="008642B8"/>
    <w:rsid w:val="00864726"/>
    <w:rsid w:val="00864B1E"/>
    <w:rsid w:val="0086579A"/>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5910"/>
    <w:rsid w:val="00947168"/>
    <w:rsid w:val="00947690"/>
    <w:rsid w:val="009513D7"/>
    <w:rsid w:val="009514B4"/>
    <w:rsid w:val="009516E1"/>
    <w:rsid w:val="009518EA"/>
    <w:rsid w:val="00953544"/>
    <w:rsid w:val="009548CF"/>
    <w:rsid w:val="00955091"/>
    <w:rsid w:val="00955EC7"/>
    <w:rsid w:val="00955FFC"/>
    <w:rsid w:val="009566D6"/>
    <w:rsid w:val="00956F0B"/>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3285"/>
    <w:rsid w:val="00A14121"/>
    <w:rsid w:val="00A14BF7"/>
    <w:rsid w:val="00A14C02"/>
    <w:rsid w:val="00A152E8"/>
    <w:rsid w:val="00A15717"/>
    <w:rsid w:val="00A22508"/>
    <w:rsid w:val="00A22771"/>
    <w:rsid w:val="00A23309"/>
    <w:rsid w:val="00A2362C"/>
    <w:rsid w:val="00A26760"/>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0A2"/>
    <w:rsid w:val="00A8271D"/>
    <w:rsid w:val="00A828CC"/>
    <w:rsid w:val="00A84D34"/>
    <w:rsid w:val="00A84D85"/>
    <w:rsid w:val="00A86217"/>
    <w:rsid w:val="00A87A27"/>
    <w:rsid w:val="00A87FB7"/>
    <w:rsid w:val="00A93BEB"/>
    <w:rsid w:val="00A93EA2"/>
    <w:rsid w:val="00A94C48"/>
    <w:rsid w:val="00A952F4"/>
    <w:rsid w:val="00A95A3C"/>
    <w:rsid w:val="00A96F09"/>
    <w:rsid w:val="00AA08DC"/>
    <w:rsid w:val="00AA136A"/>
    <w:rsid w:val="00AA2FBF"/>
    <w:rsid w:val="00AA3643"/>
    <w:rsid w:val="00AA3D38"/>
    <w:rsid w:val="00AA5338"/>
    <w:rsid w:val="00AA5644"/>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0ED"/>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5FF0"/>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1B9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4048"/>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26D41"/>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4F8A"/>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56E6"/>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97F52"/>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188B"/>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C7F"/>
    <w:rsid w:val="00F45F7E"/>
    <w:rsid w:val="00F47BD6"/>
    <w:rsid w:val="00F50B74"/>
    <w:rsid w:val="00F51CCC"/>
    <w:rsid w:val="00F533E7"/>
    <w:rsid w:val="00F53DE4"/>
    <w:rsid w:val="00F53FB2"/>
    <w:rsid w:val="00F540F9"/>
    <w:rsid w:val="00F558A2"/>
    <w:rsid w:val="00F562FC"/>
    <w:rsid w:val="00F57A3E"/>
    <w:rsid w:val="00F60B5D"/>
    <w:rsid w:val="00F60ED5"/>
    <w:rsid w:val="00F611E1"/>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32FDB"/>
  <w15:chartTrackingRefBased/>
  <w15:docId w15:val="{60614963-765B-4FB2-96B3-23081D77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809EA"/>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809EA"/>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809EA"/>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7809EA"/>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7809EA"/>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7809EA"/>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7809EA"/>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809E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7809E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Char"/>
    <w:qFormat/>
    <w:rsid w:val="00A94C4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rPr>
  </w:style>
  <w:style w:type="paragraph" w:customStyle="1" w:styleId="B1">
    <w:name w:val="B1"/>
    <w:basedOn w:val="List"/>
    <w:link w:val="B1Char1"/>
    <w:qFormat/>
    <w:rsid w:val="00A94C48"/>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x-none"/>
    </w:rPr>
  </w:style>
  <w:style w:type="character" w:customStyle="1" w:styleId="NOChar">
    <w:name w:val="NO Char"/>
    <w:link w:val="NO"/>
    <w:rsid w:val="00A94C48"/>
    <w:rPr>
      <w:rFonts w:ascii="Times New Roman" w:eastAsia="Times New Roman" w:hAnsi="Times New Roman" w:cs="Times New Roman"/>
      <w:sz w:val="20"/>
      <w:szCs w:val="20"/>
      <w:lang w:val="x-none"/>
    </w:rPr>
  </w:style>
  <w:style w:type="character" w:customStyle="1" w:styleId="B1Char1">
    <w:name w:val="B1 Char1"/>
    <w:link w:val="B1"/>
    <w:locked/>
    <w:rsid w:val="00A94C48"/>
    <w:rPr>
      <w:rFonts w:ascii="Times New Roman" w:eastAsia="Times New Roman" w:hAnsi="Times New Roman" w:cs="Times New Roman"/>
      <w:sz w:val="20"/>
      <w:szCs w:val="20"/>
      <w:lang w:eastAsia="x-none"/>
    </w:rPr>
  </w:style>
  <w:style w:type="paragraph" w:styleId="List">
    <w:name w:val="List"/>
    <w:basedOn w:val="Normal"/>
    <w:uiPriority w:val="99"/>
    <w:semiHidden/>
    <w:unhideWhenUsed/>
    <w:rsid w:val="00A94C48"/>
    <w:pPr>
      <w:ind w:left="283" w:hanging="283"/>
      <w:contextualSpacing/>
    </w:pPr>
  </w:style>
  <w:style w:type="paragraph" w:styleId="Header">
    <w:name w:val="header"/>
    <w:basedOn w:val="Normal"/>
    <w:link w:val="HeaderChar"/>
    <w:uiPriority w:val="99"/>
    <w:rsid w:val="00303A1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303A1A"/>
    <w:rPr>
      <w:rFonts w:ascii="Times New Roman" w:eastAsia="Times New Roman" w:hAnsi="Times New Roman" w:cs="Times New Roman"/>
      <w:sz w:val="20"/>
      <w:szCs w:val="20"/>
    </w:rPr>
  </w:style>
  <w:style w:type="paragraph" w:customStyle="1" w:styleId="CRCoverPage">
    <w:name w:val="CR Cover Page"/>
    <w:link w:val="CRCoverPageZchn"/>
    <w:rsid w:val="006431CF"/>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locked/>
    <w:rsid w:val="006431CF"/>
    <w:rPr>
      <w:rFonts w:ascii="Arial" w:eastAsia="Times New Roman" w:hAnsi="Arial" w:cs="Times New Roman"/>
      <w:sz w:val="20"/>
      <w:szCs w:val="20"/>
    </w:rPr>
  </w:style>
  <w:style w:type="paragraph" w:styleId="ListParagraph">
    <w:name w:val="List Paragraph"/>
    <w:basedOn w:val="Normal"/>
    <w:uiPriority w:val="34"/>
    <w:qFormat/>
    <w:rsid w:val="00F611E1"/>
    <w:pPr>
      <w:ind w:left="720"/>
      <w:contextualSpacing/>
    </w:pPr>
  </w:style>
  <w:style w:type="character" w:customStyle="1" w:styleId="Heading1Char">
    <w:name w:val="Heading 1 Char"/>
    <w:basedOn w:val="DefaultParagraphFont"/>
    <w:link w:val="Heading1"/>
    <w:uiPriority w:val="9"/>
    <w:rsid w:val="007809E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809E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809E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809E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7809E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7809E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7809E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809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7809EA"/>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7809E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character" w:styleId="CommentReference">
    <w:name w:val="annotation reference"/>
    <w:basedOn w:val="DefaultParagraphFont"/>
    <w:uiPriority w:val="99"/>
    <w:semiHidden/>
    <w:unhideWhenUsed/>
    <w:rsid w:val="002E1FD4"/>
    <w:rPr>
      <w:sz w:val="16"/>
      <w:szCs w:val="16"/>
    </w:rPr>
  </w:style>
  <w:style w:type="paragraph" w:styleId="CommentText">
    <w:name w:val="annotation text"/>
    <w:basedOn w:val="Normal"/>
    <w:link w:val="CommentTextChar"/>
    <w:uiPriority w:val="99"/>
    <w:semiHidden/>
    <w:unhideWhenUsed/>
    <w:rsid w:val="002E1FD4"/>
    <w:pPr>
      <w:spacing w:line="240" w:lineRule="auto"/>
    </w:pPr>
    <w:rPr>
      <w:sz w:val="20"/>
      <w:szCs w:val="20"/>
    </w:rPr>
  </w:style>
  <w:style w:type="character" w:customStyle="1" w:styleId="CommentTextChar">
    <w:name w:val="Comment Text Char"/>
    <w:basedOn w:val="DefaultParagraphFont"/>
    <w:link w:val="CommentText"/>
    <w:uiPriority w:val="99"/>
    <w:semiHidden/>
    <w:rsid w:val="002E1FD4"/>
    <w:rPr>
      <w:sz w:val="20"/>
      <w:szCs w:val="20"/>
    </w:rPr>
  </w:style>
  <w:style w:type="paragraph" w:styleId="CommentSubject">
    <w:name w:val="annotation subject"/>
    <w:basedOn w:val="CommentText"/>
    <w:next w:val="CommentText"/>
    <w:link w:val="CommentSubjectChar"/>
    <w:uiPriority w:val="99"/>
    <w:semiHidden/>
    <w:unhideWhenUsed/>
    <w:rsid w:val="002E1FD4"/>
    <w:rPr>
      <w:b/>
      <w:bCs/>
    </w:rPr>
  </w:style>
  <w:style w:type="character" w:customStyle="1" w:styleId="CommentSubjectChar">
    <w:name w:val="Comment Subject Char"/>
    <w:basedOn w:val="CommentTextChar"/>
    <w:link w:val="CommentSubject"/>
    <w:uiPriority w:val="99"/>
    <w:semiHidden/>
    <w:rsid w:val="002E1FD4"/>
    <w:rPr>
      <w:b/>
      <w:bCs/>
      <w:sz w:val="20"/>
      <w:szCs w:val="20"/>
    </w:rPr>
  </w:style>
  <w:style w:type="paragraph" w:styleId="BalloonText">
    <w:name w:val="Balloon Text"/>
    <w:basedOn w:val="Normal"/>
    <w:link w:val="BalloonTextChar"/>
    <w:uiPriority w:val="99"/>
    <w:semiHidden/>
    <w:unhideWhenUsed/>
    <w:rsid w:val="002E1F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FD4"/>
    <w:rPr>
      <w:rFonts w:ascii="Segoe UI" w:hAnsi="Segoe UI" w:cs="Segoe UI"/>
      <w:sz w:val="18"/>
      <w:szCs w:val="18"/>
    </w:rPr>
  </w:style>
  <w:style w:type="paragraph" w:styleId="Revision">
    <w:name w:val="Revision"/>
    <w:hidden/>
    <w:uiPriority w:val="99"/>
    <w:semiHidden/>
    <w:rsid w:val="002E1F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FD4E8-0858-4DA1-8D74-F84E53C573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C62A31-108B-4D96-88AB-657DAAC86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9969E7-A6C3-4D62-9F2F-0F3DAF0ADE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575</Words>
  <Characters>2921</Characters>
  <Application>Microsoft Office Word</Application>
  <DocSecurity>0</DocSecurity>
  <Lines>56</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SP</dc:creator>
  <cp:keywords>CTPClassification=CTP_NT</cp:keywords>
  <dc:description/>
  <cp:lastModifiedBy>Intel SP</cp:lastModifiedBy>
  <cp:revision>2</cp:revision>
  <dcterms:created xsi:type="dcterms:W3CDTF">2018-09-28T00:20:00Z</dcterms:created>
  <dcterms:modified xsi:type="dcterms:W3CDTF">2018-09-28T00:20:00Z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c996c850-438b-484f-bdea-0235835fa0c3</vt:lpwstr>
  </property>
  <property fmtid="{D5CDD505-2E9C-101B-9397-08002B2CF9AE}" pid="3" name="CTP_TimeStamp">
    <vt:lpwstr>2018-09-27 23:39:54Z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